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26B2" w:rsidRPr="00334B0B" w:rsidRDefault="000C26B2" w:rsidP="000C26B2">
      <w:pPr>
        <w:jc w:val="center"/>
        <w:rPr>
          <w:rFonts w:asciiTheme="majorHAnsi" w:hAnsiTheme="majorHAnsi"/>
          <w:b/>
          <w:sz w:val="44"/>
          <w:szCs w:val="44"/>
          <w:lang w:val="en-US"/>
        </w:rPr>
      </w:pPr>
      <w:proofErr w:type="gramStart"/>
      <w:r w:rsidRPr="00334B0B">
        <w:rPr>
          <w:rFonts w:asciiTheme="majorHAnsi" w:hAnsiTheme="majorHAnsi"/>
          <w:b/>
          <w:sz w:val="44"/>
          <w:szCs w:val="44"/>
          <w:lang w:val="en-US"/>
        </w:rPr>
        <w:t>The first genome-wide screen for animal peroxins using RNAi in Drosophila melanogaster.</w:t>
      </w:r>
      <w:proofErr w:type="gramEnd"/>
    </w:p>
    <w:p w:rsidR="000C26B2" w:rsidRPr="00E74C13" w:rsidRDefault="000C26B2" w:rsidP="000C26B2">
      <w:pPr>
        <w:jc w:val="center"/>
        <w:rPr>
          <w:sz w:val="44"/>
          <w:szCs w:val="44"/>
        </w:rPr>
      </w:pPr>
      <w:r>
        <w:rPr>
          <w:sz w:val="44"/>
          <w:szCs w:val="44"/>
        </w:rPr>
        <w:t xml:space="preserve">Peter John Michael Drake, </w:t>
      </w:r>
      <w:proofErr w:type="gramStart"/>
      <w:r>
        <w:rPr>
          <w:sz w:val="44"/>
          <w:szCs w:val="44"/>
        </w:rPr>
        <w:t>M.Med.Sci.,</w:t>
      </w:r>
      <w:proofErr w:type="gramEnd"/>
      <w:r>
        <w:rPr>
          <w:sz w:val="44"/>
          <w:szCs w:val="44"/>
        </w:rPr>
        <w:t xml:space="preserve"> B.Sc. </w:t>
      </w:r>
    </w:p>
    <w:p w:rsidR="000C26B2" w:rsidRPr="00E74C13" w:rsidRDefault="000C26B2" w:rsidP="000C26B2">
      <w:pPr>
        <w:rPr>
          <w:sz w:val="44"/>
          <w:szCs w:val="44"/>
        </w:rPr>
      </w:pPr>
    </w:p>
    <w:p w:rsidR="000C26B2" w:rsidRPr="00DA6635" w:rsidRDefault="000C26B2" w:rsidP="000C26B2">
      <w:pPr>
        <w:jc w:val="center"/>
        <w:rPr>
          <w:i/>
          <w:sz w:val="32"/>
          <w:szCs w:val="32"/>
          <w:lang w:val="en-US"/>
        </w:rPr>
      </w:pPr>
      <w:r w:rsidRPr="00DA6635">
        <w:rPr>
          <w:i/>
          <w:sz w:val="32"/>
          <w:szCs w:val="32"/>
          <w:lang w:val="en-US"/>
        </w:rPr>
        <w:t xml:space="preserve">This thesis is submitted to the </w:t>
      </w:r>
      <w:smartTag w:uri="urn:schemas-microsoft-com:office:smarttags" w:element="place">
        <w:smartTag w:uri="urn:schemas-microsoft-com:office:smarttags" w:element="PlaceType">
          <w:r w:rsidRPr="00DA6635">
            <w:rPr>
              <w:i/>
              <w:sz w:val="32"/>
              <w:szCs w:val="32"/>
              <w:lang w:val="en-US"/>
            </w:rPr>
            <w:t>University</w:t>
          </w:r>
        </w:smartTag>
        <w:r w:rsidRPr="00DA6635">
          <w:rPr>
            <w:i/>
            <w:sz w:val="32"/>
            <w:szCs w:val="32"/>
            <w:lang w:val="en-US"/>
          </w:rPr>
          <w:t xml:space="preserve"> of </w:t>
        </w:r>
        <w:smartTag w:uri="urn:schemas-microsoft-com:office:smarttags" w:element="PlaceName">
          <w:r w:rsidRPr="00DA6635">
            <w:rPr>
              <w:i/>
              <w:sz w:val="32"/>
              <w:szCs w:val="32"/>
              <w:lang w:val="en-US"/>
            </w:rPr>
            <w:t>Sheffield</w:t>
          </w:r>
        </w:smartTag>
      </w:smartTag>
      <w:r w:rsidRPr="00DA6635">
        <w:rPr>
          <w:i/>
          <w:sz w:val="32"/>
          <w:szCs w:val="32"/>
          <w:lang w:val="en-US"/>
        </w:rPr>
        <w:t xml:space="preserve"> for the degree of Doctor of Philosophy</w:t>
      </w:r>
    </w:p>
    <w:p w:rsidR="000C26B2" w:rsidRDefault="000C26B2" w:rsidP="000C26B2">
      <w:pPr>
        <w:jc w:val="center"/>
        <w:rPr>
          <w:b/>
          <w:lang w:val="en-US"/>
        </w:rPr>
      </w:pPr>
    </w:p>
    <w:p w:rsidR="000C26B2" w:rsidRDefault="000C26B2" w:rsidP="000C26B2">
      <w:pPr>
        <w:rPr>
          <w:b/>
          <w:lang w:val="en-US"/>
        </w:rPr>
      </w:pPr>
    </w:p>
    <w:p w:rsidR="000C26B2" w:rsidRDefault="000C26B2" w:rsidP="000C26B2">
      <w:pPr>
        <w:jc w:val="center"/>
        <w:rPr>
          <w:b/>
          <w:lang w:val="en-US"/>
        </w:rPr>
      </w:pPr>
      <w:r>
        <w:rPr>
          <w:b/>
          <w:noProof/>
          <w:lang w:eastAsia="en-GB"/>
        </w:rPr>
        <w:drawing>
          <wp:inline distT="0" distB="0" distL="0" distR="0">
            <wp:extent cx="1527175" cy="1811655"/>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527175" cy="1811655"/>
                    </a:xfrm>
                    <a:prstGeom prst="rect">
                      <a:avLst/>
                    </a:prstGeom>
                    <a:noFill/>
                    <a:ln w="9525">
                      <a:noFill/>
                      <a:miter lim="800000"/>
                      <a:headEnd/>
                      <a:tailEnd/>
                    </a:ln>
                  </pic:spPr>
                </pic:pic>
              </a:graphicData>
            </a:graphic>
          </wp:inline>
        </w:drawing>
      </w:r>
    </w:p>
    <w:p w:rsidR="000C26B2" w:rsidRDefault="000C26B2" w:rsidP="000C26B2">
      <w:pPr>
        <w:rPr>
          <w:b/>
          <w:lang w:val="en-US"/>
        </w:rPr>
      </w:pPr>
    </w:p>
    <w:p w:rsidR="000C26B2" w:rsidRPr="00E74C13" w:rsidRDefault="000C26B2" w:rsidP="000C26B2">
      <w:pPr>
        <w:jc w:val="center"/>
        <w:rPr>
          <w:b/>
          <w:sz w:val="32"/>
          <w:szCs w:val="32"/>
          <w:lang w:val="en-US"/>
        </w:rPr>
      </w:pPr>
      <w:r w:rsidRPr="00E74C13">
        <w:rPr>
          <w:b/>
          <w:sz w:val="32"/>
          <w:szCs w:val="32"/>
          <w:lang w:val="en-US"/>
        </w:rPr>
        <w:t>Department of Molecular Biology and Biotechnology</w:t>
      </w:r>
    </w:p>
    <w:p w:rsidR="000C26B2" w:rsidRPr="00E74C13" w:rsidRDefault="000C26B2" w:rsidP="000C26B2">
      <w:pPr>
        <w:jc w:val="center"/>
        <w:rPr>
          <w:b/>
          <w:sz w:val="32"/>
          <w:szCs w:val="32"/>
          <w:lang w:val="en-US"/>
        </w:rPr>
      </w:pPr>
      <w:smartTag w:uri="urn:schemas-microsoft-com:office:smarttags" w:element="place">
        <w:smartTag w:uri="urn:schemas-microsoft-com:office:smarttags" w:element="PlaceType">
          <w:r w:rsidRPr="00E74C13">
            <w:rPr>
              <w:b/>
              <w:sz w:val="32"/>
              <w:szCs w:val="32"/>
              <w:lang w:val="en-US"/>
            </w:rPr>
            <w:t>University</w:t>
          </w:r>
        </w:smartTag>
        <w:r w:rsidRPr="00E74C13">
          <w:rPr>
            <w:b/>
            <w:sz w:val="32"/>
            <w:szCs w:val="32"/>
            <w:lang w:val="en-US"/>
          </w:rPr>
          <w:t xml:space="preserve"> of </w:t>
        </w:r>
        <w:smartTag w:uri="urn:schemas-microsoft-com:office:smarttags" w:element="PlaceName">
          <w:r w:rsidRPr="00E74C13">
            <w:rPr>
              <w:b/>
              <w:sz w:val="32"/>
              <w:szCs w:val="32"/>
              <w:lang w:val="en-US"/>
            </w:rPr>
            <w:t>Sheffield</w:t>
          </w:r>
        </w:smartTag>
      </w:smartTag>
    </w:p>
    <w:p w:rsidR="000C26B2" w:rsidRPr="00DA6635" w:rsidRDefault="000C26B2" w:rsidP="000C26B2">
      <w:pPr>
        <w:jc w:val="center"/>
        <w:rPr>
          <w:b/>
          <w:sz w:val="28"/>
          <w:szCs w:val="28"/>
          <w:lang w:val="en-US"/>
        </w:rPr>
      </w:pPr>
    </w:p>
    <w:p w:rsidR="000C26B2" w:rsidRPr="00DA6635" w:rsidRDefault="000C26B2" w:rsidP="000C26B2">
      <w:pPr>
        <w:jc w:val="center"/>
        <w:rPr>
          <w:b/>
          <w:sz w:val="28"/>
          <w:szCs w:val="28"/>
          <w:lang w:val="en-US"/>
        </w:rPr>
      </w:pPr>
      <w:r w:rsidRPr="00DA6635">
        <w:rPr>
          <w:b/>
          <w:sz w:val="28"/>
          <w:szCs w:val="28"/>
          <w:lang w:val="en-US"/>
        </w:rPr>
        <w:t>September 201</w:t>
      </w:r>
      <w:r>
        <w:rPr>
          <w:b/>
          <w:sz w:val="28"/>
          <w:szCs w:val="28"/>
          <w:lang w:val="en-US"/>
        </w:rPr>
        <w:t>2</w:t>
      </w:r>
    </w:p>
    <w:p w:rsidR="000C26B2" w:rsidRPr="00804ED6" w:rsidRDefault="000C26B2" w:rsidP="000C26B2">
      <w:pPr>
        <w:jc w:val="center"/>
        <w:rPr>
          <w:b/>
          <w:lang w:val="en-US"/>
        </w:rPr>
      </w:pPr>
      <w:r w:rsidRPr="00804ED6">
        <w:rPr>
          <w:b/>
          <w:lang w:val="en-US"/>
        </w:rPr>
        <w:lastRenderedPageBreak/>
        <w:t>Abstract</w:t>
      </w:r>
    </w:p>
    <w:p w:rsidR="000C26B2" w:rsidRPr="00804ED6" w:rsidRDefault="000C26B2" w:rsidP="000C26B2">
      <w:pPr>
        <w:jc w:val="both"/>
        <w:rPr>
          <w:lang w:val="en-US"/>
        </w:rPr>
      </w:pPr>
      <w:r w:rsidRPr="00804ED6">
        <w:rPr>
          <w:lang w:val="en-US"/>
        </w:rPr>
        <w:t>Peroxisomes are spherical</w:t>
      </w:r>
      <w:r>
        <w:rPr>
          <w:lang w:val="en-US"/>
        </w:rPr>
        <w:t xml:space="preserve">, membrane-bound </w:t>
      </w:r>
      <w:r w:rsidRPr="00804ED6">
        <w:rPr>
          <w:lang w:val="en-US"/>
        </w:rPr>
        <w:t xml:space="preserve">organelles </w:t>
      </w:r>
      <w:r>
        <w:rPr>
          <w:lang w:val="en-US"/>
        </w:rPr>
        <w:t>found ubiquitously in Eukaryotes</w:t>
      </w:r>
      <w:r w:rsidRPr="00804ED6">
        <w:rPr>
          <w:lang w:val="en-US"/>
        </w:rPr>
        <w:t xml:space="preserve">. They </w:t>
      </w:r>
      <w:r>
        <w:rPr>
          <w:lang w:val="en-US"/>
        </w:rPr>
        <w:t>have</w:t>
      </w:r>
      <w:r w:rsidRPr="00804ED6">
        <w:rPr>
          <w:lang w:val="en-US"/>
        </w:rPr>
        <w:t xml:space="preserve"> </w:t>
      </w:r>
      <w:r>
        <w:rPr>
          <w:lang w:val="en-US"/>
        </w:rPr>
        <w:t>very</w:t>
      </w:r>
      <w:r w:rsidRPr="00804ED6">
        <w:rPr>
          <w:lang w:val="en-US"/>
        </w:rPr>
        <w:t xml:space="preserve"> important </w:t>
      </w:r>
      <w:r>
        <w:rPr>
          <w:lang w:val="en-US"/>
        </w:rPr>
        <w:t>metabolic functions, the loss of which has severely morbid consequences for human patients</w:t>
      </w:r>
      <w:r w:rsidRPr="00804ED6">
        <w:rPr>
          <w:lang w:val="en-US"/>
        </w:rPr>
        <w:t xml:space="preserve">. Genes involved in peroxisome biosynthesis are evolutionarily conserved. There are now more than thirty known proteins (peroxins) involved in peroxisome biosynthesis (including peroxisomal matrix protein import, peroxisome multiplication and inheritance). </w:t>
      </w:r>
      <w:r>
        <w:rPr>
          <w:lang w:val="en-US"/>
        </w:rPr>
        <w:t xml:space="preserve">Higher organisms are expected to have many more peroxins than yeasts and plants that have well established peroxisome families. Yet fewer peroxins are known of and consequently their interactions are poorly understood. </w:t>
      </w:r>
    </w:p>
    <w:p w:rsidR="000C26B2" w:rsidRDefault="000C26B2" w:rsidP="000C26B2">
      <w:pPr>
        <w:jc w:val="both"/>
        <w:rPr>
          <w:lang w:val="en-US"/>
        </w:rPr>
      </w:pPr>
      <w:r>
        <w:rPr>
          <w:lang w:val="en-US"/>
        </w:rPr>
        <w:t xml:space="preserve">Recent technological advances in RNA interference (RNAi) and high-throughput screening have meant entire organisms can now be screened in negative gene function assays. The inauguration in 2010 of the Sheffield RNAi Screening Facility (SRSF) has meant that an on-site facility at Sheffield University can facilitate genome-wide screening of </w:t>
      </w:r>
      <w:r w:rsidRPr="00E30772">
        <w:rPr>
          <w:i/>
          <w:lang w:val="en-US"/>
        </w:rPr>
        <w:t>Drosophila melanogaster</w:t>
      </w:r>
      <w:r>
        <w:rPr>
          <w:lang w:val="en-US"/>
        </w:rPr>
        <w:t xml:space="preserve">, an organism for which technologies into genetic manipulation are well established. The use of cell-culture and high-content, automated epifluorescence microscopy means that </w:t>
      </w:r>
      <w:r w:rsidRPr="00E30772">
        <w:rPr>
          <w:i/>
          <w:lang w:val="en-US"/>
        </w:rPr>
        <w:t>D. melanogaster</w:t>
      </w:r>
      <w:r>
        <w:rPr>
          <w:lang w:val="en-US"/>
        </w:rPr>
        <w:t xml:space="preserve"> cells can be screened for peroxins using well-established fluorescence assays. </w:t>
      </w:r>
    </w:p>
    <w:p w:rsidR="000C26B2" w:rsidRDefault="000C26B2" w:rsidP="000C26B2">
      <w:pPr>
        <w:jc w:val="both"/>
        <w:rPr>
          <w:lang w:val="en-US"/>
        </w:rPr>
      </w:pPr>
      <w:r>
        <w:rPr>
          <w:lang w:val="en-US"/>
        </w:rPr>
        <w:t xml:space="preserve">Two genome-wide screens were performed on S2R+ cells in an attempt to uncover novel peroxins in fruitflies which may elucidate further peroxisomes in mammals. Both screens used fluorescent peroxisomal matrix markers. The first was transfected transiently and the second stably, improving the expression profile in the cellular population. A small number of aberrant phenotypes were quickly identified and many knockdown phenotypes had a milder presentation. The most statistically significant aberrant candidates were chosen to be compiled into a custom designed microtitre plate. We made many copies of this and we repeated the assay in triplicate. We were able to identify 3 newly aberrant phenotypes of knockdown of which 2 appear to effect peroxisomes directly. One of these appears to behave in a </w:t>
      </w:r>
      <w:r w:rsidR="00D93535" w:rsidRPr="00D93535">
        <w:rPr>
          <w:i/>
          <w:lang w:val="en-US"/>
        </w:rPr>
        <w:t>PEX</w:t>
      </w:r>
      <w:r>
        <w:rPr>
          <w:lang w:val="en-US"/>
        </w:rPr>
        <w:t xml:space="preserve">16 like manner and we decided to investigate this further. </w:t>
      </w:r>
    </w:p>
    <w:p w:rsidR="000C26B2" w:rsidRDefault="000C26B2" w:rsidP="000C26B2">
      <w:pPr>
        <w:jc w:val="both"/>
        <w:rPr>
          <w:lang w:val="en-US"/>
        </w:rPr>
      </w:pPr>
    </w:p>
    <w:p w:rsidR="003612BA" w:rsidRDefault="003612BA" w:rsidP="000C26B2">
      <w:pPr>
        <w:jc w:val="both"/>
        <w:rPr>
          <w:lang w:val="en-US"/>
        </w:rPr>
      </w:pPr>
    </w:p>
    <w:p w:rsidR="003612BA" w:rsidRDefault="003612BA" w:rsidP="000C26B2">
      <w:pPr>
        <w:jc w:val="both"/>
        <w:rPr>
          <w:lang w:val="en-US"/>
        </w:rPr>
      </w:pPr>
    </w:p>
    <w:p w:rsidR="00544C00" w:rsidRDefault="00544C00" w:rsidP="000C26B2">
      <w:pPr>
        <w:jc w:val="center"/>
        <w:rPr>
          <w:b/>
          <w:lang w:val="en-US"/>
        </w:rPr>
      </w:pPr>
    </w:p>
    <w:p w:rsidR="000C26B2" w:rsidRPr="00BB7E97" w:rsidRDefault="000C26B2" w:rsidP="00544C00">
      <w:pPr>
        <w:jc w:val="center"/>
        <w:rPr>
          <w:lang w:val="en-US"/>
        </w:rPr>
      </w:pPr>
      <w:r w:rsidRPr="00BB7E97">
        <w:rPr>
          <w:b/>
          <w:lang w:val="en-US"/>
        </w:rPr>
        <w:lastRenderedPageBreak/>
        <w:t>Acknowledgements</w:t>
      </w:r>
    </w:p>
    <w:p w:rsidR="000C26B2" w:rsidRDefault="000C26B2" w:rsidP="000C26B2">
      <w:pPr>
        <w:jc w:val="center"/>
        <w:rPr>
          <w:lang w:val="en-US"/>
        </w:rPr>
      </w:pPr>
      <w:r>
        <w:rPr>
          <w:lang w:val="en-US"/>
        </w:rPr>
        <w:t>I would like to convey my sincerest gratitude to Ewald Hettema for the support and guidance he has shown me in the last four years. I would like to express my appreciation for the stimulating talks on all things scientific, linguistic and otherwise. My thanks also to Alison Motley whose expertise in yeast and fruitfly practices have been a great help to me in my studies.</w:t>
      </w:r>
    </w:p>
    <w:p w:rsidR="000C26B2" w:rsidRDefault="000C26B2" w:rsidP="000C26B2">
      <w:pPr>
        <w:jc w:val="center"/>
        <w:rPr>
          <w:lang w:val="en-US"/>
        </w:rPr>
      </w:pPr>
      <w:r>
        <w:rPr>
          <w:lang w:val="en-US"/>
        </w:rPr>
        <w:t xml:space="preserve">For all his help in the screening I would like to thank Stephen Brown for always finding time to demonstrate first hand for the umpteenth time. </w:t>
      </w:r>
      <w:proofErr w:type="gramStart"/>
      <w:r>
        <w:rPr>
          <w:lang w:val="en-US"/>
        </w:rPr>
        <w:t>To Amy Taylor (whom I will never call Vicki again!) my gratitude for all the assistance in and around the facility.</w:t>
      </w:r>
      <w:proofErr w:type="gramEnd"/>
      <w:r>
        <w:rPr>
          <w:lang w:val="en-US"/>
        </w:rPr>
        <w:t xml:space="preserve"> </w:t>
      </w:r>
      <w:proofErr w:type="gramStart"/>
      <w:r>
        <w:rPr>
          <w:lang w:val="en-US"/>
        </w:rPr>
        <w:t xml:space="preserve">To Katie, </w:t>
      </w:r>
      <w:r w:rsidR="00025776">
        <w:rPr>
          <w:lang w:val="en-US"/>
        </w:rPr>
        <w:t>Joe and</w:t>
      </w:r>
      <w:r>
        <w:rPr>
          <w:lang w:val="en-US"/>
        </w:rPr>
        <w:t xml:space="preserve"> Rich from BMS, my thanks for all things fruitfly.</w:t>
      </w:r>
      <w:proofErr w:type="gramEnd"/>
    </w:p>
    <w:p w:rsidR="000C26B2" w:rsidRDefault="000C26B2" w:rsidP="000C26B2">
      <w:pPr>
        <w:jc w:val="center"/>
        <w:rPr>
          <w:lang w:val="en-US"/>
        </w:rPr>
      </w:pPr>
      <w:proofErr w:type="gramStart"/>
      <w:r>
        <w:rPr>
          <w:lang w:val="en-US"/>
        </w:rPr>
        <w:t>Particular thanks to Jimmy for always keeping the topic of conversation lively in the lab, the updates on the latest American TV dramas and for teaching me how to clone.</w:t>
      </w:r>
      <w:proofErr w:type="gramEnd"/>
      <w:r>
        <w:rPr>
          <w:lang w:val="en-US"/>
        </w:rPr>
        <w:t xml:space="preserve"> Classically!</w:t>
      </w:r>
    </w:p>
    <w:p w:rsidR="000C26B2" w:rsidRPr="00BB7E97" w:rsidRDefault="000C26B2" w:rsidP="000C26B2">
      <w:pPr>
        <w:jc w:val="center"/>
        <w:rPr>
          <w:lang w:val="en-US"/>
        </w:rPr>
      </w:pPr>
      <w:proofErr w:type="gramStart"/>
      <w:r>
        <w:rPr>
          <w:lang w:val="en-US"/>
        </w:rPr>
        <w:t>My thanks also to the rest of the members of the Hettema lab, Mohammed, Don, Gemma Mayyaddah, both Joannes and of course Paweł for the exploding agar.</w:t>
      </w:r>
      <w:proofErr w:type="gramEnd"/>
    </w:p>
    <w:p w:rsidR="000C26B2" w:rsidRDefault="00025776" w:rsidP="000C26B2">
      <w:pPr>
        <w:jc w:val="center"/>
        <w:rPr>
          <w:lang w:val="en-US"/>
        </w:rPr>
      </w:pPr>
      <w:proofErr w:type="gramStart"/>
      <w:r>
        <w:rPr>
          <w:lang w:val="en-US"/>
        </w:rPr>
        <w:t>To my friends and colleagues Rick, Chris, Laura, and Andy my thanks through all the good times, the bad and the last minute extras (especially Rick and Chris who go the extra mile when they could be in the pub).</w:t>
      </w:r>
      <w:proofErr w:type="gramEnd"/>
    </w:p>
    <w:p w:rsidR="000C26B2" w:rsidRDefault="000C26B2" w:rsidP="000C26B2">
      <w:pPr>
        <w:jc w:val="center"/>
        <w:rPr>
          <w:lang w:val="en-US"/>
        </w:rPr>
      </w:pPr>
      <w:r>
        <w:rPr>
          <w:lang w:val="en-US"/>
        </w:rPr>
        <w:t>Finally to my family who are always asking questions and cracking fly jokes, I will always be grateful for your love and support. To my brother Rich and his family for the Friday evening phone calls and to Mum and Dad who have supported me in everything I do,</w:t>
      </w:r>
    </w:p>
    <w:p w:rsidR="000C26B2" w:rsidRDefault="00025776" w:rsidP="000C26B2">
      <w:pPr>
        <w:jc w:val="center"/>
        <w:rPr>
          <w:lang w:val="en-US"/>
        </w:rPr>
      </w:pPr>
      <w:r>
        <w:rPr>
          <w:lang w:val="en-US"/>
        </w:rPr>
        <w:t>I give all my love.</w:t>
      </w:r>
    </w:p>
    <w:p w:rsidR="000C26B2" w:rsidRDefault="000C26B2" w:rsidP="000C26B2">
      <w:pPr>
        <w:jc w:val="center"/>
        <w:rPr>
          <w:lang w:val="en-US"/>
        </w:rPr>
      </w:pPr>
    </w:p>
    <w:p w:rsidR="000C26B2" w:rsidRDefault="000C26B2" w:rsidP="000C26B2">
      <w:pPr>
        <w:jc w:val="center"/>
        <w:rPr>
          <w:lang w:val="en-US"/>
        </w:rPr>
      </w:pPr>
      <w:r>
        <w:rPr>
          <w:lang w:val="en-US"/>
        </w:rPr>
        <w:t>“There are no answers, only choices”</w:t>
      </w:r>
    </w:p>
    <w:p w:rsidR="000C26B2" w:rsidRDefault="000C26B2" w:rsidP="000C26B2">
      <w:pPr>
        <w:jc w:val="center"/>
        <w:rPr>
          <w:lang w:val="en-US"/>
        </w:rPr>
      </w:pPr>
      <w:r>
        <w:rPr>
          <w:lang w:val="en-US"/>
        </w:rPr>
        <w:t>-</w:t>
      </w:r>
      <w:r w:rsidR="00025776">
        <w:rPr>
          <w:lang w:val="en-US"/>
        </w:rPr>
        <w:t xml:space="preserve"> Gibarian</w:t>
      </w:r>
      <w:r>
        <w:rPr>
          <w:lang w:val="en-US"/>
        </w:rPr>
        <w:t>.</w:t>
      </w:r>
    </w:p>
    <w:p w:rsidR="000C26B2" w:rsidRDefault="00025776" w:rsidP="000C26B2">
      <w:pPr>
        <w:jc w:val="center"/>
        <w:rPr>
          <w:lang w:val="en-US"/>
        </w:rPr>
      </w:pPr>
      <w:r>
        <w:rPr>
          <w:lang w:val="en-US"/>
        </w:rPr>
        <w:t>From “Solaris” by Stanisł</w:t>
      </w:r>
      <w:r w:rsidR="000C26B2">
        <w:rPr>
          <w:lang w:val="en-US"/>
        </w:rPr>
        <w:t>aw Lem</w:t>
      </w:r>
    </w:p>
    <w:p w:rsidR="000C26B2" w:rsidRDefault="000C26B2" w:rsidP="000C26B2">
      <w:pPr>
        <w:jc w:val="center"/>
        <w:rPr>
          <w:lang w:val="en-US"/>
        </w:rPr>
      </w:pPr>
    </w:p>
    <w:sdt>
      <w:sdtPr>
        <w:rPr>
          <w:rFonts w:asciiTheme="minorHAnsi" w:eastAsiaTheme="minorHAnsi" w:hAnsiTheme="minorHAnsi" w:cstheme="minorBidi"/>
          <w:b w:val="0"/>
          <w:bCs w:val="0"/>
          <w:color w:val="auto"/>
          <w:sz w:val="22"/>
          <w:szCs w:val="22"/>
          <w:lang w:val="en-GB"/>
        </w:rPr>
        <w:id w:val="1317199"/>
        <w:docPartObj>
          <w:docPartGallery w:val="Table of Contents"/>
          <w:docPartUnique/>
        </w:docPartObj>
      </w:sdtPr>
      <w:sdtContent>
        <w:p w:rsidR="003612BA" w:rsidRDefault="003612BA">
          <w:pPr>
            <w:pStyle w:val="TOCHeading"/>
          </w:pPr>
          <w:r>
            <w:t>Table of Contents</w:t>
          </w:r>
        </w:p>
        <w:p w:rsidR="00734F2E" w:rsidRDefault="009A1FEC">
          <w:pPr>
            <w:pStyle w:val="TOC1"/>
            <w:tabs>
              <w:tab w:val="left" w:pos="440"/>
              <w:tab w:val="right" w:leader="dot" w:pos="8131"/>
            </w:tabs>
            <w:rPr>
              <w:rFonts w:eastAsiaTheme="minorEastAsia"/>
              <w:noProof/>
              <w:lang w:eastAsia="en-GB"/>
            </w:rPr>
          </w:pPr>
          <w:r>
            <w:fldChar w:fldCharType="begin"/>
          </w:r>
          <w:r w:rsidR="003612BA">
            <w:instrText xml:space="preserve"> TOC \o "1-3" \h \z \u </w:instrText>
          </w:r>
          <w:r>
            <w:fldChar w:fldCharType="separate"/>
          </w:r>
          <w:hyperlink w:anchor="_Toc348423277" w:history="1">
            <w:r w:rsidR="00734F2E" w:rsidRPr="004F40F1">
              <w:rPr>
                <w:rStyle w:val="Hyperlink"/>
                <w:noProof/>
              </w:rPr>
              <w:t>1</w:t>
            </w:r>
            <w:r w:rsidR="00734F2E">
              <w:rPr>
                <w:rFonts w:eastAsiaTheme="minorEastAsia"/>
                <w:noProof/>
                <w:lang w:eastAsia="en-GB"/>
              </w:rPr>
              <w:tab/>
            </w:r>
            <w:r w:rsidR="00734F2E" w:rsidRPr="004F40F1">
              <w:rPr>
                <w:rStyle w:val="Hyperlink"/>
                <w:noProof/>
              </w:rPr>
              <w:t>Introduction.</w:t>
            </w:r>
            <w:r w:rsidR="00734F2E">
              <w:rPr>
                <w:noProof/>
                <w:webHidden/>
              </w:rPr>
              <w:tab/>
            </w:r>
            <w:r>
              <w:rPr>
                <w:noProof/>
                <w:webHidden/>
              </w:rPr>
              <w:fldChar w:fldCharType="begin"/>
            </w:r>
            <w:r w:rsidR="00734F2E">
              <w:rPr>
                <w:noProof/>
                <w:webHidden/>
              </w:rPr>
              <w:instrText xml:space="preserve"> PAGEREF _Toc348423277 \h </w:instrText>
            </w:r>
            <w:r>
              <w:rPr>
                <w:noProof/>
                <w:webHidden/>
              </w:rPr>
            </w:r>
            <w:r>
              <w:rPr>
                <w:noProof/>
                <w:webHidden/>
              </w:rPr>
              <w:fldChar w:fldCharType="separate"/>
            </w:r>
            <w:r w:rsidR="00734F2E">
              <w:rPr>
                <w:noProof/>
                <w:webHidden/>
              </w:rPr>
              <w:t>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278" w:history="1">
            <w:r w:rsidR="00734F2E" w:rsidRPr="004F40F1">
              <w:rPr>
                <w:rStyle w:val="Hyperlink"/>
                <w:noProof/>
              </w:rPr>
              <w:t>1.1</w:t>
            </w:r>
            <w:r w:rsidR="00734F2E">
              <w:rPr>
                <w:rFonts w:eastAsiaTheme="minorEastAsia"/>
                <w:noProof/>
                <w:lang w:eastAsia="en-GB"/>
              </w:rPr>
              <w:tab/>
            </w:r>
            <w:r w:rsidR="00734F2E" w:rsidRPr="004F40F1">
              <w:rPr>
                <w:rStyle w:val="Hyperlink"/>
                <w:noProof/>
              </w:rPr>
              <w:t>Peroxisomes and their functions</w:t>
            </w:r>
            <w:r w:rsidR="00734F2E">
              <w:rPr>
                <w:noProof/>
                <w:webHidden/>
              </w:rPr>
              <w:tab/>
            </w:r>
            <w:r>
              <w:rPr>
                <w:noProof/>
                <w:webHidden/>
              </w:rPr>
              <w:fldChar w:fldCharType="begin"/>
            </w:r>
            <w:r w:rsidR="00734F2E">
              <w:rPr>
                <w:noProof/>
                <w:webHidden/>
              </w:rPr>
              <w:instrText xml:space="preserve"> PAGEREF _Toc348423278 \h </w:instrText>
            </w:r>
            <w:r>
              <w:rPr>
                <w:noProof/>
                <w:webHidden/>
              </w:rPr>
            </w:r>
            <w:r>
              <w:rPr>
                <w:noProof/>
                <w:webHidden/>
              </w:rPr>
              <w:fldChar w:fldCharType="separate"/>
            </w:r>
            <w:r w:rsidR="00734F2E">
              <w:rPr>
                <w:noProof/>
                <w:webHidden/>
              </w:rPr>
              <w:t>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279" w:history="1">
            <w:r w:rsidR="00734F2E" w:rsidRPr="004F40F1">
              <w:rPr>
                <w:rStyle w:val="Hyperlink"/>
                <w:noProof/>
              </w:rPr>
              <w:t>1.2</w:t>
            </w:r>
            <w:r w:rsidR="00734F2E">
              <w:rPr>
                <w:rFonts w:eastAsiaTheme="minorEastAsia"/>
                <w:noProof/>
                <w:lang w:eastAsia="en-GB"/>
              </w:rPr>
              <w:tab/>
            </w:r>
            <w:r w:rsidR="00734F2E" w:rsidRPr="004F40F1">
              <w:rPr>
                <w:rStyle w:val="Hyperlink"/>
                <w:noProof/>
              </w:rPr>
              <w:t>Peroxisome Biogenesis Disorders (PBDs)</w:t>
            </w:r>
            <w:r w:rsidR="00734F2E">
              <w:rPr>
                <w:noProof/>
                <w:webHidden/>
              </w:rPr>
              <w:tab/>
            </w:r>
            <w:r>
              <w:rPr>
                <w:noProof/>
                <w:webHidden/>
              </w:rPr>
              <w:fldChar w:fldCharType="begin"/>
            </w:r>
            <w:r w:rsidR="00734F2E">
              <w:rPr>
                <w:noProof/>
                <w:webHidden/>
              </w:rPr>
              <w:instrText xml:space="preserve"> PAGEREF _Toc348423279 \h </w:instrText>
            </w:r>
            <w:r>
              <w:rPr>
                <w:noProof/>
                <w:webHidden/>
              </w:rPr>
            </w:r>
            <w:r>
              <w:rPr>
                <w:noProof/>
                <w:webHidden/>
              </w:rPr>
              <w:fldChar w:fldCharType="separate"/>
            </w:r>
            <w:r w:rsidR="00734F2E">
              <w:rPr>
                <w:noProof/>
                <w:webHidden/>
              </w:rPr>
              <w:t>2</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80" w:history="1">
            <w:r w:rsidR="00734F2E" w:rsidRPr="004F40F1">
              <w:rPr>
                <w:rStyle w:val="Hyperlink"/>
                <w:noProof/>
                <w:lang w:val="nl-NL"/>
              </w:rPr>
              <w:t>1.2.1</w:t>
            </w:r>
            <w:r w:rsidR="00734F2E">
              <w:rPr>
                <w:rFonts w:eastAsiaTheme="minorEastAsia"/>
                <w:noProof/>
                <w:lang w:eastAsia="en-GB"/>
              </w:rPr>
              <w:tab/>
            </w:r>
            <w:r w:rsidR="00734F2E" w:rsidRPr="004F40F1">
              <w:rPr>
                <w:rStyle w:val="Hyperlink"/>
                <w:noProof/>
                <w:lang w:val="nl-NL"/>
              </w:rPr>
              <w:t>Zellweger Syndrome (ZS) Spectrum Disorders</w:t>
            </w:r>
            <w:r w:rsidR="00734F2E">
              <w:rPr>
                <w:noProof/>
                <w:webHidden/>
              </w:rPr>
              <w:tab/>
            </w:r>
            <w:r>
              <w:rPr>
                <w:noProof/>
                <w:webHidden/>
              </w:rPr>
              <w:fldChar w:fldCharType="begin"/>
            </w:r>
            <w:r w:rsidR="00734F2E">
              <w:rPr>
                <w:noProof/>
                <w:webHidden/>
              </w:rPr>
              <w:instrText xml:space="preserve"> PAGEREF _Toc348423280 \h </w:instrText>
            </w:r>
            <w:r>
              <w:rPr>
                <w:noProof/>
                <w:webHidden/>
              </w:rPr>
            </w:r>
            <w:r>
              <w:rPr>
                <w:noProof/>
                <w:webHidden/>
              </w:rPr>
              <w:fldChar w:fldCharType="separate"/>
            </w:r>
            <w:r w:rsidR="00734F2E">
              <w:rPr>
                <w:noProof/>
                <w:webHidden/>
              </w:rPr>
              <w:t>2</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81" w:history="1">
            <w:r w:rsidR="00734F2E" w:rsidRPr="004F40F1">
              <w:rPr>
                <w:rStyle w:val="Hyperlink"/>
                <w:noProof/>
              </w:rPr>
              <w:t>1.2.2</w:t>
            </w:r>
            <w:r w:rsidR="00734F2E">
              <w:rPr>
                <w:rFonts w:eastAsiaTheme="minorEastAsia"/>
                <w:noProof/>
                <w:lang w:eastAsia="en-GB"/>
              </w:rPr>
              <w:tab/>
            </w:r>
            <w:r w:rsidR="00734F2E" w:rsidRPr="004F40F1">
              <w:rPr>
                <w:rStyle w:val="Hyperlink"/>
                <w:noProof/>
              </w:rPr>
              <w:t>Non-Zellweger presentations of PBDs</w:t>
            </w:r>
            <w:r w:rsidR="00734F2E">
              <w:rPr>
                <w:noProof/>
                <w:webHidden/>
              </w:rPr>
              <w:tab/>
            </w:r>
            <w:r>
              <w:rPr>
                <w:noProof/>
                <w:webHidden/>
              </w:rPr>
              <w:fldChar w:fldCharType="begin"/>
            </w:r>
            <w:r w:rsidR="00734F2E">
              <w:rPr>
                <w:noProof/>
                <w:webHidden/>
              </w:rPr>
              <w:instrText xml:space="preserve"> PAGEREF _Toc348423281 \h </w:instrText>
            </w:r>
            <w:r>
              <w:rPr>
                <w:noProof/>
                <w:webHidden/>
              </w:rPr>
            </w:r>
            <w:r>
              <w:rPr>
                <w:noProof/>
                <w:webHidden/>
              </w:rPr>
              <w:fldChar w:fldCharType="separate"/>
            </w:r>
            <w:r w:rsidR="00734F2E">
              <w:rPr>
                <w:noProof/>
                <w:webHidden/>
              </w:rPr>
              <w:t>3</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82" w:history="1">
            <w:r w:rsidR="00734F2E" w:rsidRPr="004F40F1">
              <w:rPr>
                <w:rStyle w:val="Hyperlink"/>
                <w:noProof/>
              </w:rPr>
              <w:t>1.2.3</w:t>
            </w:r>
            <w:r w:rsidR="00734F2E">
              <w:rPr>
                <w:rFonts w:eastAsiaTheme="minorEastAsia"/>
                <w:noProof/>
                <w:lang w:eastAsia="en-GB"/>
              </w:rPr>
              <w:tab/>
            </w:r>
            <w:r w:rsidR="00734F2E" w:rsidRPr="004F40F1">
              <w:rPr>
                <w:rStyle w:val="Hyperlink"/>
                <w:noProof/>
              </w:rPr>
              <w:t>Rhizomelic chondrodysplasia punctate (RCDP)</w:t>
            </w:r>
            <w:r w:rsidR="00734F2E">
              <w:rPr>
                <w:noProof/>
                <w:webHidden/>
              </w:rPr>
              <w:tab/>
            </w:r>
            <w:r>
              <w:rPr>
                <w:noProof/>
                <w:webHidden/>
              </w:rPr>
              <w:fldChar w:fldCharType="begin"/>
            </w:r>
            <w:r w:rsidR="00734F2E">
              <w:rPr>
                <w:noProof/>
                <w:webHidden/>
              </w:rPr>
              <w:instrText xml:space="preserve"> PAGEREF _Toc348423282 \h </w:instrText>
            </w:r>
            <w:r>
              <w:rPr>
                <w:noProof/>
                <w:webHidden/>
              </w:rPr>
            </w:r>
            <w:r>
              <w:rPr>
                <w:noProof/>
                <w:webHidden/>
              </w:rPr>
              <w:fldChar w:fldCharType="separate"/>
            </w:r>
            <w:r w:rsidR="00734F2E">
              <w:rPr>
                <w:noProof/>
                <w:webHidden/>
              </w:rPr>
              <w:t>4</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83" w:history="1">
            <w:r w:rsidR="00734F2E" w:rsidRPr="004F40F1">
              <w:rPr>
                <w:rStyle w:val="Hyperlink"/>
                <w:noProof/>
              </w:rPr>
              <w:t>1.2.4</w:t>
            </w:r>
            <w:r w:rsidR="00734F2E">
              <w:rPr>
                <w:rFonts w:eastAsiaTheme="minorEastAsia"/>
                <w:noProof/>
                <w:lang w:eastAsia="en-GB"/>
              </w:rPr>
              <w:tab/>
            </w:r>
            <w:r w:rsidR="00734F2E" w:rsidRPr="004F40F1">
              <w:rPr>
                <w:rStyle w:val="Hyperlink"/>
                <w:noProof/>
              </w:rPr>
              <w:t>Complementation groups</w:t>
            </w:r>
            <w:r w:rsidR="00734F2E">
              <w:rPr>
                <w:noProof/>
                <w:webHidden/>
              </w:rPr>
              <w:tab/>
            </w:r>
            <w:r>
              <w:rPr>
                <w:noProof/>
                <w:webHidden/>
              </w:rPr>
              <w:fldChar w:fldCharType="begin"/>
            </w:r>
            <w:r w:rsidR="00734F2E">
              <w:rPr>
                <w:noProof/>
                <w:webHidden/>
              </w:rPr>
              <w:instrText xml:space="preserve"> PAGEREF _Toc348423283 \h </w:instrText>
            </w:r>
            <w:r>
              <w:rPr>
                <w:noProof/>
                <w:webHidden/>
              </w:rPr>
            </w:r>
            <w:r>
              <w:rPr>
                <w:noProof/>
                <w:webHidden/>
              </w:rPr>
              <w:fldChar w:fldCharType="separate"/>
            </w:r>
            <w:r w:rsidR="00734F2E">
              <w:rPr>
                <w:noProof/>
                <w:webHidden/>
              </w:rPr>
              <w:t>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284" w:history="1">
            <w:r w:rsidR="00734F2E" w:rsidRPr="004F40F1">
              <w:rPr>
                <w:rStyle w:val="Hyperlink"/>
                <w:noProof/>
              </w:rPr>
              <w:t>1.3</w:t>
            </w:r>
            <w:r w:rsidR="00734F2E">
              <w:rPr>
                <w:rFonts w:eastAsiaTheme="minorEastAsia"/>
                <w:noProof/>
                <w:lang w:eastAsia="en-GB"/>
              </w:rPr>
              <w:tab/>
            </w:r>
            <w:r w:rsidR="00734F2E" w:rsidRPr="004F40F1">
              <w:rPr>
                <w:rStyle w:val="Hyperlink"/>
                <w:noProof/>
              </w:rPr>
              <w:t>Peroxisome Biogenesis Genes (Peroxins/</w:t>
            </w:r>
            <w:r w:rsidR="00734F2E" w:rsidRPr="004F40F1">
              <w:rPr>
                <w:rStyle w:val="Hyperlink"/>
                <w:i/>
                <w:noProof/>
              </w:rPr>
              <w:t>PEX</w:t>
            </w:r>
            <w:r w:rsidR="00734F2E" w:rsidRPr="004F40F1">
              <w:rPr>
                <w:rStyle w:val="Hyperlink"/>
                <w:noProof/>
              </w:rPr>
              <w:t xml:space="preserve"> genes)</w:t>
            </w:r>
            <w:r w:rsidR="00734F2E">
              <w:rPr>
                <w:noProof/>
                <w:webHidden/>
              </w:rPr>
              <w:tab/>
            </w:r>
            <w:r>
              <w:rPr>
                <w:noProof/>
                <w:webHidden/>
              </w:rPr>
              <w:fldChar w:fldCharType="begin"/>
            </w:r>
            <w:r w:rsidR="00734F2E">
              <w:rPr>
                <w:noProof/>
                <w:webHidden/>
              </w:rPr>
              <w:instrText xml:space="preserve"> PAGEREF _Toc348423284 \h </w:instrText>
            </w:r>
            <w:r>
              <w:rPr>
                <w:noProof/>
                <w:webHidden/>
              </w:rPr>
            </w:r>
            <w:r>
              <w:rPr>
                <w:noProof/>
                <w:webHidden/>
              </w:rPr>
              <w:fldChar w:fldCharType="separate"/>
            </w:r>
            <w:r w:rsidR="00734F2E">
              <w:rPr>
                <w:noProof/>
                <w:webHidden/>
              </w:rPr>
              <w:t>5</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85" w:history="1">
            <w:r w:rsidR="00734F2E" w:rsidRPr="004F40F1">
              <w:rPr>
                <w:rStyle w:val="Hyperlink"/>
                <w:noProof/>
              </w:rPr>
              <w:t>1.3.1</w:t>
            </w:r>
            <w:r w:rsidR="00734F2E">
              <w:rPr>
                <w:rFonts w:eastAsiaTheme="minorEastAsia"/>
                <w:noProof/>
                <w:lang w:eastAsia="en-GB"/>
              </w:rPr>
              <w:tab/>
            </w:r>
            <w:r w:rsidR="00734F2E" w:rsidRPr="004F40F1">
              <w:rPr>
                <w:rStyle w:val="Hyperlink"/>
                <w:noProof/>
              </w:rPr>
              <w:t>Models of peroxisome biogenesis</w:t>
            </w:r>
            <w:r w:rsidR="00734F2E">
              <w:rPr>
                <w:noProof/>
                <w:webHidden/>
              </w:rPr>
              <w:tab/>
            </w:r>
            <w:r>
              <w:rPr>
                <w:noProof/>
                <w:webHidden/>
              </w:rPr>
              <w:fldChar w:fldCharType="begin"/>
            </w:r>
            <w:r w:rsidR="00734F2E">
              <w:rPr>
                <w:noProof/>
                <w:webHidden/>
              </w:rPr>
              <w:instrText xml:space="preserve"> PAGEREF _Toc348423285 \h </w:instrText>
            </w:r>
            <w:r>
              <w:rPr>
                <w:noProof/>
                <w:webHidden/>
              </w:rPr>
            </w:r>
            <w:r>
              <w:rPr>
                <w:noProof/>
                <w:webHidden/>
              </w:rPr>
              <w:fldChar w:fldCharType="separate"/>
            </w:r>
            <w:r w:rsidR="00734F2E">
              <w:rPr>
                <w:noProof/>
                <w:webHidden/>
              </w:rPr>
              <w:t>7</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86" w:history="1">
            <w:r w:rsidR="00734F2E" w:rsidRPr="004F40F1">
              <w:rPr>
                <w:rStyle w:val="Hyperlink"/>
                <w:noProof/>
              </w:rPr>
              <w:t>1.3.2</w:t>
            </w:r>
            <w:r w:rsidR="00734F2E">
              <w:rPr>
                <w:rFonts w:eastAsiaTheme="minorEastAsia"/>
                <w:noProof/>
                <w:lang w:eastAsia="en-GB"/>
              </w:rPr>
              <w:tab/>
            </w:r>
            <w:r w:rsidR="00734F2E" w:rsidRPr="004F40F1">
              <w:rPr>
                <w:rStyle w:val="Hyperlink"/>
                <w:noProof/>
              </w:rPr>
              <w:t>Peroxins involved in membrane trafficking</w:t>
            </w:r>
            <w:r w:rsidR="00734F2E">
              <w:rPr>
                <w:noProof/>
                <w:webHidden/>
              </w:rPr>
              <w:tab/>
            </w:r>
            <w:r>
              <w:rPr>
                <w:noProof/>
                <w:webHidden/>
              </w:rPr>
              <w:fldChar w:fldCharType="begin"/>
            </w:r>
            <w:r w:rsidR="00734F2E">
              <w:rPr>
                <w:noProof/>
                <w:webHidden/>
              </w:rPr>
              <w:instrText xml:space="preserve"> PAGEREF _Toc348423286 \h </w:instrText>
            </w:r>
            <w:r>
              <w:rPr>
                <w:noProof/>
                <w:webHidden/>
              </w:rPr>
            </w:r>
            <w:r>
              <w:rPr>
                <w:noProof/>
                <w:webHidden/>
              </w:rPr>
              <w:fldChar w:fldCharType="separate"/>
            </w:r>
            <w:r w:rsidR="00734F2E">
              <w:rPr>
                <w:noProof/>
                <w:webHidden/>
              </w:rPr>
              <w:t>10</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87" w:history="1">
            <w:r w:rsidR="00734F2E" w:rsidRPr="004F40F1">
              <w:rPr>
                <w:rStyle w:val="Hyperlink"/>
                <w:noProof/>
              </w:rPr>
              <w:t>1.3.3</w:t>
            </w:r>
            <w:r w:rsidR="00734F2E">
              <w:rPr>
                <w:rFonts w:eastAsiaTheme="minorEastAsia"/>
                <w:noProof/>
                <w:lang w:eastAsia="en-GB"/>
              </w:rPr>
              <w:tab/>
            </w:r>
            <w:r w:rsidR="00734F2E" w:rsidRPr="004F40F1">
              <w:rPr>
                <w:rStyle w:val="Hyperlink"/>
                <w:noProof/>
              </w:rPr>
              <w:t>Peroxins involved in matrix protein import</w:t>
            </w:r>
            <w:r w:rsidR="00734F2E">
              <w:rPr>
                <w:noProof/>
                <w:webHidden/>
              </w:rPr>
              <w:tab/>
            </w:r>
            <w:r>
              <w:rPr>
                <w:noProof/>
                <w:webHidden/>
              </w:rPr>
              <w:fldChar w:fldCharType="begin"/>
            </w:r>
            <w:r w:rsidR="00734F2E">
              <w:rPr>
                <w:noProof/>
                <w:webHidden/>
              </w:rPr>
              <w:instrText xml:space="preserve"> PAGEREF _Toc348423287 \h </w:instrText>
            </w:r>
            <w:r>
              <w:rPr>
                <w:noProof/>
                <w:webHidden/>
              </w:rPr>
            </w:r>
            <w:r>
              <w:rPr>
                <w:noProof/>
                <w:webHidden/>
              </w:rPr>
              <w:fldChar w:fldCharType="separate"/>
            </w:r>
            <w:r w:rsidR="00734F2E">
              <w:rPr>
                <w:noProof/>
                <w:webHidden/>
              </w:rPr>
              <w:t>13</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88" w:history="1">
            <w:r w:rsidR="00734F2E" w:rsidRPr="004F40F1">
              <w:rPr>
                <w:rStyle w:val="Hyperlink"/>
                <w:noProof/>
              </w:rPr>
              <w:t>1.3.4</w:t>
            </w:r>
            <w:r w:rsidR="00734F2E">
              <w:rPr>
                <w:rFonts w:eastAsiaTheme="minorEastAsia"/>
                <w:noProof/>
                <w:lang w:eastAsia="en-GB"/>
              </w:rPr>
              <w:tab/>
            </w:r>
            <w:r w:rsidR="00734F2E" w:rsidRPr="004F40F1">
              <w:rPr>
                <w:rStyle w:val="Hyperlink"/>
                <w:noProof/>
              </w:rPr>
              <w:t>Peroxins involved in maintenance of number</w:t>
            </w:r>
            <w:r w:rsidR="00734F2E">
              <w:rPr>
                <w:noProof/>
                <w:webHidden/>
              </w:rPr>
              <w:tab/>
            </w:r>
            <w:r>
              <w:rPr>
                <w:noProof/>
                <w:webHidden/>
              </w:rPr>
              <w:fldChar w:fldCharType="begin"/>
            </w:r>
            <w:r w:rsidR="00734F2E">
              <w:rPr>
                <w:noProof/>
                <w:webHidden/>
              </w:rPr>
              <w:instrText xml:space="preserve"> PAGEREF _Toc348423288 \h </w:instrText>
            </w:r>
            <w:r>
              <w:rPr>
                <w:noProof/>
                <w:webHidden/>
              </w:rPr>
            </w:r>
            <w:r>
              <w:rPr>
                <w:noProof/>
                <w:webHidden/>
              </w:rPr>
              <w:fldChar w:fldCharType="separate"/>
            </w:r>
            <w:r w:rsidR="00734F2E">
              <w:rPr>
                <w:noProof/>
                <w:webHidden/>
              </w:rPr>
              <w:t>18</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289" w:history="1">
            <w:r w:rsidR="00734F2E" w:rsidRPr="004F40F1">
              <w:rPr>
                <w:rStyle w:val="Hyperlink"/>
                <w:noProof/>
              </w:rPr>
              <w:t>1.4</w:t>
            </w:r>
            <w:r w:rsidR="00734F2E">
              <w:rPr>
                <w:rFonts w:eastAsiaTheme="minorEastAsia"/>
                <w:noProof/>
                <w:lang w:eastAsia="en-GB"/>
              </w:rPr>
              <w:tab/>
            </w:r>
            <w:r w:rsidR="00734F2E" w:rsidRPr="004F40F1">
              <w:rPr>
                <w:rStyle w:val="Hyperlink"/>
                <w:noProof/>
              </w:rPr>
              <w:t>Non-</w:t>
            </w:r>
            <w:r w:rsidR="00D93535" w:rsidRPr="00D93535">
              <w:rPr>
                <w:rStyle w:val="Hyperlink"/>
                <w:i/>
                <w:noProof/>
              </w:rPr>
              <w:t>PEX</w:t>
            </w:r>
            <w:r w:rsidR="00734F2E" w:rsidRPr="004F40F1">
              <w:rPr>
                <w:rStyle w:val="Hyperlink"/>
                <w:noProof/>
              </w:rPr>
              <w:t xml:space="preserve"> Biogenesis Genes</w:t>
            </w:r>
            <w:r w:rsidR="00734F2E">
              <w:rPr>
                <w:noProof/>
                <w:webHidden/>
              </w:rPr>
              <w:tab/>
            </w:r>
            <w:r>
              <w:rPr>
                <w:noProof/>
                <w:webHidden/>
              </w:rPr>
              <w:fldChar w:fldCharType="begin"/>
            </w:r>
            <w:r w:rsidR="00734F2E">
              <w:rPr>
                <w:noProof/>
                <w:webHidden/>
              </w:rPr>
              <w:instrText xml:space="preserve"> PAGEREF _Toc348423289 \h </w:instrText>
            </w:r>
            <w:r>
              <w:rPr>
                <w:noProof/>
                <w:webHidden/>
              </w:rPr>
            </w:r>
            <w:r>
              <w:rPr>
                <w:noProof/>
                <w:webHidden/>
              </w:rPr>
              <w:fldChar w:fldCharType="separate"/>
            </w:r>
            <w:r w:rsidR="00734F2E">
              <w:rPr>
                <w:noProof/>
                <w:webHidden/>
              </w:rPr>
              <w:t>19</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90" w:history="1">
            <w:r w:rsidR="00734F2E" w:rsidRPr="004F40F1">
              <w:rPr>
                <w:rStyle w:val="Hyperlink"/>
                <w:noProof/>
              </w:rPr>
              <w:t>1.4.1</w:t>
            </w:r>
            <w:r w:rsidR="00734F2E">
              <w:rPr>
                <w:rFonts w:eastAsiaTheme="minorEastAsia"/>
                <w:noProof/>
                <w:lang w:eastAsia="en-GB"/>
              </w:rPr>
              <w:tab/>
            </w:r>
            <w:r w:rsidR="00734F2E" w:rsidRPr="004F40F1">
              <w:rPr>
                <w:rStyle w:val="Hyperlink"/>
                <w:noProof/>
              </w:rPr>
              <w:t>Dynamin-related proteins</w:t>
            </w:r>
            <w:r w:rsidR="00734F2E">
              <w:rPr>
                <w:noProof/>
                <w:webHidden/>
              </w:rPr>
              <w:tab/>
            </w:r>
            <w:r>
              <w:rPr>
                <w:noProof/>
                <w:webHidden/>
              </w:rPr>
              <w:fldChar w:fldCharType="begin"/>
            </w:r>
            <w:r w:rsidR="00734F2E">
              <w:rPr>
                <w:noProof/>
                <w:webHidden/>
              </w:rPr>
              <w:instrText xml:space="preserve"> PAGEREF _Toc348423290 \h </w:instrText>
            </w:r>
            <w:r>
              <w:rPr>
                <w:noProof/>
                <w:webHidden/>
              </w:rPr>
            </w:r>
            <w:r>
              <w:rPr>
                <w:noProof/>
                <w:webHidden/>
              </w:rPr>
              <w:fldChar w:fldCharType="separate"/>
            </w:r>
            <w:r w:rsidR="00734F2E">
              <w:rPr>
                <w:noProof/>
                <w:webHidden/>
              </w:rPr>
              <w:t>19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291" w:history="1">
            <w:r w:rsidR="00734F2E" w:rsidRPr="004F40F1">
              <w:rPr>
                <w:rStyle w:val="Hyperlink"/>
                <w:noProof/>
              </w:rPr>
              <w:t>1.5</w:t>
            </w:r>
            <w:r w:rsidR="00734F2E">
              <w:rPr>
                <w:rFonts w:eastAsiaTheme="minorEastAsia"/>
                <w:noProof/>
                <w:lang w:eastAsia="en-GB"/>
              </w:rPr>
              <w:tab/>
            </w:r>
            <w:r w:rsidR="00734F2E" w:rsidRPr="004F40F1">
              <w:rPr>
                <w:rStyle w:val="Hyperlink"/>
                <w:noProof/>
              </w:rPr>
              <w:t>Conservation of Peroxins in Eukaryotes</w:t>
            </w:r>
            <w:r w:rsidR="00734F2E">
              <w:rPr>
                <w:noProof/>
                <w:webHidden/>
              </w:rPr>
              <w:tab/>
            </w:r>
            <w:r>
              <w:rPr>
                <w:noProof/>
                <w:webHidden/>
              </w:rPr>
              <w:fldChar w:fldCharType="begin"/>
            </w:r>
            <w:r w:rsidR="00734F2E">
              <w:rPr>
                <w:noProof/>
                <w:webHidden/>
              </w:rPr>
              <w:instrText xml:space="preserve"> PAGEREF _Toc348423291 \h </w:instrText>
            </w:r>
            <w:r>
              <w:rPr>
                <w:noProof/>
                <w:webHidden/>
              </w:rPr>
            </w:r>
            <w:r>
              <w:rPr>
                <w:noProof/>
                <w:webHidden/>
              </w:rPr>
              <w:fldChar w:fldCharType="separate"/>
            </w:r>
            <w:r w:rsidR="00734F2E">
              <w:rPr>
                <w:noProof/>
                <w:webHidden/>
              </w:rPr>
              <w:t>20</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292" w:history="1">
            <w:r w:rsidR="00734F2E" w:rsidRPr="004F40F1">
              <w:rPr>
                <w:rStyle w:val="Hyperlink"/>
                <w:noProof/>
              </w:rPr>
              <w:t>1.6</w:t>
            </w:r>
            <w:r w:rsidR="00734F2E">
              <w:rPr>
                <w:rFonts w:eastAsiaTheme="minorEastAsia"/>
                <w:noProof/>
                <w:lang w:eastAsia="en-GB"/>
              </w:rPr>
              <w:tab/>
            </w:r>
            <w:r w:rsidR="00734F2E" w:rsidRPr="004F40F1">
              <w:rPr>
                <w:rStyle w:val="Hyperlink"/>
                <w:noProof/>
              </w:rPr>
              <w:t>Drosophila as a model organism</w:t>
            </w:r>
            <w:r w:rsidR="00734F2E">
              <w:rPr>
                <w:noProof/>
                <w:webHidden/>
              </w:rPr>
              <w:tab/>
            </w:r>
            <w:r>
              <w:rPr>
                <w:noProof/>
                <w:webHidden/>
              </w:rPr>
              <w:fldChar w:fldCharType="begin"/>
            </w:r>
            <w:r w:rsidR="00734F2E">
              <w:rPr>
                <w:noProof/>
                <w:webHidden/>
              </w:rPr>
              <w:instrText xml:space="preserve"> PAGEREF _Toc348423292 \h </w:instrText>
            </w:r>
            <w:r>
              <w:rPr>
                <w:noProof/>
                <w:webHidden/>
              </w:rPr>
            </w:r>
            <w:r>
              <w:rPr>
                <w:noProof/>
                <w:webHidden/>
              </w:rPr>
              <w:fldChar w:fldCharType="separate"/>
            </w:r>
            <w:r w:rsidR="00734F2E">
              <w:rPr>
                <w:noProof/>
                <w:webHidden/>
              </w:rPr>
              <w:t>22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293" w:history="1">
            <w:r w:rsidR="00734F2E" w:rsidRPr="004F40F1">
              <w:rPr>
                <w:rStyle w:val="Hyperlink"/>
                <w:noProof/>
              </w:rPr>
              <w:t>1.7</w:t>
            </w:r>
            <w:r w:rsidR="00734F2E">
              <w:rPr>
                <w:rFonts w:eastAsiaTheme="minorEastAsia"/>
                <w:noProof/>
                <w:lang w:eastAsia="en-GB"/>
              </w:rPr>
              <w:tab/>
            </w:r>
            <w:r w:rsidR="00734F2E" w:rsidRPr="004F40F1">
              <w:rPr>
                <w:rStyle w:val="Hyperlink"/>
                <w:noProof/>
              </w:rPr>
              <w:t>RNA interference (RNAi)</w:t>
            </w:r>
            <w:r w:rsidR="00734F2E">
              <w:rPr>
                <w:noProof/>
                <w:webHidden/>
              </w:rPr>
              <w:tab/>
            </w:r>
            <w:r>
              <w:rPr>
                <w:noProof/>
                <w:webHidden/>
              </w:rPr>
              <w:fldChar w:fldCharType="begin"/>
            </w:r>
            <w:r w:rsidR="00734F2E">
              <w:rPr>
                <w:noProof/>
                <w:webHidden/>
              </w:rPr>
              <w:instrText xml:space="preserve"> PAGEREF _Toc348423293 \h </w:instrText>
            </w:r>
            <w:r>
              <w:rPr>
                <w:noProof/>
                <w:webHidden/>
              </w:rPr>
            </w:r>
            <w:r>
              <w:rPr>
                <w:noProof/>
                <w:webHidden/>
              </w:rPr>
              <w:fldChar w:fldCharType="separate"/>
            </w:r>
            <w:r w:rsidR="00734F2E">
              <w:rPr>
                <w:noProof/>
                <w:webHidden/>
              </w:rPr>
              <w:t>22</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94" w:history="1">
            <w:r w:rsidR="00734F2E" w:rsidRPr="004F40F1">
              <w:rPr>
                <w:rStyle w:val="Hyperlink"/>
                <w:noProof/>
              </w:rPr>
              <w:t>1.7.1</w:t>
            </w:r>
            <w:r w:rsidR="00734F2E">
              <w:rPr>
                <w:rFonts w:eastAsiaTheme="minorEastAsia"/>
                <w:noProof/>
                <w:lang w:eastAsia="en-GB"/>
              </w:rPr>
              <w:tab/>
            </w:r>
            <w:r w:rsidR="00734F2E" w:rsidRPr="004F40F1">
              <w:rPr>
                <w:rStyle w:val="Hyperlink"/>
                <w:noProof/>
              </w:rPr>
              <w:t>History and Mechanism</w:t>
            </w:r>
            <w:r w:rsidR="00734F2E">
              <w:rPr>
                <w:noProof/>
                <w:webHidden/>
              </w:rPr>
              <w:tab/>
            </w:r>
            <w:r>
              <w:rPr>
                <w:noProof/>
                <w:webHidden/>
              </w:rPr>
              <w:fldChar w:fldCharType="begin"/>
            </w:r>
            <w:r w:rsidR="00734F2E">
              <w:rPr>
                <w:noProof/>
                <w:webHidden/>
              </w:rPr>
              <w:instrText xml:space="preserve"> PAGEREF _Toc348423294 \h </w:instrText>
            </w:r>
            <w:r>
              <w:rPr>
                <w:noProof/>
                <w:webHidden/>
              </w:rPr>
            </w:r>
            <w:r>
              <w:rPr>
                <w:noProof/>
                <w:webHidden/>
              </w:rPr>
              <w:fldChar w:fldCharType="separate"/>
            </w:r>
            <w:r w:rsidR="00734F2E">
              <w:rPr>
                <w:noProof/>
                <w:webHidden/>
              </w:rPr>
              <w:t>22</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95" w:history="1">
            <w:r w:rsidR="00734F2E" w:rsidRPr="004F40F1">
              <w:rPr>
                <w:rStyle w:val="Hyperlink"/>
                <w:noProof/>
              </w:rPr>
              <w:t>1.7.2</w:t>
            </w:r>
            <w:r w:rsidR="00734F2E">
              <w:rPr>
                <w:rFonts w:eastAsiaTheme="minorEastAsia"/>
                <w:noProof/>
                <w:lang w:eastAsia="en-GB"/>
              </w:rPr>
              <w:tab/>
            </w:r>
            <w:r w:rsidR="00734F2E" w:rsidRPr="004F40F1">
              <w:rPr>
                <w:rStyle w:val="Hyperlink"/>
                <w:noProof/>
              </w:rPr>
              <w:t xml:space="preserve">Screening </w:t>
            </w:r>
            <w:r w:rsidR="00734F2E" w:rsidRPr="004F40F1">
              <w:rPr>
                <w:rStyle w:val="Hyperlink"/>
                <w:i/>
                <w:noProof/>
              </w:rPr>
              <w:t>Drosophila</w:t>
            </w:r>
            <w:r w:rsidR="00734F2E" w:rsidRPr="004F40F1">
              <w:rPr>
                <w:rStyle w:val="Hyperlink"/>
                <w:noProof/>
              </w:rPr>
              <w:t xml:space="preserve"> with RNAi</w:t>
            </w:r>
            <w:r w:rsidR="00734F2E">
              <w:rPr>
                <w:noProof/>
                <w:webHidden/>
              </w:rPr>
              <w:tab/>
            </w:r>
            <w:r>
              <w:rPr>
                <w:noProof/>
                <w:webHidden/>
              </w:rPr>
              <w:fldChar w:fldCharType="begin"/>
            </w:r>
            <w:r w:rsidR="00734F2E">
              <w:rPr>
                <w:noProof/>
                <w:webHidden/>
              </w:rPr>
              <w:instrText xml:space="preserve"> PAGEREF _Toc348423295 \h </w:instrText>
            </w:r>
            <w:r>
              <w:rPr>
                <w:noProof/>
                <w:webHidden/>
              </w:rPr>
            </w:r>
            <w:r>
              <w:rPr>
                <w:noProof/>
                <w:webHidden/>
              </w:rPr>
              <w:fldChar w:fldCharType="separate"/>
            </w:r>
            <w:r w:rsidR="00734F2E">
              <w:rPr>
                <w:noProof/>
                <w:webHidden/>
              </w:rPr>
              <w:t>23</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296" w:history="1">
            <w:r w:rsidR="00734F2E" w:rsidRPr="004F40F1">
              <w:rPr>
                <w:rStyle w:val="Hyperlink"/>
                <w:noProof/>
              </w:rPr>
              <w:t>1.7.3</w:t>
            </w:r>
            <w:r w:rsidR="00734F2E">
              <w:rPr>
                <w:rFonts w:eastAsiaTheme="minorEastAsia"/>
                <w:noProof/>
                <w:lang w:eastAsia="en-GB"/>
              </w:rPr>
              <w:tab/>
            </w:r>
            <w:r w:rsidR="00734F2E" w:rsidRPr="004F40F1">
              <w:rPr>
                <w:rStyle w:val="Hyperlink"/>
                <w:noProof/>
              </w:rPr>
              <w:t xml:space="preserve">A rationale for screening the </w:t>
            </w:r>
            <w:r w:rsidR="00734F2E" w:rsidRPr="004F40F1">
              <w:rPr>
                <w:rStyle w:val="Hyperlink"/>
                <w:i/>
                <w:noProof/>
              </w:rPr>
              <w:t>D. melanogaster</w:t>
            </w:r>
            <w:r w:rsidR="00734F2E" w:rsidRPr="004F40F1">
              <w:rPr>
                <w:rStyle w:val="Hyperlink"/>
                <w:noProof/>
              </w:rPr>
              <w:t xml:space="preserve"> genome for peroxins.</w:t>
            </w:r>
            <w:r w:rsidR="00734F2E">
              <w:rPr>
                <w:noProof/>
                <w:webHidden/>
              </w:rPr>
              <w:tab/>
            </w:r>
            <w:r>
              <w:rPr>
                <w:noProof/>
                <w:webHidden/>
              </w:rPr>
              <w:fldChar w:fldCharType="begin"/>
            </w:r>
            <w:r w:rsidR="00734F2E">
              <w:rPr>
                <w:noProof/>
                <w:webHidden/>
              </w:rPr>
              <w:instrText xml:space="preserve"> PAGEREF _Toc348423296 \h </w:instrText>
            </w:r>
            <w:r>
              <w:rPr>
                <w:noProof/>
                <w:webHidden/>
              </w:rPr>
            </w:r>
            <w:r>
              <w:rPr>
                <w:noProof/>
                <w:webHidden/>
              </w:rPr>
              <w:fldChar w:fldCharType="separate"/>
            </w:r>
            <w:r w:rsidR="00734F2E">
              <w:rPr>
                <w:noProof/>
                <w:webHidden/>
              </w:rPr>
              <w:t>25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297" w:history="1">
            <w:r w:rsidR="00734F2E" w:rsidRPr="004F40F1">
              <w:rPr>
                <w:rStyle w:val="Hyperlink"/>
                <w:noProof/>
              </w:rPr>
              <w:t>1.8</w:t>
            </w:r>
            <w:r w:rsidR="00734F2E">
              <w:rPr>
                <w:rFonts w:eastAsiaTheme="minorEastAsia"/>
                <w:noProof/>
                <w:lang w:eastAsia="en-GB"/>
              </w:rPr>
              <w:tab/>
            </w:r>
            <w:r w:rsidR="00734F2E" w:rsidRPr="004F40F1">
              <w:rPr>
                <w:rStyle w:val="Hyperlink"/>
                <w:noProof/>
              </w:rPr>
              <w:t>Aims</w:t>
            </w:r>
            <w:r w:rsidR="00734F2E">
              <w:rPr>
                <w:noProof/>
                <w:webHidden/>
              </w:rPr>
              <w:tab/>
            </w:r>
            <w:r>
              <w:rPr>
                <w:noProof/>
                <w:webHidden/>
              </w:rPr>
              <w:fldChar w:fldCharType="begin"/>
            </w:r>
            <w:r w:rsidR="00734F2E">
              <w:rPr>
                <w:noProof/>
                <w:webHidden/>
              </w:rPr>
              <w:instrText xml:space="preserve"> PAGEREF _Toc348423297 \h </w:instrText>
            </w:r>
            <w:r>
              <w:rPr>
                <w:noProof/>
                <w:webHidden/>
              </w:rPr>
            </w:r>
            <w:r>
              <w:rPr>
                <w:noProof/>
                <w:webHidden/>
              </w:rPr>
              <w:fldChar w:fldCharType="separate"/>
            </w:r>
            <w:r w:rsidR="00734F2E">
              <w:rPr>
                <w:noProof/>
                <w:webHidden/>
              </w:rPr>
              <w:t>26</w:t>
            </w:r>
            <w:r>
              <w:rPr>
                <w:noProof/>
                <w:webHidden/>
              </w:rPr>
              <w:fldChar w:fldCharType="end"/>
            </w:r>
          </w:hyperlink>
        </w:p>
        <w:p w:rsidR="00734F2E" w:rsidRDefault="009A1FEC">
          <w:pPr>
            <w:pStyle w:val="TOC1"/>
            <w:tabs>
              <w:tab w:val="left" w:pos="440"/>
              <w:tab w:val="right" w:leader="dot" w:pos="8131"/>
            </w:tabs>
            <w:rPr>
              <w:rFonts w:eastAsiaTheme="minorEastAsia"/>
              <w:noProof/>
              <w:lang w:eastAsia="en-GB"/>
            </w:rPr>
          </w:pPr>
          <w:hyperlink w:anchor="_Toc348423298" w:history="1">
            <w:r w:rsidR="00734F2E" w:rsidRPr="004F40F1">
              <w:rPr>
                <w:rStyle w:val="Hyperlink"/>
                <w:noProof/>
              </w:rPr>
              <w:t>2</w:t>
            </w:r>
            <w:r w:rsidR="00734F2E">
              <w:rPr>
                <w:rFonts w:eastAsiaTheme="minorEastAsia"/>
                <w:noProof/>
                <w:lang w:eastAsia="en-GB"/>
              </w:rPr>
              <w:tab/>
            </w:r>
            <w:r w:rsidR="00734F2E" w:rsidRPr="004F40F1">
              <w:rPr>
                <w:rStyle w:val="Hyperlink"/>
                <w:noProof/>
              </w:rPr>
              <w:t>Materials and methods</w:t>
            </w:r>
            <w:r w:rsidR="00734F2E">
              <w:rPr>
                <w:noProof/>
                <w:webHidden/>
              </w:rPr>
              <w:tab/>
            </w:r>
            <w:r>
              <w:rPr>
                <w:noProof/>
                <w:webHidden/>
              </w:rPr>
              <w:fldChar w:fldCharType="begin"/>
            </w:r>
            <w:r w:rsidR="00734F2E">
              <w:rPr>
                <w:noProof/>
                <w:webHidden/>
              </w:rPr>
              <w:instrText xml:space="preserve"> PAGEREF _Toc348423298 \h </w:instrText>
            </w:r>
            <w:r>
              <w:rPr>
                <w:noProof/>
                <w:webHidden/>
              </w:rPr>
            </w:r>
            <w:r>
              <w:rPr>
                <w:noProof/>
                <w:webHidden/>
              </w:rPr>
              <w:fldChar w:fldCharType="separate"/>
            </w:r>
            <w:r w:rsidR="00734F2E">
              <w:rPr>
                <w:noProof/>
                <w:webHidden/>
              </w:rPr>
              <w:t>27</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299" w:history="1">
            <w:r w:rsidR="00734F2E" w:rsidRPr="004F40F1">
              <w:rPr>
                <w:rStyle w:val="Hyperlink"/>
                <w:noProof/>
              </w:rPr>
              <w:t>2.1</w:t>
            </w:r>
            <w:r w:rsidR="00734F2E">
              <w:rPr>
                <w:rFonts w:eastAsiaTheme="minorEastAsia"/>
                <w:noProof/>
                <w:lang w:eastAsia="en-GB"/>
              </w:rPr>
              <w:tab/>
            </w:r>
            <w:r w:rsidR="00734F2E" w:rsidRPr="004F40F1">
              <w:rPr>
                <w:rStyle w:val="Hyperlink"/>
                <w:noProof/>
              </w:rPr>
              <w:t>Chemicals, enzymes and Media</w:t>
            </w:r>
            <w:r w:rsidR="00734F2E">
              <w:rPr>
                <w:noProof/>
                <w:webHidden/>
              </w:rPr>
              <w:tab/>
            </w:r>
            <w:r>
              <w:rPr>
                <w:noProof/>
                <w:webHidden/>
              </w:rPr>
              <w:fldChar w:fldCharType="begin"/>
            </w:r>
            <w:r w:rsidR="00734F2E">
              <w:rPr>
                <w:noProof/>
                <w:webHidden/>
              </w:rPr>
              <w:instrText xml:space="preserve"> PAGEREF _Toc348423299 \h </w:instrText>
            </w:r>
            <w:r>
              <w:rPr>
                <w:noProof/>
                <w:webHidden/>
              </w:rPr>
            </w:r>
            <w:r>
              <w:rPr>
                <w:noProof/>
                <w:webHidden/>
              </w:rPr>
              <w:fldChar w:fldCharType="separate"/>
            </w:r>
            <w:r w:rsidR="00734F2E">
              <w:rPr>
                <w:noProof/>
                <w:webHidden/>
              </w:rPr>
              <w:t>27</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00" w:history="1">
            <w:r w:rsidR="00734F2E" w:rsidRPr="004F40F1">
              <w:rPr>
                <w:rStyle w:val="Hyperlink"/>
                <w:noProof/>
              </w:rPr>
              <w:t>2.2</w:t>
            </w:r>
            <w:r w:rsidR="00734F2E">
              <w:rPr>
                <w:rFonts w:eastAsiaTheme="minorEastAsia"/>
                <w:noProof/>
                <w:lang w:eastAsia="en-GB"/>
              </w:rPr>
              <w:tab/>
            </w:r>
            <w:r w:rsidR="00734F2E" w:rsidRPr="004F40F1">
              <w:rPr>
                <w:rStyle w:val="Hyperlink"/>
                <w:noProof/>
              </w:rPr>
              <w:t>Strains and Plasmids</w:t>
            </w:r>
            <w:r w:rsidR="00734F2E">
              <w:rPr>
                <w:noProof/>
                <w:webHidden/>
              </w:rPr>
              <w:tab/>
            </w:r>
            <w:r>
              <w:rPr>
                <w:noProof/>
                <w:webHidden/>
              </w:rPr>
              <w:fldChar w:fldCharType="begin"/>
            </w:r>
            <w:r w:rsidR="00734F2E">
              <w:rPr>
                <w:noProof/>
                <w:webHidden/>
              </w:rPr>
              <w:instrText xml:space="preserve"> PAGEREF _Toc348423300 \h </w:instrText>
            </w:r>
            <w:r>
              <w:rPr>
                <w:noProof/>
                <w:webHidden/>
              </w:rPr>
            </w:r>
            <w:r>
              <w:rPr>
                <w:noProof/>
                <w:webHidden/>
              </w:rPr>
              <w:fldChar w:fldCharType="separate"/>
            </w:r>
            <w:r w:rsidR="00734F2E">
              <w:rPr>
                <w:noProof/>
                <w:webHidden/>
              </w:rPr>
              <w:t>27</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01" w:history="1">
            <w:r w:rsidR="00734F2E" w:rsidRPr="004F40F1">
              <w:rPr>
                <w:rStyle w:val="Hyperlink"/>
                <w:noProof/>
              </w:rPr>
              <w:t>2.2.1</w:t>
            </w:r>
            <w:r w:rsidR="00734F2E">
              <w:rPr>
                <w:rFonts w:eastAsiaTheme="minorEastAsia"/>
                <w:noProof/>
                <w:lang w:eastAsia="en-GB"/>
              </w:rPr>
              <w:tab/>
            </w:r>
            <w:r w:rsidR="00734F2E" w:rsidRPr="004F40F1">
              <w:rPr>
                <w:rStyle w:val="Hyperlink"/>
                <w:i/>
                <w:noProof/>
              </w:rPr>
              <w:t>Saccharomyces Cerevisiae</w:t>
            </w:r>
            <w:r w:rsidR="00734F2E" w:rsidRPr="004F40F1">
              <w:rPr>
                <w:rStyle w:val="Hyperlink"/>
                <w:noProof/>
              </w:rPr>
              <w:t xml:space="preserve"> Strains:</w:t>
            </w:r>
            <w:r w:rsidR="00734F2E">
              <w:rPr>
                <w:noProof/>
                <w:webHidden/>
              </w:rPr>
              <w:tab/>
            </w:r>
            <w:r>
              <w:rPr>
                <w:noProof/>
                <w:webHidden/>
              </w:rPr>
              <w:fldChar w:fldCharType="begin"/>
            </w:r>
            <w:r w:rsidR="00734F2E">
              <w:rPr>
                <w:noProof/>
                <w:webHidden/>
              </w:rPr>
              <w:instrText xml:space="preserve"> PAGEREF _Toc348423301 \h </w:instrText>
            </w:r>
            <w:r>
              <w:rPr>
                <w:noProof/>
                <w:webHidden/>
              </w:rPr>
            </w:r>
            <w:r>
              <w:rPr>
                <w:noProof/>
                <w:webHidden/>
              </w:rPr>
              <w:fldChar w:fldCharType="separate"/>
            </w:r>
            <w:r w:rsidR="00734F2E">
              <w:rPr>
                <w:noProof/>
                <w:webHidden/>
              </w:rPr>
              <w:t>27</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02" w:history="1">
            <w:r w:rsidR="00734F2E" w:rsidRPr="004F40F1">
              <w:rPr>
                <w:rStyle w:val="Hyperlink"/>
                <w:noProof/>
              </w:rPr>
              <w:t>2.2.2</w:t>
            </w:r>
            <w:r w:rsidR="00734F2E">
              <w:rPr>
                <w:rFonts w:eastAsiaTheme="minorEastAsia"/>
                <w:noProof/>
                <w:lang w:eastAsia="en-GB"/>
              </w:rPr>
              <w:tab/>
            </w:r>
            <w:r w:rsidR="00734F2E" w:rsidRPr="004F40F1">
              <w:rPr>
                <w:rStyle w:val="Hyperlink"/>
                <w:i/>
                <w:noProof/>
              </w:rPr>
              <w:t xml:space="preserve">Escherichia coli </w:t>
            </w:r>
            <w:r w:rsidR="00734F2E" w:rsidRPr="004F40F1">
              <w:rPr>
                <w:rStyle w:val="Hyperlink"/>
                <w:noProof/>
              </w:rPr>
              <w:t>Strains:</w:t>
            </w:r>
            <w:r w:rsidR="00734F2E">
              <w:rPr>
                <w:noProof/>
                <w:webHidden/>
              </w:rPr>
              <w:tab/>
            </w:r>
            <w:r>
              <w:rPr>
                <w:noProof/>
                <w:webHidden/>
              </w:rPr>
              <w:fldChar w:fldCharType="begin"/>
            </w:r>
            <w:r w:rsidR="00734F2E">
              <w:rPr>
                <w:noProof/>
                <w:webHidden/>
              </w:rPr>
              <w:instrText xml:space="preserve"> PAGEREF _Toc348423302 \h </w:instrText>
            </w:r>
            <w:r>
              <w:rPr>
                <w:noProof/>
                <w:webHidden/>
              </w:rPr>
            </w:r>
            <w:r>
              <w:rPr>
                <w:noProof/>
                <w:webHidden/>
              </w:rPr>
              <w:fldChar w:fldCharType="separate"/>
            </w:r>
            <w:r w:rsidR="00734F2E">
              <w:rPr>
                <w:noProof/>
                <w:webHidden/>
              </w:rPr>
              <w:t>27</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03" w:history="1">
            <w:r w:rsidR="00734F2E" w:rsidRPr="004F40F1">
              <w:rPr>
                <w:rStyle w:val="Hyperlink"/>
                <w:noProof/>
              </w:rPr>
              <w:t>2.2.3</w:t>
            </w:r>
            <w:r w:rsidR="00734F2E">
              <w:rPr>
                <w:rFonts w:eastAsiaTheme="minorEastAsia"/>
                <w:noProof/>
                <w:lang w:eastAsia="en-GB"/>
              </w:rPr>
              <w:tab/>
            </w:r>
            <w:r w:rsidR="00734F2E" w:rsidRPr="004F40F1">
              <w:rPr>
                <w:rStyle w:val="Hyperlink"/>
                <w:noProof/>
              </w:rPr>
              <w:t>Drosophila melanogaster Strains:</w:t>
            </w:r>
            <w:r w:rsidR="00734F2E">
              <w:rPr>
                <w:noProof/>
                <w:webHidden/>
              </w:rPr>
              <w:tab/>
            </w:r>
            <w:r>
              <w:rPr>
                <w:noProof/>
                <w:webHidden/>
              </w:rPr>
              <w:fldChar w:fldCharType="begin"/>
            </w:r>
            <w:r w:rsidR="00734F2E">
              <w:rPr>
                <w:noProof/>
                <w:webHidden/>
              </w:rPr>
              <w:instrText xml:space="preserve"> PAGEREF _Toc348423303 \h </w:instrText>
            </w:r>
            <w:r>
              <w:rPr>
                <w:noProof/>
                <w:webHidden/>
              </w:rPr>
            </w:r>
            <w:r>
              <w:rPr>
                <w:noProof/>
                <w:webHidden/>
              </w:rPr>
              <w:fldChar w:fldCharType="separate"/>
            </w:r>
            <w:r w:rsidR="00734F2E">
              <w:rPr>
                <w:noProof/>
                <w:webHidden/>
              </w:rPr>
              <w:t>28</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04" w:history="1">
            <w:r w:rsidR="00734F2E" w:rsidRPr="004F40F1">
              <w:rPr>
                <w:rStyle w:val="Hyperlink"/>
                <w:noProof/>
              </w:rPr>
              <w:t>2.3</w:t>
            </w:r>
            <w:r w:rsidR="00734F2E">
              <w:rPr>
                <w:rFonts w:eastAsiaTheme="minorEastAsia"/>
                <w:noProof/>
                <w:lang w:eastAsia="en-GB"/>
              </w:rPr>
              <w:tab/>
            </w:r>
            <w:r w:rsidR="00734F2E" w:rsidRPr="004F40F1">
              <w:rPr>
                <w:rStyle w:val="Hyperlink"/>
                <w:noProof/>
              </w:rPr>
              <w:t>Plasmids</w:t>
            </w:r>
            <w:r w:rsidR="00734F2E">
              <w:rPr>
                <w:noProof/>
                <w:webHidden/>
              </w:rPr>
              <w:tab/>
            </w:r>
            <w:r>
              <w:rPr>
                <w:noProof/>
                <w:webHidden/>
              </w:rPr>
              <w:fldChar w:fldCharType="begin"/>
            </w:r>
            <w:r w:rsidR="00734F2E">
              <w:rPr>
                <w:noProof/>
                <w:webHidden/>
              </w:rPr>
              <w:instrText xml:space="preserve"> PAGEREF _Toc348423304 \h </w:instrText>
            </w:r>
            <w:r>
              <w:rPr>
                <w:noProof/>
                <w:webHidden/>
              </w:rPr>
            </w:r>
            <w:r>
              <w:rPr>
                <w:noProof/>
                <w:webHidden/>
              </w:rPr>
              <w:fldChar w:fldCharType="separate"/>
            </w:r>
            <w:r w:rsidR="00734F2E">
              <w:rPr>
                <w:noProof/>
                <w:webHidden/>
              </w:rPr>
              <w:t>29</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05" w:history="1">
            <w:r w:rsidR="00734F2E" w:rsidRPr="004F40F1">
              <w:rPr>
                <w:rStyle w:val="Hyperlink"/>
                <w:noProof/>
              </w:rPr>
              <w:t>2.3.1</w:t>
            </w:r>
            <w:r w:rsidR="00734F2E">
              <w:rPr>
                <w:rFonts w:eastAsiaTheme="minorEastAsia"/>
                <w:noProof/>
                <w:lang w:eastAsia="en-GB"/>
              </w:rPr>
              <w:tab/>
            </w:r>
            <w:r w:rsidR="00734F2E" w:rsidRPr="004F40F1">
              <w:rPr>
                <w:rStyle w:val="Hyperlink"/>
                <w:noProof/>
              </w:rPr>
              <w:t>Primers</w:t>
            </w:r>
            <w:r w:rsidR="00734F2E">
              <w:rPr>
                <w:noProof/>
                <w:webHidden/>
              </w:rPr>
              <w:tab/>
            </w:r>
            <w:r>
              <w:rPr>
                <w:noProof/>
                <w:webHidden/>
              </w:rPr>
              <w:fldChar w:fldCharType="begin"/>
            </w:r>
            <w:r w:rsidR="00734F2E">
              <w:rPr>
                <w:noProof/>
                <w:webHidden/>
              </w:rPr>
              <w:instrText xml:space="preserve"> PAGEREF _Toc348423305 \h </w:instrText>
            </w:r>
            <w:r>
              <w:rPr>
                <w:noProof/>
                <w:webHidden/>
              </w:rPr>
            </w:r>
            <w:r>
              <w:rPr>
                <w:noProof/>
                <w:webHidden/>
              </w:rPr>
              <w:fldChar w:fldCharType="separate"/>
            </w:r>
            <w:r w:rsidR="00734F2E">
              <w:rPr>
                <w:noProof/>
                <w:webHidden/>
              </w:rPr>
              <w:t>31</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06" w:history="1">
            <w:r w:rsidR="00734F2E" w:rsidRPr="004F40F1">
              <w:rPr>
                <w:rStyle w:val="Hyperlink"/>
                <w:noProof/>
              </w:rPr>
              <w:t>2.3.2</w:t>
            </w:r>
            <w:r w:rsidR="00734F2E">
              <w:rPr>
                <w:rFonts w:eastAsiaTheme="minorEastAsia"/>
                <w:noProof/>
                <w:lang w:eastAsia="en-GB"/>
              </w:rPr>
              <w:tab/>
            </w:r>
            <w:r w:rsidR="00734F2E" w:rsidRPr="004F40F1">
              <w:rPr>
                <w:rStyle w:val="Hyperlink"/>
                <w:noProof/>
              </w:rPr>
              <w:t xml:space="preserve">Design of </w:t>
            </w:r>
            <w:r w:rsidR="00734F2E" w:rsidRPr="004F40F1">
              <w:rPr>
                <w:rStyle w:val="Hyperlink"/>
                <w:i/>
                <w:noProof/>
              </w:rPr>
              <w:t>Drosophila melanogaster-Saccharomyces cerevisiae</w:t>
            </w:r>
            <w:r w:rsidR="00734F2E" w:rsidRPr="004F40F1">
              <w:rPr>
                <w:rStyle w:val="Hyperlink"/>
                <w:noProof/>
              </w:rPr>
              <w:t xml:space="preserve"> shuttle vector.</w:t>
            </w:r>
            <w:r w:rsidR="00734F2E">
              <w:rPr>
                <w:noProof/>
                <w:webHidden/>
              </w:rPr>
              <w:tab/>
            </w:r>
            <w:r>
              <w:rPr>
                <w:noProof/>
                <w:webHidden/>
              </w:rPr>
              <w:fldChar w:fldCharType="begin"/>
            </w:r>
            <w:r w:rsidR="00734F2E">
              <w:rPr>
                <w:noProof/>
                <w:webHidden/>
              </w:rPr>
              <w:instrText xml:space="preserve"> PAGEREF _Toc348423306 \h </w:instrText>
            </w:r>
            <w:r>
              <w:rPr>
                <w:noProof/>
                <w:webHidden/>
              </w:rPr>
            </w:r>
            <w:r>
              <w:rPr>
                <w:noProof/>
                <w:webHidden/>
              </w:rPr>
              <w:fldChar w:fldCharType="separate"/>
            </w:r>
            <w:r w:rsidR="00734F2E">
              <w:rPr>
                <w:noProof/>
                <w:webHidden/>
              </w:rPr>
              <w:t>32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07" w:history="1">
            <w:r w:rsidR="00734F2E" w:rsidRPr="004F40F1">
              <w:rPr>
                <w:rStyle w:val="Hyperlink"/>
                <w:noProof/>
              </w:rPr>
              <w:t>2.4</w:t>
            </w:r>
            <w:r w:rsidR="00734F2E">
              <w:rPr>
                <w:rFonts w:eastAsiaTheme="minorEastAsia"/>
                <w:noProof/>
                <w:lang w:eastAsia="en-GB"/>
              </w:rPr>
              <w:tab/>
            </w:r>
            <w:r w:rsidR="00734F2E" w:rsidRPr="004F40F1">
              <w:rPr>
                <w:rStyle w:val="Hyperlink"/>
                <w:noProof/>
              </w:rPr>
              <w:t>Preparation of culture media</w:t>
            </w:r>
            <w:r w:rsidR="00734F2E">
              <w:rPr>
                <w:noProof/>
                <w:webHidden/>
              </w:rPr>
              <w:tab/>
            </w:r>
            <w:r>
              <w:rPr>
                <w:noProof/>
                <w:webHidden/>
              </w:rPr>
              <w:fldChar w:fldCharType="begin"/>
            </w:r>
            <w:r w:rsidR="00734F2E">
              <w:rPr>
                <w:noProof/>
                <w:webHidden/>
              </w:rPr>
              <w:instrText xml:space="preserve"> PAGEREF _Toc348423307 \h </w:instrText>
            </w:r>
            <w:r>
              <w:rPr>
                <w:noProof/>
                <w:webHidden/>
              </w:rPr>
            </w:r>
            <w:r>
              <w:rPr>
                <w:noProof/>
                <w:webHidden/>
              </w:rPr>
              <w:fldChar w:fldCharType="separate"/>
            </w:r>
            <w:r w:rsidR="00734F2E">
              <w:rPr>
                <w:noProof/>
                <w:webHidden/>
              </w:rPr>
              <w:t>35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08" w:history="1">
            <w:r w:rsidR="00734F2E" w:rsidRPr="004F40F1">
              <w:rPr>
                <w:rStyle w:val="Hyperlink"/>
                <w:noProof/>
              </w:rPr>
              <w:t>2.5</w:t>
            </w:r>
            <w:r w:rsidR="00734F2E">
              <w:rPr>
                <w:rFonts w:eastAsiaTheme="minorEastAsia"/>
                <w:noProof/>
                <w:lang w:eastAsia="en-GB"/>
              </w:rPr>
              <w:tab/>
            </w:r>
            <w:r w:rsidR="00734F2E" w:rsidRPr="004F40F1">
              <w:rPr>
                <w:rStyle w:val="Hyperlink"/>
                <w:i/>
                <w:noProof/>
              </w:rPr>
              <w:t>E. coli protocols</w:t>
            </w:r>
            <w:r w:rsidR="00734F2E">
              <w:rPr>
                <w:noProof/>
                <w:webHidden/>
              </w:rPr>
              <w:tab/>
            </w:r>
            <w:r>
              <w:rPr>
                <w:noProof/>
                <w:webHidden/>
              </w:rPr>
              <w:fldChar w:fldCharType="begin"/>
            </w:r>
            <w:r w:rsidR="00734F2E">
              <w:rPr>
                <w:noProof/>
                <w:webHidden/>
              </w:rPr>
              <w:instrText xml:space="preserve"> PAGEREF _Toc348423308 \h </w:instrText>
            </w:r>
            <w:r>
              <w:rPr>
                <w:noProof/>
                <w:webHidden/>
              </w:rPr>
            </w:r>
            <w:r>
              <w:rPr>
                <w:noProof/>
                <w:webHidden/>
              </w:rPr>
              <w:fldChar w:fldCharType="separate"/>
            </w:r>
            <w:r w:rsidR="00734F2E">
              <w:rPr>
                <w:noProof/>
                <w:webHidden/>
              </w:rPr>
              <w:t>35</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09" w:history="1">
            <w:r w:rsidR="00734F2E" w:rsidRPr="004F40F1">
              <w:rPr>
                <w:rStyle w:val="Hyperlink"/>
                <w:noProof/>
              </w:rPr>
              <w:t>2.5.1</w:t>
            </w:r>
            <w:r w:rsidR="00734F2E">
              <w:rPr>
                <w:rFonts w:eastAsiaTheme="minorEastAsia"/>
                <w:noProof/>
                <w:lang w:eastAsia="en-GB"/>
              </w:rPr>
              <w:tab/>
            </w:r>
            <w:r w:rsidR="00734F2E" w:rsidRPr="004F40F1">
              <w:rPr>
                <w:rStyle w:val="Hyperlink"/>
                <w:i/>
                <w:noProof/>
              </w:rPr>
              <w:t>E. coli</w:t>
            </w:r>
            <w:r w:rsidR="00734F2E" w:rsidRPr="004F40F1">
              <w:rPr>
                <w:rStyle w:val="Hyperlink"/>
                <w:noProof/>
              </w:rPr>
              <w:t xml:space="preserve"> growth and maintenance</w:t>
            </w:r>
            <w:r w:rsidR="00734F2E">
              <w:rPr>
                <w:noProof/>
                <w:webHidden/>
              </w:rPr>
              <w:tab/>
            </w:r>
            <w:r>
              <w:rPr>
                <w:noProof/>
                <w:webHidden/>
              </w:rPr>
              <w:fldChar w:fldCharType="begin"/>
            </w:r>
            <w:r w:rsidR="00734F2E">
              <w:rPr>
                <w:noProof/>
                <w:webHidden/>
              </w:rPr>
              <w:instrText xml:space="preserve"> PAGEREF _Toc348423309 \h </w:instrText>
            </w:r>
            <w:r>
              <w:rPr>
                <w:noProof/>
                <w:webHidden/>
              </w:rPr>
            </w:r>
            <w:r>
              <w:rPr>
                <w:noProof/>
                <w:webHidden/>
              </w:rPr>
              <w:fldChar w:fldCharType="separate"/>
            </w:r>
            <w:r w:rsidR="00734F2E">
              <w:rPr>
                <w:noProof/>
                <w:webHidden/>
              </w:rPr>
              <w:t>35</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10" w:history="1">
            <w:r w:rsidR="00734F2E" w:rsidRPr="004F40F1">
              <w:rPr>
                <w:rStyle w:val="Hyperlink"/>
                <w:noProof/>
              </w:rPr>
              <w:t>2.5.2</w:t>
            </w:r>
            <w:r w:rsidR="00734F2E">
              <w:rPr>
                <w:rFonts w:eastAsiaTheme="minorEastAsia"/>
                <w:noProof/>
                <w:lang w:eastAsia="en-GB"/>
              </w:rPr>
              <w:tab/>
            </w:r>
            <w:r w:rsidR="00734F2E" w:rsidRPr="004F40F1">
              <w:rPr>
                <w:rStyle w:val="Hyperlink"/>
                <w:noProof/>
              </w:rPr>
              <w:t>Making chemically competent DH5α cells</w:t>
            </w:r>
            <w:r w:rsidR="00734F2E">
              <w:rPr>
                <w:noProof/>
                <w:webHidden/>
              </w:rPr>
              <w:tab/>
            </w:r>
            <w:r>
              <w:rPr>
                <w:noProof/>
                <w:webHidden/>
              </w:rPr>
              <w:fldChar w:fldCharType="begin"/>
            </w:r>
            <w:r w:rsidR="00734F2E">
              <w:rPr>
                <w:noProof/>
                <w:webHidden/>
              </w:rPr>
              <w:instrText xml:space="preserve"> PAGEREF _Toc348423310 \h </w:instrText>
            </w:r>
            <w:r>
              <w:rPr>
                <w:noProof/>
                <w:webHidden/>
              </w:rPr>
            </w:r>
            <w:r>
              <w:rPr>
                <w:noProof/>
                <w:webHidden/>
              </w:rPr>
              <w:fldChar w:fldCharType="separate"/>
            </w:r>
            <w:r w:rsidR="00734F2E">
              <w:rPr>
                <w:noProof/>
                <w:webHidden/>
              </w:rPr>
              <w:t>36</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11" w:history="1">
            <w:r w:rsidR="00734F2E" w:rsidRPr="004F40F1">
              <w:rPr>
                <w:rStyle w:val="Hyperlink"/>
                <w:noProof/>
              </w:rPr>
              <w:t>2.5.3</w:t>
            </w:r>
            <w:r w:rsidR="00734F2E">
              <w:rPr>
                <w:rFonts w:eastAsiaTheme="minorEastAsia"/>
                <w:noProof/>
                <w:lang w:eastAsia="en-GB"/>
              </w:rPr>
              <w:tab/>
            </w:r>
            <w:r w:rsidR="00734F2E" w:rsidRPr="004F40F1">
              <w:rPr>
                <w:rStyle w:val="Hyperlink"/>
                <w:noProof/>
              </w:rPr>
              <w:t>Transformation of chemically competent DH5α</w:t>
            </w:r>
            <w:r w:rsidR="00734F2E">
              <w:rPr>
                <w:noProof/>
                <w:webHidden/>
              </w:rPr>
              <w:tab/>
            </w:r>
            <w:r>
              <w:rPr>
                <w:noProof/>
                <w:webHidden/>
              </w:rPr>
              <w:fldChar w:fldCharType="begin"/>
            </w:r>
            <w:r w:rsidR="00734F2E">
              <w:rPr>
                <w:noProof/>
                <w:webHidden/>
              </w:rPr>
              <w:instrText xml:space="preserve"> PAGEREF _Toc348423311 \h </w:instrText>
            </w:r>
            <w:r>
              <w:rPr>
                <w:noProof/>
                <w:webHidden/>
              </w:rPr>
            </w:r>
            <w:r>
              <w:rPr>
                <w:noProof/>
                <w:webHidden/>
              </w:rPr>
              <w:fldChar w:fldCharType="separate"/>
            </w:r>
            <w:r w:rsidR="00734F2E">
              <w:rPr>
                <w:noProof/>
                <w:webHidden/>
              </w:rPr>
              <w:t>36</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12" w:history="1">
            <w:r w:rsidR="00734F2E" w:rsidRPr="004F40F1">
              <w:rPr>
                <w:rStyle w:val="Hyperlink"/>
                <w:noProof/>
              </w:rPr>
              <w:t>2.5.4</w:t>
            </w:r>
            <w:r w:rsidR="00734F2E">
              <w:rPr>
                <w:rFonts w:eastAsiaTheme="minorEastAsia"/>
                <w:noProof/>
                <w:lang w:eastAsia="en-GB"/>
              </w:rPr>
              <w:tab/>
            </w:r>
            <w:r w:rsidR="00734F2E" w:rsidRPr="004F40F1">
              <w:rPr>
                <w:rStyle w:val="Hyperlink"/>
                <w:noProof/>
              </w:rPr>
              <w:t xml:space="preserve">Preparation of electroporation-competent </w:t>
            </w:r>
            <w:r w:rsidR="00734F2E" w:rsidRPr="004F40F1">
              <w:rPr>
                <w:rStyle w:val="Hyperlink"/>
                <w:i/>
                <w:noProof/>
              </w:rPr>
              <w:t>E. coli</w:t>
            </w:r>
            <w:r w:rsidR="00734F2E">
              <w:rPr>
                <w:noProof/>
                <w:webHidden/>
              </w:rPr>
              <w:tab/>
            </w:r>
            <w:r>
              <w:rPr>
                <w:noProof/>
                <w:webHidden/>
              </w:rPr>
              <w:fldChar w:fldCharType="begin"/>
            </w:r>
            <w:r w:rsidR="00734F2E">
              <w:rPr>
                <w:noProof/>
                <w:webHidden/>
              </w:rPr>
              <w:instrText xml:space="preserve"> PAGEREF _Toc348423312 \h </w:instrText>
            </w:r>
            <w:r>
              <w:rPr>
                <w:noProof/>
                <w:webHidden/>
              </w:rPr>
            </w:r>
            <w:r>
              <w:rPr>
                <w:noProof/>
                <w:webHidden/>
              </w:rPr>
              <w:fldChar w:fldCharType="separate"/>
            </w:r>
            <w:r w:rsidR="00734F2E">
              <w:rPr>
                <w:noProof/>
                <w:webHidden/>
              </w:rPr>
              <w:t>37</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13" w:history="1">
            <w:r w:rsidR="00734F2E" w:rsidRPr="004F40F1">
              <w:rPr>
                <w:rStyle w:val="Hyperlink"/>
                <w:noProof/>
              </w:rPr>
              <w:t>2.5.5</w:t>
            </w:r>
            <w:r w:rsidR="00734F2E">
              <w:rPr>
                <w:rFonts w:eastAsiaTheme="minorEastAsia"/>
                <w:noProof/>
                <w:lang w:eastAsia="en-GB"/>
              </w:rPr>
              <w:tab/>
            </w:r>
            <w:r w:rsidR="00734F2E" w:rsidRPr="004F40F1">
              <w:rPr>
                <w:rStyle w:val="Hyperlink"/>
                <w:noProof/>
              </w:rPr>
              <w:t xml:space="preserve">Transformation of electro-competent </w:t>
            </w:r>
            <w:r w:rsidR="00734F2E" w:rsidRPr="004F40F1">
              <w:rPr>
                <w:rStyle w:val="Hyperlink"/>
                <w:i/>
                <w:noProof/>
              </w:rPr>
              <w:t>E. coli</w:t>
            </w:r>
            <w:r w:rsidR="00734F2E" w:rsidRPr="004F40F1">
              <w:rPr>
                <w:rStyle w:val="Hyperlink"/>
                <w:noProof/>
              </w:rPr>
              <w:t xml:space="preserve"> with ycplac33 plasmid by electroporation</w:t>
            </w:r>
            <w:r w:rsidR="00734F2E">
              <w:rPr>
                <w:noProof/>
                <w:webHidden/>
              </w:rPr>
              <w:tab/>
            </w:r>
            <w:r>
              <w:rPr>
                <w:noProof/>
                <w:webHidden/>
              </w:rPr>
              <w:fldChar w:fldCharType="begin"/>
            </w:r>
            <w:r w:rsidR="00734F2E">
              <w:rPr>
                <w:noProof/>
                <w:webHidden/>
              </w:rPr>
              <w:instrText xml:space="preserve"> PAGEREF _Toc348423313 \h </w:instrText>
            </w:r>
            <w:r>
              <w:rPr>
                <w:noProof/>
                <w:webHidden/>
              </w:rPr>
            </w:r>
            <w:r>
              <w:rPr>
                <w:noProof/>
                <w:webHidden/>
              </w:rPr>
              <w:fldChar w:fldCharType="separate"/>
            </w:r>
            <w:r w:rsidR="00734F2E">
              <w:rPr>
                <w:noProof/>
                <w:webHidden/>
              </w:rPr>
              <w:t>38</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14" w:history="1">
            <w:r w:rsidR="00734F2E" w:rsidRPr="004F40F1">
              <w:rPr>
                <w:rStyle w:val="Hyperlink"/>
                <w:noProof/>
              </w:rPr>
              <w:t>2.6</w:t>
            </w:r>
            <w:r w:rsidR="00734F2E">
              <w:rPr>
                <w:rFonts w:eastAsiaTheme="minorEastAsia"/>
                <w:noProof/>
                <w:lang w:eastAsia="en-GB"/>
              </w:rPr>
              <w:tab/>
            </w:r>
            <w:r w:rsidR="00734F2E" w:rsidRPr="004F40F1">
              <w:rPr>
                <w:rStyle w:val="Hyperlink"/>
                <w:noProof/>
              </w:rPr>
              <w:t>DNA and RNA protocols</w:t>
            </w:r>
            <w:r w:rsidR="00734F2E">
              <w:rPr>
                <w:noProof/>
                <w:webHidden/>
              </w:rPr>
              <w:tab/>
            </w:r>
            <w:r>
              <w:rPr>
                <w:noProof/>
                <w:webHidden/>
              </w:rPr>
              <w:fldChar w:fldCharType="begin"/>
            </w:r>
            <w:r w:rsidR="00734F2E">
              <w:rPr>
                <w:noProof/>
                <w:webHidden/>
              </w:rPr>
              <w:instrText xml:space="preserve"> PAGEREF _Toc348423314 \h </w:instrText>
            </w:r>
            <w:r>
              <w:rPr>
                <w:noProof/>
                <w:webHidden/>
              </w:rPr>
            </w:r>
            <w:r>
              <w:rPr>
                <w:noProof/>
                <w:webHidden/>
              </w:rPr>
              <w:fldChar w:fldCharType="separate"/>
            </w:r>
            <w:r w:rsidR="00734F2E">
              <w:rPr>
                <w:noProof/>
                <w:webHidden/>
              </w:rPr>
              <w:t>38</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15" w:history="1">
            <w:r w:rsidR="00734F2E" w:rsidRPr="004F40F1">
              <w:rPr>
                <w:rStyle w:val="Hyperlink"/>
                <w:noProof/>
              </w:rPr>
              <w:t>2.6.1</w:t>
            </w:r>
            <w:r w:rsidR="00734F2E">
              <w:rPr>
                <w:rFonts w:eastAsiaTheme="minorEastAsia"/>
                <w:noProof/>
                <w:lang w:eastAsia="en-GB"/>
              </w:rPr>
              <w:tab/>
            </w:r>
            <w:r w:rsidR="00734F2E" w:rsidRPr="004F40F1">
              <w:rPr>
                <w:rStyle w:val="Hyperlink"/>
                <w:noProof/>
              </w:rPr>
              <w:t>Plasmid restriction.</w:t>
            </w:r>
            <w:r w:rsidR="00734F2E">
              <w:rPr>
                <w:noProof/>
                <w:webHidden/>
              </w:rPr>
              <w:tab/>
            </w:r>
            <w:r>
              <w:rPr>
                <w:noProof/>
                <w:webHidden/>
              </w:rPr>
              <w:fldChar w:fldCharType="begin"/>
            </w:r>
            <w:r w:rsidR="00734F2E">
              <w:rPr>
                <w:noProof/>
                <w:webHidden/>
              </w:rPr>
              <w:instrText xml:space="preserve"> PAGEREF _Toc348423315 \h </w:instrText>
            </w:r>
            <w:r>
              <w:rPr>
                <w:noProof/>
                <w:webHidden/>
              </w:rPr>
            </w:r>
            <w:r>
              <w:rPr>
                <w:noProof/>
                <w:webHidden/>
              </w:rPr>
              <w:fldChar w:fldCharType="separate"/>
            </w:r>
            <w:r w:rsidR="00734F2E">
              <w:rPr>
                <w:noProof/>
                <w:webHidden/>
              </w:rPr>
              <w:t>38</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16" w:history="1">
            <w:r w:rsidR="00734F2E" w:rsidRPr="004F40F1">
              <w:rPr>
                <w:rStyle w:val="Hyperlink"/>
                <w:noProof/>
              </w:rPr>
              <w:t>2.6.2</w:t>
            </w:r>
            <w:r w:rsidR="00734F2E">
              <w:rPr>
                <w:rFonts w:eastAsiaTheme="minorEastAsia"/>
                <w:noProof/>
                <w:lang w:eastAsia="en-GB"/>
              </w:rPr>
              <w:tab/>
            </w:r>
            <w:r w:rsidR="00734F2E" w:rsidRPr="004F40F1">
              <w:rPr>
                <w:rStyle w:val="Hyperlink"/>
                <w:noProof/>
              </w:rPr>
              <w:t>A Polymerase Chain Reaction to amplify and modify an ORF for subsequent restriction and ligation.</w:t>
            </w:r>
            <w:r w:rsidR="00734F2E">
              <w:rPr>
                <w:noProof/>
                <w:webHidden/>
              </w:rPr>
              <w:tab/>
            </w:r>
            <w:r>
              <w:rPr>
                <w:noProof/>
                <w:webHidden/>
              </w:rPr>
              <w:fldChar w:fldCharType="begin"/>
            </w:r>
            <w:r w:rsidR="00734F2E">
              <w:rPr>
                <w:noProof/>
                <w:webHidden/>
              </w:rPr>
              <w:instrText xml:space="preserve"> PAGEREF _Toc348423316 \h </w:instrText>
            </w:r>
            <w:r>
              <w:rPr>
                <w:noProof/>
                <w:webHidden/>
              </w:rPr>
            </w:r>
            <w:r>
              <w:rPr>
                <w:noProof/>
                <w:webHidden/>
              </w:rPr>
              <w:fldChar w:fldCharType="separate"/>
            </w:r>
            <w:r w:rsidR="00734F2E">
              <w:rPr>
                <w:noProof/>
                <w:webHidden/>
              </w:rPr>
              <w:t>39</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17" w:history="1">
            <w:r w:rsidR="00734F2E" w:rsidRPr="004F40F1">
              <w:rPr>
                <w:rStyle w:val="Hyperlink"/>
                <w:noProof/>
              </w:rPr>
              <w:t>2.6.3</w:t>
            </w:r>
            <w:r w:rsidR="00734F2E">
              <w:rPr>
                <w:rFonts w:eastAsiaTheme="minorEastAsia"/>
                <w:noProof/>
                <w:lang w:eastAsia="en-GB"/>
              </w:rPr>
              <w:tab/>
            </w:r>
            <w:r w:rsidR="00734F2E" w:rsidRPr="004F40F1">
              <w:rPr>
                <w:rStyle w:val="Hyperlink"/>
                <w:noProof/>
              </w:rPr>
              <w:t>Extracting DNA amplicons and plasmids from PCR or restriction mixtures using agarose gel electrophoresis</w:t>
            </w:r>
            <w:r w:rsidR="00734F2E">
              <w:rPr>
                <w:noProof/>
                <w:webHidden/>
              </w:rPr>
              <w:tab/>
            </w:r>
            <w:r>
              <w:rPr>
                <w:noProof/>
                <w:webHidden/>
              </w:rPr>
              <w:fldChar w:fldCharType="begin"/>
            </w:r>
            <w:r w:rsidR="00734F2E">
              <w:rPr>
                <w:noProof/>
                <w:webHidden/>
              </w:rPr>
              <w:instrText xml:space="preserve"> PAGEREF _Toc348423317 \h </w:instrText>
            </w:r>
            <w:r>
              <w:rPr>
                <w:noProof/>
                <w:webHidden/>
              </w:rPr>
            </w:r>
            <w:r>
              <w:rPr>
                <w:noProof/>
                <w:webHidden/>
              </w:rPr>
              <w:fldChar w:fldCharType="separate"/>
            </w:r>
            <w:r w:rsidR="00734F2E">
              <w:rPr>
                <w:noProof/>
                <w:webHidden/>
              </w:rPr>
              <w:t>40</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18" w:history="1">
            <w:r w:rsidR="00734F2E" w:rsidRPr="004F40F1">
              <w:rPr>
                <w:rStyle w:val="Hyperlink"/>
                <w:noProof/>
              </w:rPr>
              <w:t>2.6.4</w:t>
            </w:r>
            <w:r w:rsidR="00734F2E">
              <w:rPr>
                <w:rFonts w:eastAsiaTheme="minorEastAsia"/>
                <w:noProof/>
                <w:lang w:eastAsia="en-GB"/>
              </w:rPr>
              <w:tab/>
            </w:r>
            <w:r w:rsidR="00734F2E" w:rsidRPr="004F40F1">
              <w:rPr>
                <w:rStyle w:val="Hyperlink"/>
                <w:noProof/>
              </w:rPr>
              <w:t>Restriction of DNA amplicon for cloning.</w:t>
            </w:r>
            <w:r w:rsidR="00734F2E">
              <w:rPr>
                <w:noProof/>
                <w:webHidden/>
              </w:rPr>
              <w:tab/>
            </w:r>
            <w:r>
              <w:rPr>
                <w:noProof/>
                <w:webHidden/>
              </w:rPr>
              <w:fldChar w:fldCharType="begin"/>
            </w:r>
            <w:r w:rsidR="00734F2E">
              <w:rPr>
                <w:noProof/>
                <w:webHidden/>
              </w:rPr>
              <w:instrText xml:space="preserve"> PAGEREF _Toc348423318 \h </w:instrText>
            </w:r>
            <w:r>
              <w:rPr>
                <w:noProof/>
                <w:webHidden/>
              </w:rPr>
            </w:r>
            <w:r>
              <w:rPr>
                <w:noProof/>
                <w:webHidden/>
              </w:rPr>
              <w:fldChar w:fldCharType="separate"/>
            </w:r>
            <w:r w:rsidR="00734F2E">
              <w:rPr>
                <w:noProof/>
                <w:webHidden/>
              </w:rPr>
              <w:t>40</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19" w:history="1">
            <w:r w:rsidR="00734F2E" w:rsidRPr="004F40F1">
              <w:rPr>
                <w:rStyle w:val="Hyperlink"/>
                <w:noProof/>
              </w:rPr>
              <w:t>2.6.5</w:t>
            </w:r>
            <w:r w:rsidR="00734F2E">
              <w:rPr>
                <w:rFonts w:eastAsiaTheme="minorEastAsia"/>
                <w:noProof/>
                <w:lang w:eastAsia="en-GB"/>
              </w:rPr>
              <w:tab/>
            </w:r>
            <w:r w:rsidR="00734F2E" w:rsidRPr="004F40F1">
              <w:rPr>
                <w:rStyle w:val="Hyperlink"/>
                <w:noProof/>
              </w:rPr>
              <w:t>Ligation of restricted plasmid and amplicon.</w:t>
            </w:r>
            <w:r w:rsidR="00734F2E">
              <w:rPr>
                <w:noProof/>
                <w:webHidden/>
              </w:rPr>
              <w:tab/>
            </w:r>
            <w:r>
              <w:rPr>
                <w:noProof/>
                <w:webHidden/>
              </w:rPr>
              <w:fldChar w:fldCharType="begin"/>
            </w:r>
            <w:r w:rsidR="00734F2E">
              <w:rPr>
                <w:noProof/>
                <w:webHidden/>
              </w:rPr>
              <w:instrText xml:space="preserve"> PAGEREF _Toc348423319 \h </w:instrText>
            </w:r>
            <w:r>
              <w:rPr>
                <w:noProof/>
                <w:webHidden/>
              </w:rPr>
            </w:r>
            <w:r>
              <w:rPr>
                <w:noProof/>
                <w:webHidden/>
              </w:rPr>
              <w:fldChar w:fldCharType="separate"/>
            </w:r>
            <w:r w:rsidR="00734F2E">
              <w:rPr>
                <w:noProof/>
                <w:webHidden/>
              </w:rPr>
              <w:t>40</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20" w:history="1">
            <w:r w:rsidR="00734F2E" w:rsidRPr="004F40F1">
              <w:rPr>
                <w:rStyle w:val="Hyperlink"/>
                <w:noProof/>
              </w:rPr>
              <w:t>2.6.6</w:t>
            </w:r>
            <w:r w:rsidR="00734F2E">
              <w:rPr>
                <w:rFonts w:eastAsiaTheme="minorEastAsia"/>
                <w:noProof/>
                <w:lang w:eastAsia="en-GB"/>
              </w:rPr>
              <w:tab/>
            </w:r>
            <w:r w:rsidR="00734F2E" w:rsidRPr="004F40F1">
              <w:rPr>
                <w:rStyle w:val="Hyperlink"/>
                <w:noProof/>
              </w:rPr>
              <w:t>Long dsRNA design on E-RNAi webservice</w:t>
            </w:r>
            <w:r w:rsidR="00734F2E">
              <w:rPr>
                <w:noProof/>
                <w:webHidden/>
              </w:rPr>
              <w:tab/>
            </w:r>
            <w:r>
              <w:rPr>
                <w:noProof/>
                <w:webHidden/>
              </w:rPr>
              <w:fldChar w:fldCharType="begin"/>
            </w:r>
            <w:r w:rsidR="00734F2E">
              <w:rPr>
                <w:noProof/>
                <w:webHidden/>
              </w:rPr>
              <w:instrText xml:space="preserve"> PAGEREF _Toc348423320 \h </w:instrText>
            </w:r>
            <w:r>
              <w:rPr>
                <w:noProof/>
                <w:webHidden/>
              </w:rPr>
            </w:r>
            <w:r>
              <w:rPr>
                <w:noProof/>
                <w:webHidden/>
              </w:rPr>
              <w:fldChar w:fldCharType="separate"/>
            </w:r>
            <w:r w:rsidR="00734F2E">
              <w:rPr>
                <w:noProof/>
                <w:webHidden/>
              </w:rPr>
              <w:t>41</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21" w:history="1">
            <w:r w:rsidR="00734F2E" w:rsidRPr="004F40F1">
              <w:rPr>
                <w:rStyle w:val="Hyperlink"/>
                <w:noProof/>
              </w:rPr>
              <w:t>2.6.7</w:t>
            </w:r>
            <w:r w:rsidR="00734F2E">
              <w:rPr>
                <w:rFonts w:eastAsiaTheme="minorEastAsia"/>
                <w:noProof/>
                <w:lang w:eastAsia="en-GB"/>
              </w:rPr>
              <w:tab/>
            </w:r>
            <w:r w:rsidR="00734F2E" w:rsidRPr="004F40F1">
              <w:rPr>
                <w:rStyle w:val="Hyperlink"/>
                <w:noProof/>
              </w:rPr>
              <w:t>Synthesis of long dsRNA probes</w:t>
            </w:r>
            <w:r w:rsidR="00734F2E">
              <w:rPr>
                <w:noProof/>
                <w:webHidden/>
              </w:rPr>
              <w:tab/>
            </w:r>
            <w:r>
              <w:rPr>
                <w:noProof/>
                <w:webHidden/>
              </w:rPr>
              <w:fldChar w:fldCharType="begin"/>
            </w:r>
            <w:r w:rsidR="00734F2E">
              <w:rPr>
                <w:noProof/>
                <w:webHidden/>
              </w:rPr>
              <w:instrText xml:space="preserve"> PAGEREF _Toc348423321 \h </w:instrText>
            </w:r>
            <w:r>
              <w:rPr>
                <w:noProof/>
                <w:webHidden/>
              </w:rPr>
            </w:r>
            <w:r>
              <w:rPr>
                <w:noProof/>
                <w:webHidden/>
              </w:rPr>
              <w:fldChar w:fldCharType="separate"/>
            </w:r>
            <w:r w:rsidR="00734F2E">
              <w:rPr>
                <w:noProof/>
                <w:webHidden/>
              </w:rPr>
              <w:t>45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22" w:history="1">
            <w:r w:rsidR="00734F2E" w:rsidRPr="004F40F1">
              <w:rPr>
                <w:rStyle w:val="Hyperlink"/>
                <w:noProof/>
              </w:rPr>
              <w:t>2.7</w:t>
            </w:r>
            <w:r w:rsidR="00734F2E">
              <w:rPr>
                <w:rFonts w:eastAsiaTheme="minorEastAsia"/>
                <w:noProof/>
                <w:lang w:eastAsia="en-GB"/>
              </w:rPr>
              <w:tab/>
            </w:r>
            <w:r w:rsidR="00734F2E" w:rsidRPr="004F40F1">
              <w:rPr>
                <w:rStyle w:val="Hyperlink"/>
                <w:noProof/>
              </w:rPr>
              <w:t>Fly cell protocols</w:t>
            </w:r>
            <w:r w:rsidR="00734F2E">
              <w:rPr>
                <w:noProof/>
                <w:webHidden/>
              </w:rPr>
              <w:tab/>
            </w:r>
            <w:r>
              <w:rPr>
                <w:noProof/>
                <w:webHidden/>
              </w:rPr>
              <w:fldChar w:fldCharType="begin"/>
            </w:r>
            <w:r w:rsidR="00734F2E">
              <w:rPr>
                <w:noProof/>
                <w:webHidden/>
              </w:rPr>
              <w:instrText xml:space="preserve"> PAGEREF _Toc348423322 \h </w:instrText>
            </w:r>
            <w:r>
              <w:rPr>
                <w:noProof/>
                <w:webHidden/>
              </w:rPr>
            </w:r>
            <w:r>
              <w:rPr>
                <w:noProof/>
                <w:webHidden/>
              </w:rPr>
              <w:fldChar w:fldCharType="separate"/>
            </w:r>
            <w:r w:rsidR="00734F2E">
              <w:rPr>
                <w:noProof/>
                <w:webHidden/>
              </w:rPr>
              <w:t>45</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23" w:history="1">
            <w:r w:rsidR="00734F2E" w:rsidRPr="004F40F1">
              <w:rPr>
                <w:rStyle w:val="Hyperlink"/>
                <w:noProof/>
              </w:rPr>
              <w:t>2.7.1</w:t>
            </w:r>
            <w:r w:rsidR="00734F2E">
              <w:rPr>
                <w:rFonts w:eastAsiaTheme="minorEastAsia"/>
                <w:noProof/>
                <w:lang w:eastAsia="en-GB"/>
              </w:rPr>
              <w:tab/>
            </w:r>
            <w:r w:rsidR="00734F2E" w:rsidRPr="004F40F1">
              <w:rPr>
                <w:rStyle w:val="Hyperlink"/>
                <w:noProof/>
              </w:rPr>
              <w:t>Maintaining exponentially growing S2R+ cells</w:t>
            </w:r>
            <w:r w:rsidR="00734F2E">
              <w:rPr>
                <w:noProof/>
                <w:webHidden/>
              </w:rPr>
              <w:tab/>
            </w:r>
            <w:r>
              <w:rPr>
                <w:noProof/>
                <w:webHidden/>
              </w:rPr>
              <w:fldChar w:fldCharType="begin"/>
            </w:r>
            <w:r w:rsidR="00734F2E">
              <w:rPr>
                <w:noProof/>
                <w:webHidden/>
              </w:rPr>
              <w:instrText xml:space="preserve"> PAGEREF _Toc348423323 \h </w:instrText>
            </w:r>
            <w:r>
              <w:rPr>
                <w:noProof/>
                <w:webHidden/>
              </w:rPr>
            </w:r>
            <w:r>
              <w:rPr>
                <w:noProof/>
                <w:webHidden/>
              </w:rPr>
              <w:fldChar w:fldCharType="separate"/>
            </w:r>
            <w:r w:rsidR="00734F2E">
              <w:rPr>
                <w:noProof/>
                <w:webHidden/>
              </w:rPr>
              <w:t>45</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24" w:history="1">
            <w:r w:rsidR="00734F2E" w:rsidRPr="004F40F1">
              <w:rPr>
                <w:rStyle w:val="Hyperlink"/>
                <w:noProof/>
              </w:rPr>
              <w:t>2.7.2</w:t>
            </w:r>
            <w:r w:rsidR="00734F2E">
              <w:rPr>
                <w:rFonts w:eastAsiaTheme="minorEastAsia"/>
                <w:noProof/>
                <w:lang w:eastAsia="en-GB"/>
              </w:rPr>
              <w:tab/>
            </w:r>
            <w:r w:rsidR="00734F2E" w:rsidRPr="004F40F1">
              <w:rPr>
                <w:rStyle w:val="Hyperlink"/>
                <w:noProof/>
              </w:rPr>
              <w:t>Freezing cells for storage</w:t>
            </w:r>
            <w:r w:rsidR="00734F2E">
              <w:rPr>
                <w:noProof/>
                <w:webHidden/>
              </w:rPr>
              <w:tab/>
            </w:r>
            <w:r>
              <w:rPr>
                <w:noProof/>
                <w:webHidden/>
              </w:rPr>
              <w:fldChar w:fldCharType="begin"/>
            </w:r>
            <w:r w:rsidR="00734F2E">
              <w:rPr>
                <w:noProof/>
                <w:webHidden/>
              </w:rPr>
              <w:instrText xml:space="preserve"> PAGEREF _Toc348423324 \h </w:instrText>
            </w:r>
            <w:r>
              <w:rPr>
                <w:noProof/>
                <w:webHidden/>
              </w:rPr>
            </w:r>
            <w:r>
              <w:rPr>
                <w:noProof/>
                <w:webHidden/>
              </w:rPr>
              <w:fldChar w:fldCharType="separate"/>
            </w:r>
            <w:r w:rsidR="00734F2E">
              <w:rPr>
                <w:noProof/>
                <w:webHidden/>
              </w:rPr>
              <w:t>46</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25" w:history="1">
            <w:r w:rsidR="00734F2E" w:rsidRPr="004F40F1">
              <w:rPr>
                <w:rStyle w:val="Hyperlink"/>
                <w:noProof/>
              </w:rPr>
              <w:t>2.7.3</w:t>
            </w:r>
            <w:r w:rsidR="00734F2E">
              <w:rPr>
                <w:rFonts w:eastAsiaTheme="minorEastAsia"/>
                <w:noProof/>
                <w:lang w:eastAsia="en-GB"/>
              </w:rPr>
              <w:tab/>
            </w:r>
            <w:r w:rsidR="00734F2E" w:rsidRPr="004F40F1">
              <w:rPr>
                <w:rStyle w:val="Hyperlink"/>
                <w:noProof/>
              </w:rPr>
              <w:t>Thawing frozen cells</w:t>
            </w:r>
            <w:r w:rsidR="00734F2E">
              <w:rPr>
                <w:noProof/>
                <w:webHidden/>
              </w:rPr>
              <w:tab/>
            </w:r>
            <w:r>
              <w:rPr>
                <w:noProof/>
                <w:webHidden/>
              </w:rPr>
              <w:fldChar w:fldCharType="begin"/>
            </w:r>
            <w:r w:rsidR="00734F2E">
              <w:rPr>
                <w:noProof/>
                <w:webHidden/>
              </w:rPr>
              <w:instrText xml:space="preserve"> PAGEREF _Toc348423325 \h </w:instrText>
            </w:r>
            <w:r>
              <w:rPr>
                <w:noProof/>
                <w:webHidden/>
              </w:rPr>
            </w:r>
            <w:r>
              <w:rPr>
                <w:noProof/>
                <w:webHidden/>
              </w:rPr>
              <w:fldChar w:fldCharType="separate"/>
            </w:r>
            <w:r w:rsidR="00734F2E">
              <w:rPr>
                <w:noProof/>
                <w:webHidden/>
              </w:rPr>
              <w:t>46</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26" w:history="1">
            <w:r w:rsidR="00734F2E" w:rsidRPr="004F40F1">
              <w:rPr>
                <w:rStyle w:val="Hyperlink"/>
                <w:noProof/>
              </w:rPr>
              <w:t>2.7.4</w:t>
            </w:r>
            <w:r w:rsidR="00734F2E">
              <w:rPr>
                <w:rFonts w:eastAsiaTheme="minorEastAsia"/>
                <w:noProof/>
                <w:lang w:eastAsia="en-GB"/>
              </w:rPr>
              <w:tab/>
            </w:r>
            <w:r w:rsidR="00734F2E" w:rsidRPr="004F40F1">
              <w:rPr>
                <w:rStyle w:val="Hyperlink"/>
                <w:noProof/>
              </w:rPr>
              <w:t>Transfection of reporter plasmids</w:t>
            </w:r>
            <w:r w:rsidR="00734F2E">
              <w:rPr>
                <w:noProof/>
                <w:webHidden/>
              </w:rPr>
              <w:tab/>
            </w:r>
            <w:r>
              <w:rPr>
                <w:noProof/>
                <w:webHidden/>
              </w:rPr>
              <w:fldChar w:fldCharType="begin"/>
            </w:r>
            <w:r w:rsidR="00734F2E">
              <w:rPr>
                <w:noProof/>
                <w:webHidden/>
              </w:rPr>
              <w:instrText xml:space="preserve"> PAGEREF _Toc348423326 \h </w:instrText>
            </w:r>
            <w:r>
              <w:rPr>
                <w:noProof/>
                <w:webHidden/>
              </w:rPr>
            </w:r>
            <w:r>
              <w:rPr>
                <w:noProof/>
                <w:webHidden/>
              </w:rPr>
              <w:fldChar w:fldCharType="separate"/>
            </w:r>
            <w:r w:rsidR="00734F2E">
              <w:rPr>
                <w:noProof/>
                <w:webHidden/>
              </w:rPr>
              <w:t>46</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27" w:history="1">
            <w:r w:rsidR="00734F2E" w:rsidRPr="004F40F1">
              <w:rPr>
                <w:rStyle w:val="Hyperlink"/>
                <w:noProof/>
              </w:rPr>
              <w:t>2.7.5</w:t>
            </w:r>
            <w:r w:rsidR="00734F2E">
              <w:rPr>
                <w:rFonts w:eastAsiaTheme="minorEastAsia"/>
                <w:noProof/>
                <w:lang w:eastAsia="en-GB"/>
              </w:rPr>
              <w:tab/>
            </w:r>
            <w:r w:rsidR="00734F2E" w:rsidRPr="004F40F1">
              <w:rPr>
                <w:rStyle w:val="Hyperlink"/>
                <w:noProof/>
              </w:rPr>
              <w:t>Expression of fluorescent fusion proteins in 6-well plates for microscopic imaging on fixed microscope slides</w:t>
            </w:r>
            <w:r w:rsidR="00734F2E">
              <w:rPr>
                <w:noProof/>
                <w:webHidden/>
              </w:rPr>
              <w:tab/>
            </w:r>
            <w:r>
              <w:rPr>
                <w:noProof/>
                <w:webHidden/>
              </w:rPr>
              <w:fldChar w:fldCharType="begin"/>
            </w:r>
            <w:r w:rsidR="00734F2E">
              <w:rPr>
                <w:noProof/>
                <w:webHidden/>
              </w:rPr>
              <w:instrText xml:space="preserve"> PAGEREF _Toc348423327 \h </w:instrText>
            </w:r>
            <w:r>
              <w:rPr>
                <w:noProof/>
                <w:webHidden/>
              </w:rPr>
            </w:r>
            <w:r>
              <w:rPr>
                <w:noProof/>
                <w:webHidden/>
              </w:rPr>
              <w:fldChar w:fldCharType="separate"/>
            </w:r>
            <w:r w:rsidR="00734F2E">
              <w:rPr>
                <w:noProof/>
                <w:webHidden/>
              </w:rPr>
              <w:t>46</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28" w:history="1">
            <w:r w:rsidR="00734F2E" w:rsidRPr="004F40F1">
              <w:rPr>
                <w:rStyle w:val="Hyperlink"/>
                <w:noProof/>
              </w:rPr>
              <w:t>2.7.6</w:t>
            </w:r>
            <w:r w:rsidR="00734F2E">
              <w:rPr>
                <w:rFonts w:eastAsiaTheme="minorEastAsia"/>
                <w:noProof/>
                <w:lang w:eastAsia="en-GB"/>
              </w:rPr>
              <w:tab/>
            </w:r>
            <w:r w:rsidR="00734F2E" w:rsidRPr="004F40F1">
              <w:rPr>
                <w:rStyle w:val="Hyperlink"/>
                <w:noProof/>
              </w:rPr>
              <w:t>Expression of fluorescent fusion proteins in Ibidi 8-well slides for microscopic imaging in live cells with MitoTracker</w:t>
            </w:r>
            <w:r w:rsidR="00734F2E">
              <w:rPr>
                <w:noProof/>
                <w:webHidden/>
              </w:rPr>
              <w:tab/>
            </w:r>
            <w:r>
              <w:rPr>
                <w:noProof/>
                <w:webHidden/>
              </w:rPr>
              <w:fldChar w:fldCharType="begin"/>
            </w:r>
            <w:r w:rsidR="00734F2E">
              <w:rPr>
                <w:noProof/>
                <w:webHidden/>
              </w:rPr>
              <w:instrText xml:space="preserve"> PAGEREF _Toc348423328 \h </w:instrText>
            </w:r>
            <w:r>
              <w:rPr>
                <w:noProof/>
                <w:webHidden/>
              </w:rPr>
            </w:r>
            <w:r>
              <w:rPr>
                <w:noProof/>
                <w:webHidden/>
              </w:rPr>
              <w:fldChar w:fldCharType="separate"/>
            </w:r>
            <w:r w:rsidR="00734F2E">
              <w:rPr>
                <w:noProof/>
                <w:webHidden/>
              </w:rPr>
              <w:t>47</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29" w:history="1">
            <w:r w:rsidR="00734F2E" w:rsidRPr="004F40F1">
              <w:rPr>
                <w:rStyle w:val="Hyperlink"/>
                <w:noProof/>
              </w:rPr>
              <w:t>2.7.7</w:t>
            </w:r>
            <w:r w:rsidR="00734F2E">
              <w:rPr>
                <w:rFonts w:eastAsiaTheme="minorEastAsia"/>
                <w:noProof/>
                <w:lang w:eastAsia="en-GB"/>
              </w:rPr>
              <w:tab/>
            </w:r>
            <w:r w:rsidR="00734F2E" w:rsidRPr="004F40F1">
              <w:rPr>
                <w:rStyle w:val="Hyperlink"/>
                <w:noProof/>
              </w:rPr>
              <w:t>Protocol for seeding S2R+ cells into 384-well microtitre plates</w:t>
            </w:r>
            <w:r w:rsidR="00734F2E">
              <w:rPr>
                <w:noProof/>
                <w:webHidden/>
              </w:rPr>
              <w:tab/>
            </w:r>
            <w:r>
              <w:rPr>
                <w:noProof/>
                <w:webHidden/>
              </w:rPr>
              <w:fldChar w:fldCharType="begin"/>
            </w:r>
            <w:r w:rsidR="00734F2E">
              <w:rPr>
                <w:noProof/>
                <w:webHidden/>
              </w:rPr>
              <w:instrText xml:space="preserve"> PAGEREF _Toc348423329 \h </w:instrText>
            </w:r>
            <w:r>
              <w:rPr>
                <w:noProof/>
                <w:webHidden/>
              </w:rPr>
            </w:r>
            <w:r>
              <w:rPr>
                <w:noProof/>
                <w:webHidden/>
              </w:rPr>
              <w:fldChar w:fldCharType="separate"/>
            </w:r>
            <w:r w:rsidR="00734F2E">
              <w:rPr>
                <w:noProof/>
                <w:webHidden/>
              </w:rPr>
              <w:t>48</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30" w:history="1">
            <w:r w:rsidR="00734F2E" w:rsidRPr="004F40F1">
              <w:rPr>
                <w:rStyle w:val="Hyperlink"/>
                <w:noProof/>
              </w:rPr>
              <w:t>2.7.8</w:t>
            </w:r>
            <w:r w:rsidR="00734F2E">
              <w:rPr>
                <w:rFonts w:eastAsiaTheme="minorEastAsia"/>
                <w:noProof/>
                <w:lang w:eastAsia="en-GB"/>
              </w:rPr>
              <w:tab/>
            </w:r>
            <w:r w:rsidR="00734F2E" w:rsidRPr="004F40F1">
              <w:rPr>
                <w:rStyle w:val="Hyperlink"/>
                <w:noProof/>
              </w:rPr>
              <w:t>Expression of fluorescent fusion proteins in 384-well microtitre plates</w:t>
            </w:r>
            <w:r w:rsidR="00734F2E">
              <w:rPr>
                <w:noProof/>
                <w:webHidden/>
              </w:rPr>
              <w:tab/>
            </w:r>
            <w:r>
              <w:rPr>
                <w:noProof/>
                <w:webHidden/>
              </w:rPr>
              <w:fldChar w:fldCharType="begin"/>
            </w:r>
            <w:r w:rsidR="00734F2E">
              <w:rPr>
                <w:noProof/>
                <w:webHidden/>
              </w:rPr>
              <w:instrText xml:space="preserve"> PAGEREF _Toc348423330 \h </w:instrText>
            </w:r>
            <w:r>
              <w:rPr>
                <w:noProof/>
                <w:webHidden/>
              </w:rPr>
            </w:r>
            <w:r>
              <w:rPr>
                <w:noProof/>
                <w:webHidden/>
              </w:rPr>
              <w:fldChar w:fldCharType="separate"/>
            </w:r>
            <w:r w:rsidR="00734F2E">
              <w:rPr>
                <w:noProof/>
                <w:webHidden/>
              </w:rPr>
              <w:t>49</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31" w:history="1">
            <w:r w:rsidR="00734F2E" w:rsidRPr="004F40F1">
              <w:rPr>
                <w:rStyle w:val="Hyperlink"/>
                <w:noProof/>
              </w:rPr>
              <w:t>2.7.9</w:t>
            </w:r>
            <w:r w:rsidR="00734F2E">
              <w:rPr>
                <w:rFonts w:eastAsiaTheme="minorEastAsia"/>
                <w:noProof/>
                <w:lang w:eastAsia="en-GB"/>
              </w:rPr>
              <w:tab/>
            </w:r>
            <w:r w:rsidR="00734F2E" w:rsidRPr="004F40F1">
              <w:rPr>
                <w:rStyle w:val="Hyperlink"/>
                <w:noProof/>
              </w:rPr>
              <w:t>Cell fixation protocols</w:t>
            </w:r>
            <w:r w:rsidR="00734F2E">
              <w:rPr>
                <w:noProof/>
                <w:webHidden/>
              </w:rPr>
              <w:tab/>
            </w:r>
            <w:r>
              <w:rPr>
                <w:noProof/>
                <w:webHidden/>
              </w:rPr>
              <w:fldChar w:fldCharType="begin"/>
            </w:r>
            <w:r w:rsidR="00734F2E">
              <w:rPr>
                <w:noProof/>
                <w:webHidden/>
              </w:rPr>
              <w:instrText xml:space="preserve"> PAGEREF _Toc348423331 \h </w:instrText>
            </w:r>
            <w:r>
              <w:rPr>
                <w:noProof/>
                <w:webHidden/>
              </w:rPr>
            </w:r>
            <w:r>
              <w:rPr>
                <w:noProof/>
                <w:webHidden/>
              </w:rPr>
              <w:fldChar w:fldCharType="separate"/>
            </w:r>
            <w:r w:rsidR="00734F2E">
              <w:rPr>
                <w:noProof/>
                <w:webHidden/>
              </w:rPr>
              <w:t>49</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32" w:history="1">
            <w:r w:rsidR="00734F2E" w:rsidRPr="004F40F1">
              <w:rPr>
                <w:rStyle w:val="Hyperlink"/>
                <w:noProof/>
              </w:rPr>
              <w:t>2.7.10</w:t>
            </w:r>
            <w:r w:rsidR="00734F2E">
              <w:rPr>
                <w:rFonts w:eastAsiaTheme="minorEastAsia"/>
                <w:noProof/>
                <w:lang w:eastAsia="en-GB"/>
              </w:rPr>
              <w:tab/>
            </w:r>
            <w:r w:rsidR="00734F2E" w:rsidRPr="004F40F1">
              <w:rPr>
                <w:rStyle w:val="Hyperlink"/>
                <w:noProof/>
              </w:rPr>
              <w:t>Microscope settings for capture of images from 384-well microtitre plates in Screen 1</w:t>
            </w:r>
            <w:r w:rsidR="00734F2E">
              <w:rPr>
                <w:noProof/>
                <w:webHidden/>
              </w:rPr>
              <w:tab/>
            </w:r>
            <w:r>
              <w:rPr>
                <w:noProof/>
                <w:webHidden/>
              </w:rPr>
              <w:fldChar w:fldCharType="begin"/>
            </w:r>
            <w:r w:rsidR="00734F2E">
              <w:rPr>
                <w:noProof/>
                <w:webHidden/>
              </w:rPr>
              <w:instrText xml:space="preserve"> PAGEREF _Toc348423332 \h </w:instrText>
            </w:r>
            <w:r>
              <w:rPr>
                <w:noProof/>
                <w:webHidden/>
              </w:rPr>
            </w:r>
            <w:r>
              <w:rPr>
                <w:noProof/>
                <w:webHidden/>
              </w:rPr>
              <w:fldChar w:fldCharType="separate"/>
            </w:r>
            <w:r w:rsidR="00734F2E">
              <w:rPr>
                <w:noProof/>
                <w:webHidden/>
              </w:rPr>
              <w:t>51</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33" w:history="1">
            <w:r w:rsidR="00734F2E" w:rsidRPr="004F40F1">
              <w:rPr>
                <w:rStyle w:val="Hyperlink"/>
                <w:noProof/>
              </w:rPr>
              <w:t>2.7.11</w:t>
            </w:r>
            <w:r w:rsidR="00734F2E">
              <w:rPr>
                <w:rFonts w:eastAsiaTheme="minorEastAsia"/>
                <w:noProof/>
                <w:lang w:eastAsia="en-GB"/>
              </w:rPr>
              <w:tab/>
            </w:r>
            <w:r w:rsidR="00734F2E" w:rsidRPr="004F40F1">
              <w:rPr>
                <w:rStyle w:val="Hyperlink"/>
                <w:noProof/>
              </w:rPr>
              <w:t>Editions to the image capture settings for Screen 2</w:t>
            </w:r>
            <w:r w:rsidR="00734F2E">
              <w:rPr>
                <w:noProof/>
                <w:webHidden/>
              </w:rPr>
              <w:tab/>
            </w:r>
            <w:r>
              <w:rPr>
                <w:noProof/>
                <w:webHidden/>
              </w:rPr>
              <w:fldChar w:fldCharType="begin"/>
            </w:r>
            <w:r w:rsidR="00734F2E">
              <w:rPr>
                <w:noProof/>
                <w:webHidden/>
              </w:rPr>
              <w:instrText xml:space="preserve"> PAGEREF _Toc348423333 \h </w:instrText>
            </w:r>
            <w:r>
              <w:rPr>
                <w:noProof/>
                <w:webHidden/>
              </w:rPr>
            </w:r>
            <w:r>
              <w:rPr>
                <w:noProof/>
                <w:webHidden/>
              </w:rPr>
              <w:fldChar w:fldCharType="separate"/>
            </w:r>
            <w:r w:rsidR="00734F2E">
              <w:rPr>
                <w:noProof/>
                <w:webHidden/>
              </w:rPr>
              <w:t>56</w:t>
            </w:r>
            <w:r>
              <w:rPr>
                <w:noProof/>
                <w:webHidden/>
              </w:rPr>
              <w:fldChar w:fldCharType="end"/>
            </w:r>
          </w:hyperlink>
        </w:p>
        <w:p w:rsidR="00734F2E" w:rsidRDefault="009A1FEC">
          <w:pPr>
            <w:pStyle w:val="TOC3"/>
            <w:tabs>
              <w:tab w:val="left" w:pos="1320"/>
              <w:tab w:val="right" w:leader="dot" w:pos="8131"/>
            </w:tabs>
            <w:rPr>
              <w:rFonts w:eastAsiaTheme="minorEastAsia"/>
              <w:noProof/>
              <w:lang w:eastAsia="en-GB"/>
            </w:rPr>
          </w:pPr>
          <w:hyperlink w:anchor="_Toc348423334" w:history="1">
            <w:r w:rsidR="00734F2E" w:rsidRPr="004F40F1">
              <w:rPr>
                <w:rStyle w:val="Hyperlink"/>
                <w:noProof/>
              </w:rPr>
              <w:t>2.7.12</w:t>
            </w:r>
            <w:r w:rsidR="00734F2E">
              <w:rPr>
                <w:rFonts w:eastAsiaTheme="minorEastAsia"/>
                <w:noProof/>
                <w:lang w:eastAsia="en-GB"/>
              </w:rPr>
              <w:tab/>
            </w:r>
            <w:r w:rsidR="00734F2E" w:rsidRPr="004F40F1">
              <w:rPr>
                <w:rStyle w:val="Hyperlink"/>
                <w:noProof/>
              </w:rPr>
              <w:t>Numerical interpretation of images by METAXpress and statistical determination of results.</w:t>
            </w:r>
            <w:r w:rsidR="00734F2E">
              <w:rPr>
                <w:noProof/>
                <w:webHidden/>
              </w:rPr>
              <w:tab/>
            </w:r>
            <w:r>
              <w:rPr>
                <w:noProof/>
                <w:webHidden/>
              </w:rPr>
              <w:fldChar w:fldCharType="begin"/>
            </w:r>
            <w:r w:rsidR="00734F2E">
              <w:rPr>
                <w:noProof/>
                <w:webHidden/>
              </w:rPr>
              <w:instrText xml:space="preserve"> PAGEREF _Toc348423334 \h </w:instrText>
            </w:r>
            <w:r>
              <w:rPr>
                <w:noProof/>
                <w:webHidden/>
              </w:rPr>
            </w:r>
            <w:r>
              <w:rPr>
                <w:noProof/>
                <w:webHidden/>
              </w:rPr>
              <w:fldChar w:fldCharType="separate"/>
            </w:r>
            <w:r w:rsidR="00734F2E">
              <w:rPr>
                <w:noProof/>
                <w:webHidden/>
              </w:rPr>
              <w:t>58</w:t>
            </w:r>
            <w:r>
              <w:rPr>
                <w:noProof/>
                <w:webHidden/>
              </w:rPr>
              <w:fldChar w:fldCharType="end"/>
            </w:r>
          </w:hyperlink>
        </w:p>
        <w:p w:rsidR="00734F2E" w:rsidRDefault="009A1FEC">
          <w:pPr>
            <w:pStyle w:val="TOC1"/>
            <w:tabs>
              <w:tab w:val="left" w:pos="440"/>
              <w:tab w:val="right" w:leader="dot" w:pos="8131"/>
            </w:tabs>
            <w:rPr>
              <w:rFonts w:eastAsiaTheme="minorEastAsia"/>
              <w:noProof/>
              <w:lang w:eastAsia="en-GB"/>
            </w:rPr>
          </w:pPr>
          <w:hyperlink w:anchor="_Toc348423335" w:history="1">
            <w:r w:rsidR="00734F2E" w:rsidRPr="004F40F1">
              <w:rPr>
                <w:rStyle w:val="Hyperlink"/>
                <w:noProof/>
              </w:rPr>
              <w:t>3</w:t>
            </w:r>
            <w:r w:rsidR="00734F2E">
              <w:rPr>
                <w:rFonts w:eastAsiaTheme="minorEastAsia"/>
                <w:noProof/>
                <w:lang w:eastAsia="en-GB"/>
              </w:rPr>
              <w:tab/>
            </w:r>
            <w:r w:rsidR="00734F2E" w:rsidRPr="004F40F1">
              <w:rPr>
                <w:rStyle w:val="Hyperlink"/>
                <w:noProof/>
              </w:rPr>
              <w:t>Assay Development</w:t>
            </w:r>
            <w:r w:rsidR="00734F2E">
              <w:rPr>
                <w:noProof/>
                <w:webHidden/>
              </w:rPr>
              <w:tab/>
            </w:r>
            <w:r>
              <w:rPr>
                <w:noProof/>
                <w:webHidden/>
              </w:rPr>
              <w:fldChar w:fldCharType="begin"/>
            </w:r>
            <w:r w:rsidR="00734F2E">
              <w:rPr>
                <w:noProof/>
                <w:webHidden/>
              </w:rPr>
              <w:instrText xml:space="preserve"> PAGEREF _Toc348423335 \h </w:instrText>
            </w:r>
            <w:r>
              <w:rPr>
                <w:noProof/>
                <w:webHidden/>
              </w:rPr>
            </w:r>
            <w:r>
              <w:rPr>
                <w:noProof/>
                <w:webHidden/>
              </w:rPr>
              <w:fldChar w:fldCharType="separate"/>
            </w:r>
            <w:r w:rsidR="00734F2E">
              <w:rPr>
                <w:noProof/>
                <w:webHidden/>
              </w:rPr>
              <w:t>59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36" w:history="1">
            <w:r w:rsidR="00734F2E" w:rsidRPr="004F40F1">
              <w:rPr>
                <w:rStyle w:val="Hyperlink"/>
                <w:i/>
                <w:noProof/>
              </w:rPr>
              <w:t>3.1</w:t>
            </w:r>
            <w:r w:rsidR="00734F2E">
              <w:rPr>
                <w:rFonts w:eastAsiaTheme="minorEastAsia"/>
                <w:noProof/>
                <w:lang w:eastAsia="en-GB"/>
              </w:rPr>
              <w:tab/>
            </w:r>
            <w:r w:rsidR="00734F2E" w:rsidRPr="004F40F1">
              <w:rPr>
                <w:rStyle w:val="Hyperlink"/>
                <w:noProof/>
              </w:rPr>
              <w:t>Abstract</w:t>
            </w:r>
            <w:r w:rsidR="00734F2E">
              <w:rPr>
                <w:noProof/>
                <w:webHidden/>
              </w:rPr>
              <w:tab/>
            </w:r>
            <w:r>
              <w:rPr>
                <w:noProof/>
                <w:webHidden/>
              </w:rPr>
              <w:fldChar w:fldCharType="begin"/>
            </w:r>
            <w:r w:rsidR="00734F2E">
              <w:rPr>
                <w:noProof/>
                <w:webHidden/>
              </w:rPr>
              <w:instrText xml:space="preserve"> PAGEREF _Toc348423336 \h </w:instrText>
            </w:r>
            <w:r>
              <w:rPr>
                <w:noProof/>
                <w:webHidden/>
              </w:rPr>
            </w:r>
            <w:r>
              <w:rPr>
                <w:noProof/>
                <w:webHidden/>
              </w:rPr>
              <w:fldChar w:fldCharType="separate"/>
            </w:r>
            <w:r w:rsidR="00734F2E">
              <w:rPr>
                <w:noProof/>
                <w:webHidden/>
              </w:rPr>
              <w:t>59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37" w:history="1">
            <w:r w:rsidR="00734F2E" w:rsidRPr="004F40F1">
              <w:rPr>
                <w:rStyle w:val="Hyperlink"/>
                <w:noProof/>
              </w:rPr>
              <w:t>3.2</w:t>
            </w:r>
            <w:r w:rsidR="00734F2E">
              <w:rPr>
                <w:rFonts w:eastAsiaTheme="minorEastAsia"/>
                <w:noProof/>
                <w:lang w:eastAsia="en-GB"/>
              </w:rPr>
              <w:tab/>
            </w:r>
            <w:r w:rsidR="00734F2E" w:rsidRPr="004F40F1">
              <w:rPr>
                <w:rStyle w:val="Hyperlink"/>
                <w:noProof/>
              </w:rPr>
              <w:t>Hypothesis and methodology rationale</w:t>
            </w:r>
            <w:r w:rsidR="00734F2E">
              <w:rPr>
                <w:noProof/>
                <w:webHidden/>
              </w:rPr>
              <w:tab/>
            </w:r>
            <w:r>
              <w:rPr>
                <w:noProof/>
                <w:webHidden/>
              </w:rPr>
              <w:fldChar w:fldCharType="begin"/>
            </w:r>
            <w:r w:rsidR="00734F2E">
              <w:rPr>
                <w:noProof/>
                <w:webHidden/>
              </w:rPr>
              <w:instrText xml:space="preserve"> PAGEREF _Toc348423337 \h </w:instrText>
            </w:r>
            <w:r>
              <w:rPr>
                <w:noProof/>
                <w:webHidden/>
              </w:rPr>
            </w:r>
            <w:r>
              <w:rPr>
                <w:noProof/>
                <w:webHidden/>
              </w:rPr>
              <w:fldChar w:fldCharType="separate"/>
            </w:r>
            <w:r w:rsidR="00734F2E">
              <w:rPr>
                <w:noProof/>
                <w:webHidden/>
              </w:rPr>
              <w:t>59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38" w:history="1">
            <w:r w:rsidR="00734F2E" w:rsidRPr="004F40F1">
              <w:rPr>
                <w:rStyle w:val="Hyperlink"/>
                <w:noProof/>
              </w:rPr>
              <w:t>3.3</w:t>
            </w:r>
            <w:r w:rsidR="00734F2E">
              <w:rPr>
                <w:rFonts w:eastAsiaTheme="minorEastAsia"/>
                <w:noProof/>
                <w:lang w:eastAsia="en-GB"/>
              </w:rPr>
              <w:tab/>
            </w:r>
            <w:r w:rsidR="00734F2E" w:rsidRPr="004F40F1">
              <w:rPr>
                <w:rStyle w:val="Hyperlink"/>
                <w:noProof/>
              </w:rPr>
              <w:t xml:space="preserve">A bioinformatic search to identify and compile putative </w:t>
            </w:r>
            <w:r w:rsidR="00734F2E" w:rsidRPr="004F40F1">
              <w:rPr>
                <w:rStyle w:val="Hyperlink"/>
                <w:i/>
                <w:noProof/>
              </w:rPr>
              <w:t>PEX</w:t>
            </w:r>
            <w:r w:rsidR="00734F2E" w:rsidRPr="004F40F1">
              <w:rPr>
                <w:rStyle w:val="Hyperlink"/>
                <w:noProof/>
              </w:rPr>
              <w:t xml:space="preserve"> genes.</w:t>
            </w:r>
            <w:r w:rsidR="00734F2E">
              <w:rPr>
                <w:noProof/>
                <w:webHidden/>
              </w:rPr>
              <w:tab/>
            </w:r>
            <w:r>
              <w:rPr>
                <w:noProof/>
                <w:webHidden/>
              </w:rPr>
              <w:fldChar w:fldCharType="begin"/>
            </w:r>
            <w:r w:rsidR="00734F2E">
              <w:rPr>
                <w:noProof/>
                <w:webHidden/>
              </w:rPr>
              <w:instrText xml:space="preserve"> PAGEREF _Toc348423338 \h </w:instrText>
            </w:r>
            <w:r>
              <w:rPr>
                <w:noProof/>
                <w:webHidden/>
              </w:rPr>
            </w:r>
            <w:r>
              <w:rPr>
                <w:noProof/>
                <w:webHidden/>
              </w:rPr>
              <w:fldChar w:fldCharType="separate"/>
            </w:r>
            <w:r w:rsidR="00734F2E">
              <w:rPr>
                <w:noProof/>
                <w:webHidden/>
              </w:rPr>
              <w:t>60</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39" w:history="1">
            <w:r w:rsidR="00734F2E" w:rsidRPr="004F40F1">
              <w:rPr>
                <w:rStyle w:val="Hyperlink"/>
                <w:noProof/>
              </w:rPr>
              <w:t>3.4</w:t>
            </w:r>
            <w:r w:rsidR="00734F2E">
              <w:rPr>
                <w:rFonts w:eastAsiaTheme="minorEastAsia"/>
                <w:noProof/>
                <w:lang w:eastAsia="en-GB"/>
              </w:rPr>
              <w:tab/>
            </w:r>
            <w:r w:rsidR="00734F2E" w:rsidRPr="004F40F1">
              <w:rPr>
                <w:rStyle w:val="Hyperlink"/>
                <w:noProof/>
              </w:rPr>
              <w:t>Parameters for optimisation</w:t>
            </w:r>
            <w:r w:rsidR="00734F2E">
              <w:rPr>
                <w:noProof/>
                <w:webHidden/>
              </w:rPr>
              <w:tab/>
            </w:r>
            <w:r>
              <w:rPr>
                <w:noProof/>
                <w:webHidden/>
              </w:rPr>
              <w:fldChar w:fldCharType="begin"/>
            </w:r>
            <w:r w:rsidR="00734F2E">
              <w:rPr>
                <w:noProof/>
                <w:webHidden/>
              </w:rPr>
              <w:instrText xml:space="preserve"> PAGEREF _Toc348423339 \h </w:instrText>
            </w:r>
            <w:r>
              <w:rPr>
                <w:noProof/>
                <w:webHidden/>
              </w:rPr>
            </w:r>
            <w:r>
              <w:rPr>
                <w:noProof/>
                <w:webHidden/>
              </w:rPr>
              <w:fldChar w:fldCharType="separate"/>
            </w:r>
            <w:r w:rsidR="00734F2E">
              <w:rPr>
                <w:noProof/>
                <w:webHidden/>
              </w:rPr>
              <w:t>61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40" w:history="1">
            <w:r w:rsidR="00734F2E" w:rsidRPr="004F40F1">
              <w:rPr>
                <w:rStyle w:val="Hyperlink"/>
                <w:noProof/>
              </w:rPr>
              <w:t>3.5</w:t>
            </w:r>
            <w:r w:rsidR="00734F2E">
              <w:rPr>
                <w:rFonts w:eastAsiaTheme="minorEastAsia"/>
                <w:noProof/>
                <w:lang w:eastAsia="en-GB"/>
              </w:rPr>
              <w:tab/>
            </w:r>
            <w:r w:rsidR="00734F2E" w:rsidRPr="004F40F1">
              <w:rPr>
                <w:rStyle w:val="Hyperlink"/>
                <w:noProof/>
              </w:rPr>
              <w:t>Expressing the green fluorescent peroxisomal reporter</w:t>
            </w:r>
            <w:r w:rsidR="00734F2E">
              <w:rPr>
                <w:noProof/>
                <w:webHidden/>
              </w:rPr>
              <w:tab/>
            </w:r>
            <w:r>
              <w:rPr>
                <w:noProof/>
                <w:webHidden/>
              </w:rPr>
              <w:fldChar w:fldCharType="begin"/>
            </w:r>
            <w:r w:rsidR="00734F2E">
              <w:rPr>
                <w:noProof/>
                <w:webHidden/>
              </w:rPr>
              <w:instrText xml:space="preserve"> PAGEREF _Toc348423340 \h </w:instrText>
            </w:r>
            <w:r>
              <w:rPr>
                <w:noProof/>
                <w:webHidden/>
              </w:rPr>
            </w:r>
            <w:r>
              <w:rPr>
                <w:noProof/>
                <w:webHidden/>
              </w:rPr>
              <w:fldChar w:fldCharType="separate"/>
            </w:r>
            <w:r w:rsidR="00734F2E">
              <w:rPr>
                <w:noProof/>
                <w:webHidden/>
              </w:rPr>
              <w:t>62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41" w:history="1">
            <w:r w:rsidR="00734F2E" w:rsidRPr="004F40F1">
              <w:rPr>
                <w:rStyle w:val="Hyperlink"/>
                <w:noProof/>
              </w:rPr>
              <w:t>3.6</w:t>
            </w:r>
            <w:r w:rsidR="00734F2E">
              <w:rPr>
                <w:rFonts w:eastAsiaTheme="minorEastAsia"/>
                <w:noProof/>
                <w:lang w:eastAsia="en-GB"/>
              </w:rPr>
              <w:tab/>
            </w:r>
            <w:r w:rsidR="00734F2E" w:rsidRPr="004F40F1">
              <w:rPr>
                <w:rStyle w:val="Hyperlink"/>
                <w:noProof/>
              </w:rPr>
              <w:t>Optimising transfection efficiency of peroxisomal eGFP</w:t>
            </w:r>
            <w:r w:rsidR="00734F2E">
              <w:rPr>
                <w:noProof/>
                <w:webHidden/>
              </w:rPr>
              <w:tab/>
            </w:r>
            <w:r>
              <w:rPr>
                <w:noProof/>
                <w:webHidden/>
              </w:rPr>
              <w:fldChar w:fldCharType="begin"/>
            </w:r>
            <w:r w:rsidR="00734F2E">
              <w:rPr>
                <w:noProof/>
                <w:webHidden/>
              </w:rPr>
              <w:instrText xml:space="preserve"> PAGEREF _Toc348423341 \h </w:instrText>
            </w:r>
            <w:r>
              <w:rPr>
                <w:noProof/>
                <w:webHidden/>
              </w:rPr>
            </w:r>
            <w:r>
              <w:rPr>
                <w:noProof/>
                <w:webHidden/>
              </w:rPr>
              <w:fldChar w:fldCharType="separate"/>
            </w:r>
            <w:r w:rsidR="00734F2E">
              <w:rPr>
                <w:noProof/>
                <w:webHidden/>
              </w:rPr>
              <w:t>70</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42" w:history="1">
            <w:r w:rsidR="00734F2E" w:rsidRPr="004F40F1">
              <w:rPr>
                <w:rStyle w:val="Hyperlink"/>
                <w:noProof/>
              </w:rPr>
              <w:t>3.7</w:t>
            </w:r>
            <w:r w:rsidR="00734F2E">
              <w:rPr>
                <w:rFonts w:eastAsiaTheme="minorEastAsia"/>
                <w:noProof/>
                <w:lang w:eastAsia="en-GB"/>
              </w:rPr>
              <w:tab/>
            </w:r>
            <w:r w:rsidR="00734F2E" w:rsidRPr="004F40F1">
              <w:rPr>
                <w:rStyle w:val="Hyperlink"/>
                <w:noProof/>
              </w:rPr>
              <w:t xml:space="preserve">Knockdowns of </w:t>
            </w:r>
            <w:r w:rsidR="00734F2E" w:rsidRPr="004F40F1">
              <w:rPr>
                <w:rStyle w:val="Hyperlink"/>
                <w:i/>
                <w:noProof/>
              </w:rPr>
              <w:t>Drosophila</w:t>
            </w:r>
            <w:r w:rsidR="00734F2E" w:rsidRPr="004F40F1">
              <w:rPr>
                <w:rStyle w:val="Hyperlink"/>
                <w:noProof/>
              </w:rPr>
              <w:t xml:space="preserve"> </w:t>
            </w:r>
            <w:r w:rsidR="00734F2E" w:rsidRPr="004F40F1">
              <w:rPr>
                <w:rStyle w:val="Hyperlink"/>
                <w:i/>
                <w:noProof/>
              </w:rPr>
              <w:t>PEX</w:t>
            </w:r>
            <w:r w:rsidR="00734F2E" w:rsidRPr="004F40F1">
              <w:rPr>
                <w:rStyle w:val="Hyperlink"/>
                <w:noProof/>
              </w:rPr>
              <w:t xml:space="preserve"> orthologues using RNAi in S2R+ cells.</w:t>
            </w:r>
            <w:r w:rsidR="00734F2E">
              <w:rPr>
                <w:noProof/>
                <w:webHidden/>
              </w:rPr>
              <w:tab/>
            </w:r>
            <w:r>
              <w:rPr>
                <w:noProof/>
                <w:webHidden/>
              </w:rPr>
              <w:fldChar w:fldCharType="begin"/>
            </w:r>
            <w:r w:rsidR="00734F2E">
              <w:rPr>
                <w:noProof/>
                <w:webHidden/>
              </w:rPr>
              <w:instrText xml:space="preserve"> PAGEREF _Toc348423342 \h </w:instrText>
            </w:r>
            <w:r>
              <w:rPr>
                <w:noProof/>
                <w:webHidden/>
              </w:rPr>
            </w:r>
            <w:r>
              <w:rPr>
                <w:noProof/>
                <w:webHidden/>
              </w:rPr>
              <w:fldChar w:fldCharType="separate"/>
            </w:r>
            <w:r w:rsidR="00734F2E">
              <w:rPr>
                <w:noProof/>
                <w:webHidden/>
              </w:rPr>
              <w:t>71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43" w:history="1">
            <w:r w:rsidR="00734F2E" w:rsidRPr="004F40F1">
              <w:rPr>
                <w:rStyle w:val="Hyperlink"/>
                <w:noProof/>
              </w:rPr>
              <w:t>3.8</w:t>
            </w:r>
            <w:r w:rsidR="00734F2E">
              <w:rPr>
                <w:rFonts w:eastAsiaTheme="minorEastAsia"/>
                <w:noProof/>
                <w:lang w:eastAsia="en-GB"/>
              </w:rPr>
              <w:tab/>
            </w:r>
            <w:r w:rsidR="00734F2E" w:rsidRPr="004F40F1">
              <w:rPr>
                <w:rStyle w:val="Hyperlink"/>
                <w:noProof/>
              </w:rPr>
              <w:t>Determination of assay duration</w:t>
            </w:r>
            <w:r w:rsidR="00734F2E">
              <w:rPr>
                <w:noProof/>
                <w:webHidden/>
              </w:rPr>
              <w:tab/>
            </w:r>
            <w:r>
              <w:rPr>
                <w:noProof/>
                <w:webHidden/>
              </w:rPr>
              <w:fldChar w:fldCharType="begin"/>
            </w:r>
            <w:r w:rsidR="00734F2E">
              <w:rPr>
                <w:noProof/>
                <w:webHidden/>
              </w:rPr>
              <w:instrText xml:space="preserve"> PAGEREF _Toc348423343 \h </w:instrText>
            </w:r>
            <w:r>
              <w:rPr>
                <w:noProof/>
                <w:webHidden/>
              </w:rPr>
            </w:r>
            <w:r>
              <w:rPr>
                <w:noProof/>
                <w:webHidden/>
              </w:rPr>
              <w:fldChar w:fldCharType="separate"/>
            </w:r>
            <w:r w:rsidR="00734F2E">
              <w:rPr>
                <w:noProof/>
                <w:webHidden/>
              </w:rPr>
              <w:t>72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44" w:history="1">
            <w:r w:rsidR="00734F2E" w:rsidRPr="004F40F1">
              <w:rPr>
                <w:rStyle w:val="Hyperlink"/>
                <w:noProof/>
              </w:rPr>
              <w:t>3.9</w:t>
            </w:r>
            <w:r w:rsidR="00734F2E">
              <w:rPr>
                <w:rFonts w:eastAsiaTheme="minorEastAsia"/>
                <w:noProof/>
                <w:lang w:eastAsia="en-GB"/>
              </w:rPr>
              <w:tab/>
            </w:r>
            <w:r w:rsidR="00734F2E" w:rsidRPr="004F40F1">
              <w:rPr>
                <w:rStyle w:val="Hyperlink"/>
                <w:noProof/>
              </w:rPr>
              <w:t>Down-scaling and optimisation of the knockdown assay for 384-well microtitre plates</w:t>
            </w:r>
            <w:r w:rsidR="00734F2E">
              <w:rPr>
                <w:noProof/>
                <w:webHidden/>
              </w:rPr>
              <w:tab/>
            </w:r>
            <w:r>
              <w:rPr>
                <w:noProof/>
                <w:webHidden/>
              </w:rPr>
              <w:fldChar w:fldCharType="begin"/>
            </w:r>
            <w:r w:rsidR="00734F2E">
              <w:rPr>
                <w:noProof/>
                <w:webHidden/>
              </w:rPr>
              <w:instrText xml:space="preserve"> PAGEREF _Toc348423344 \h </w:instrText>
            </w:r>
            <w:r>
              <w:rPr>
                <w:noProof/>
                <w:webHidden/>
              </w:rPr>
            </w:r>
            <w:r>
              <w:rPr>
                <w:noProof/>
                <w:webHidden/>
              </w:rPr>
              <w:fldChar w:fldCharType="separate"/>
            </w:r>
            <w:r w:rsidR="00734F2E">
              <w:rPr>
                <w:noProof/>
                <w:webHidden/>
              </w:rPr>
              <w:t>73</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45" w:history="1">
            <w:r w:rsidR="00734F2E" w:rsidRPr="004F40F1">
              <w:rPr>
                <w:rStyle w:val="Hyperlink"/>
                <w:noProof/>
              </w:rPr>
              <w:t>3.10</w:t>
            </w:r>
            <w:r w:rsidR="00734F2E">
              <w:rPr>
                <w:rFonts w:eastAsiaTheme="minorEastAsia"/>
                <w:noProof/>
                <w:lang w:eastAsia="en-GB"/>
              </w:rPr>
              <w:tab/>
            </w:r>
            <w:r w:rsidR="00734F2E" w:rsidRPr="004F40F1">
              <w:rPr>
                <w:rStyle w:val="Hyperlink"/>
                <w:noProof/>
              </w:rPr>
              <w:t>Development of cell-seeding density for 384-well microtitre plates</w:t>
            </w:r>
            <w:r w:rsidR="00734F2E">
              <w:rPr>
                <w:noProof/>
                <w:webHidden/>
              </w:rPr>
              <w:tab/>
            </w:r>
            <w:r>
              <w:rPr>
                <w:noProof/>
                <w:webHidden/>
              </w:rPr>
              <w:fldChar w:fldCharType="begin"/>
            </w:r>
            <w:r w:rsidR="00734F2E">
              <w:rPr>
                <w:noProof/>
                <w:webHidden/>
              </w:rPr>
              <w:instrText xml:space="preserve"> PAGEREF _Toc348423345 \h </w:instrText>
            </w:r>
            <w:r>
              <w:rPr>
                <w:noProof/>
                <w:webHidden/>
              </w:rPr>
            </w:r>
            <w:r>
              <w:rPr>
                <w:noProof/>
                <w:webHidden/>
              </w:rPr>
              <w:fldChar w:fldCharType="separate"/>
            </w:r>
            <w:r w:rsidR="00734F2E">
              <w:rPr>
                <w:noProof/>
                <w:webHidden/>
              </w:rPr>
              <w:t>75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46" w:history="1">
            <w:r w:rsidR="00734F2E" w:rsidRPr="004F40F1">
              <w:rPr>
                <w:rStyle w:val="Hyperlink"/>
                <w:noProof/>
              </w:rPr>
              <w:t>3.11</w:t>
            </w:r>
            <w:r w:rsidR="00734F2E">
              <w:rPr>
                <w:rFonts w:eastAsiaTheme="minorEastAsia"/>
                <w:noProof/>
                <w:lang w:eastAsia="en-GB"/>
              </w:rPr>
              <w:tab/>
            </w:r>
            <w:r w:rsidR="00734F2E" w:rsidRPr="004F40F1">
              <w:rPr>
                <w:rStyle w:val="Hyperlink"/>
                <w:noProof/>
              </w:rPr>
              <w:t>Cell-fixing protocols for a 384-well plate</w:t>
            </w:r>
            <w:r w:rsidR="00734F2E">
              <w:rPr>
                <w:noProof/>
                <w:webHidden/>
              </w:rPr>
              <w:tab/>
            </w:r>
            <w:r>
              <w:rPr>
                <w:noProof/>
                <w:webHidden/>
              </w:rPr>
              <w:fldChar w:fldCharType="begin"/>
            </w:r>
            <w:r w:rsidR="00734F2E">
              <w:rPr>
                <w:noProof/>
                <w:webHidden/>
              </w:rPr>
              <w:instrText xml:space="preserve"> PAGEREF _Toc348423346 \h </w:instrText>
            </w:r>
            <w:r>
              <w:rPr>
                <w:noProof/>
                <w:webHidden/>
              </w:rPr>
            </w:r>
            <w:r>
              <w:rPr>
                <w:noProof/>
                <w:webHidden/>
              </w:rPr>
              <w:fldChar w:fldCharType="separate"/>
            </w:r>
            <w:r w:rsidR="00734F2E">
              <w:rPr>
                <w:noProof/>
                <w:webHidden/>
              </w:rPr>
              <w:t>79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47" w:history="1">
            <w:r w:rsidR="00734F2E" w:rsidRPr="004F40F1">
              <w:rPr>
                <w:rStyle w:val="Hyperlink"/>
                <w:noProof/>
              </w:rPr>
              <w:t>3.12</w:t>
            </w:r>
            <w:r w:rsidR="00734F2E">
              <w:rPr>
                <w:rFonts w:eastAsiaTheme="minorEastAsia"/>
                <w:noProof/>
                <w:lang w:eastAsia="en-GB"/>
              </w:rPr>
              <w:tab/>
            </w:r>
            <w:r w:rsidR="00734F2E" w:rsidRPr="004F40F1">
              <w:rPr>
                <w:rStyle w:val="Hyperlink"/>
                <w:noProof/>
              </w:rPr>
              <w:t>Nuclear staining</w:t>
            </w:r>
            <w:r w:rsidR="00734F2E">
              <w:rPr>
                <w:noProof/>
                <w:webHidden/>
              </w:rPr>
              <w:tab/>
            </w:r>
            <w:r>
              <w:rPr>
                <w:noProof/>
                <w:webHidden/>
              </w:rPr>
              <w:fldChar w:fldCharType="begin"/>
            </w:r>
            <w:r w:rsidR="00734F2E">
              <w:rPr>
                <w:noProof/>
                <w:webHidden/>
              </w:rPr>
              <w:instrText xml:space="preserve"> PAGEREF _Toc348423347 \h </w:instrText>
            </w:r>
            <w:r>
              <w:rPr>
                <w:noProof/>
                <w:webHidden/>
              </w:rPr>
            </w:r>
            <w:r>
              <w:rPr>
                <w:noProof/>
                <w:webHidden/>
              </w:rPr>
              <w:fldChar w:fldCharType="separate"/>
            </w:r>
            <w:r w:rsidR="00734F2E">
              <w:rPr>
                <w:noProof/>
                <w:webHidden/>
              </w:rPr>
              <w:t>80</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48" w:history="1">
            <w:r w:rsidR="00734F2E" w:rsidRPr="004F40F1">
              <w:rPr>
                <w:rStyle w:val="Hyperlink"/>
                <w:noProof/>
              </w:rPr>
              <w:t>3.13</w:t>
            </w:r>
            <w:r w:rsidR="00734F2E">
              <w:rPr>
                <w:rFonts w:eastAsiaTheme="minorEastAsia"/>
                <w:noProof/>
                <w:lang w:eastAsia="en-GB"/>
              </w:rPr>
              <w:tab/>
            </w:r>
            <w:r w:rsidR="00734F2E" w:rsidRPr="004F40F1">
              <w:rPr>
                <w:rStyle w:val="Hyperlink"/>
                <w:noProof/>
              </w:rPr>
              <w:t>Microscope settings configuration</w:t>
            </w:r>
            <w:r w:rsidR="00734F2E">
              <w:rPr>
                <w:noProof/>
                <w:webHidden/>
              </w:rPr>
              <w:tab/>
            </w:r>
            <w:r>
              <w:rPr>
                <w:noProof/>
                <w:webHidden/>
              </w:rPr>
              <w:fldChar w:fldCharType="begin"/>
            </w:r>
            <w:r w:rsidR="00734F2E">
              <w:rPr>
                <w:noProof/>
                <w:webHidden/>
              </w:rPr>
              <w:instrText xml:space="preserve"> PAGEREF _Toc348423348 \h </w:instrText>
            </w:r>
            <w:r>
              <w:rPr>
                <w:noProof/>
                <w:webHidden/>
              </w:rPr>
            </w:r>
            <w:r>
              <w:rPr>
                <w:noProof/>
                <w:webHidden/>
              </w:rPr>
              <w:fldChar w:fldCharType="separate"/>
            </w:r>
            <w:r w:rsidR="00734F2E">
              <w:rPr>
                <w:noProof/>
                <w:webHidden/>
              </w:rPr>
              <w:t>81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49" w:history="1">
            <w:r w:rsidR="00734F2E" w:rsidRPr="004F40F1">
              <w:rPr>
                <w:rStyle w:val="Hyperlink"/>
                <w:noProof/>
              </w:rPr>
              <w:t>3.14</w:t>
            </w:r>
            <w:r w:rsidR="00734F2E">
              <w:rPr>
                <w:rFonts w:eastAsiaTheme="minorEastAsia"/>
                <w:noProof/>
                <w:lang w:eastAsia="en-GB"/>
              </w:rPr>
              <w:tab/>
            </w:r>
            <w:r w:rsidR="00734F2E" w:rsidRPr="004F40F1">
              <w:rPr>
                <w:rStyle w:val="Hyperlink"/>
                <w:noProof/>
              </w:rPr>
              <w:t>Image evaluation and post-processing for 384-well plates</w:t>
            </w:r>
            <w:r w:rsidR="00734F2E">
              <w:rPr>
                <w:noProof/>
                <w:webHidden/>
              </w:rPr>
              <w:tab/>
            </w:r>
            <w:r>
              <w:rPr>
                <w:noProof/>
                <w:webHidden/>
              </w:rPr>
              <w:fldChar w:fldCharType="begin"/>
            </w:r>
            <w:r w:rsidR="00734F2E">
              <w:rPr>
                <w:noProof/>
                <w:webHidden/>
              </w:rPr>
              <w:instrText xml:space="preserve"> PAGEREF _Toc348423349 \h </w:instrText>
            </w:r>
            <w:r>
              <w:rPr>
                <w:noProof/>
                <w:webHidden/>
              </w:rPr>
            </w:r>
            <w:r>
              <w:rPr>
                <w:noProof/>
                <w:webHidden/>
              </w:rPr>
              <w:fldChar w:fldCharType="separate"/>
            </w:r>
            <w:r w:rsidR="00734F2E">
              <w:rPr>
                <w:noProof/>
                <w:webHidden/>
              </w:rPr>
              <w:t>82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50" w:history="1">
            <w:r w:rsidR="00734F2E" w:rsidRPr="004F40F1">
              <w:rPr>
                <w:rStyle w:val="Hyperlink"/>
                <w:noProof/>
              </w:rPr>
              <w:t>3.15</w:t>
            </w:r>
            <w:r w:rsidR="00734F2E">
              <w:rPr>
                <w:rFonts w:eastAsiaTheme="minorEastAsia"/>
                <w:noProof/>
                <w:lang w:eastAsia="en-GB"/>
              </w:rPr>
              <w:tab/>
            </w:r>
            <w:r w:rsidR="00734F2E" w:rsidRPr="004F40F1">
              <w:rPr>
                <w:rStyle w:val="Hyperlink"/>
                <w:noProof/>
              </w:rPr>
              <w:t>Segmentation development in 384 well-plates</w:t>
            </w:r>
            <w:r w:rsidR="00734F2E">
              <w:rPr>
                <w:noProof/>
                <w:webHidden/>
              </w:rPr>
              <w:tab/>
            </w:r>
            <w:r>
              <w:rPr>
                <w:noProof/>
                <w:webHidden/>
              </w:rPr>
              <w:fldChar w:fldCharType="begin"/>
            </w:r>
            <w:r w:rsidR="00734F2E">
              <w:rPr>
                <w:noProof/>
                <w:webHidden/>
              </w:rPr>
              <w:instrText xml:space="preserve"> PAGEREF _Toc348423350 \h </w:instrText>
            </w:r>
            <w:r>
              <w:rPr>
                <w:noProof/>
                <w:webHidden/>
              </w:rPr>
            </w:r>
            <w:r>
              <w:rPr>
                <w:noProof/>
                <w:webHidden/>
              </w:rPr>
              <w:fldChar w:fldCharType="separate"/>
            </w:r>
            <w:r w:rsidR="00734F2E">
              <w:rPr>
                <w:noProof/>
                <w:webHidden/>
              </w:rPr>
              <w:t>82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51" w:history="1">
            <w:r w:rsidR="00734F2E" w:rsidRPr="004F40F1">
              <w:rPr>
                <w:rStyle w:val="Hyperlink"/>
                <w:noProof/>
              </w:rPr>
              <w:t>3.16</w:t>
            </w:r>
            <w:r w:rsidR="00734F2E">
              <w:rPr>
                <w:rFonts w:eastAsiaTheme="minorEastAsia"/>
                <w:noProof/>
                <w:lang w:eastAsia="en-GB"/>
              </w:rPr>
              <w:tab/>
            </w:r>
            <w:r w:rsidR="00734F2E" w:rsidRPr="004F40F1">
              <w:rPr>
                <w:rStyle w:val="Hyperlink"/>
                <w:noProof/>
              </w:rPr>
              <w:t>Summary of progress so far</w:t>
            </w:r>
            <w:r w:rsidR="00734F2E">
              <w:rPr>
                <w:noProof/>
                <w:webHidden/>
              </w:rPr>
              <w:tab/>
            </w:r>
            <w:r>
              <w:rPr>
                <w:noProof/>
                <w:webHidden/>
              </w:rPr>
              <w:fldChar w:fldCharType="begin"/>
            </w:r>
            <w:r w:rsidR="00734F2E">
              <w:rPr>
                <w:noProof/>
                <w:webHidden/>
              </w:rPr>
              <w:instrText xml:space="preserve"> PAGEREF _Toc348423351 \h </w:instrText>
            </w:r>
            <w:r>
              <w:rPr>
                <w:noProof/>
                <w:webHidden/>
              </w:rPr>
            </w:r>
            <w:r>
              <w:rPr>
                <w:noProof/>
                <w:webHidden/>
              </w:rPr>
              <w:fldChar w:fldCharType="separate"/>
            </w:r>
            <w:r w:rsidR="00734F2E">
              <w:rPr>
                <w:noProof/>
                <w:webHidden/>
              </w:rPr>
              <w:t>91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52" w:history="1">
            <w:r w:rsidR="00734F2E" w:rsidRPr="004F40F1">
              <w:rPr>
                <w:rStyle w:val="Hyperlink"/>
                <w:noProof/>
              </w:rPr>
              <w:t>3.17</w:t>
            </w:r>
            <w:r w:rsidR="00734F2E">
              <w:rPr>
                <w:rFonts w:eastAsiaTheme="minorEastAsia"/>
                <w:noProof/>
                <w:lang w:eastAsia="en-GB"/>
              </w:rPr>
              <w:tab/>
            </w:r>
            <w:r w:rsidR="00734F2E" w:rsidRPr="004F40F1">
              <w:rPr>
                <w:rStyle w:val="Hyperlink"/>
                <w:noProof/>
              </w:rPr>
              <w:t>Results for Genome-wide Screen 1</w:t>
            </w:r>
            <w:r w:rsidR="00734F2E">
              <w:rPr>
                <w:noProof/>
                <w:webHidden/>
              </w:rPr>
              <w:tab/>
            </w:r>
            <w:r>
              <w:rPr>
                <w:noProof/>
                <w:webHidden/>
              </w:rPr>
              <w:fldChar w:fldCharType="begin"/>
            </w:r>
            <w:r w:rsidR="00734F2E">
              <w:rPr>
                <w:noProof/>
                <w:webHidden/>
              </w:rPr>
              <w:instrText xml:space="preserve"> PAGEREF _Toc348423352 \h </w:instrText>
            </w:r>
            <w:r>
              <w:rPr>
                <w:noProof/>
                <w:webHidden/>
              </w:rPr>
            </w:r>
            <w:r>
              <w:rPr>
                <w:noProof/>
                <w:webHidden/>
              </w:rPr>
              <w:fldChar w:fldCharType="separate"/>
            </w:r>
            <w:r w:rsidR="00734F2E">
              <w:rPr>
                <w:noProof/>
                <w:webHidden/>
              </w:rPr>
              <w:t>91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53" w:history="1">
            <w:r w:rsidR="00734F2E" w:rsidRPr="004F40F1">
              <w:rPr>
                <w:rStyle w:val="Hyperlink"/>
                <w:noProof/>
              </w:rPr>
              <w:t>3.18</w:t>
            </w:r>
            <w:r w:rsidR="00734F2E">
              <w:rPr>
                <w:rFonts w:eastAsiaTheme="minorEastAsia"/>
                <w:noProof/>
                <w:lang w:eastAsia="en-GB"/>
              </w:rPr>
              <w:tab/>
            </w:r>
            <w:r w:rsidR="00734F2E" w:rsidRPr="004F40F1">
              <w:rPr>
                <w:rStyle w:val="Hyperlink"/>
                <w:noProof/>
              </w:rPr>
              <w:t>3 Controls showed consistently greatly reduced numbers of peroxisomes per cell.</w:t>
            </w:r>
            <w:r w:rsidR="00734F2E">
              <w:rPr>
                <w:noProof/>
                <w:webHidden/>
              </w:rPr>
              <w:tab/>
            </w:r>
            <w:r>
              <w:rPr>
                <w:noProof/>
                <w:webHidden/>
              </w:rPr>
              <w:fldChar w:fldCharType="begin"/>
            </w:r>
            <w:r w:rsidR="00734F2E">
              <w:rPr>
                <w:noProof/>
                <w:webHidden/>
              </w:rPr>
              <w:instrText xml:space="preserve"> PAGEREF _Toc348423353 \h </w:instrText>
            </w:r>
            <w:r>
              <w:rPr>
                <w:noProof/>
                <w:webHidden/>
              </w:rPr>
            </w:r>
            <w:r>
              <w:rPr>
                <w:noProof/>
                <w:webHidden/>
              </w:rPr>
              <w:fldChar w:fldCharType="separate"/>
            </w:r>
            <w:r w:rsidR="00734F2E">
              <w:rPr>
                <w:noProof/>
                <w:webHidden/>
              </w:rPr>
              <w:t>92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54" w:history="1">
            <w:r w:rsidR="00734F2E" w:rsidRPr="004F40F1">
              <w:rPr>
                <w:rStyle w:val="Hyperlink"/>
                <w:noProof/>
              </w:rPr>
              <w:t>3.19</w:t>
            </w:r>
            <w:r w:rsidR="00734F2E">
              <w:rPr>
                <w:rFonts w:eastAsiaTheme="minorEastAsia"/>
                <w:noProof/>
                <w:lang w:eastAsia="en-GB"/>
              </w:rPr>
              <w:tab/>
            </w:r>
            <w:r w:rsidR="00734F2E" w:rsidRPr="004F40F1">
              <w:rPr>
                <w:rStyle w:val="Hyperlink"/>
                <w:noProof/>
              </w:rPr>
              <w:t>11 gene KDs homologous to genes known to have peroxisome biogenesis function gave loss-of-function phenotypes</w:t>
            </w:r>
            <w:r w:rsidR="00734F2E">
              <w:rPr>
                <w:noProof/>
                <w:webHidden/>
              </w:rPr>
              <w:tab/>
            </w:r>
            <w:r>
              <w:rPr>
                <w:noProof/>
                <w:webHidden/>
              </w:rPr>
              <w:fldChar w:fldCharType="begin"/>
            </w:r>
            <w:r w:rsidR="00734F2E">
              <w:rPr>
                <w:noProof/>
                <w:webHidden/>
              </w:rPr>
              <w:instrText xml:space="preserve"> PAGEREF _Toc348423354 \h </w:instrText>
            </w:r>
            <w:r>
              <w:rPr>
                <w:noProof/>
                <w:webHidden/>
              </w:rPr>
            </w:r>
            <w:r>
              <w:rPr>
                <w:noProof/>
                <w:webHidden/>
              </w:rPr>
              <w:fldChar w:fldCharType="separate"/>
            </w:r>
            <w:r w:rsidR="00734F2E">
              <w:rPr>
                <w:noProof/>
                <w:webHidden/>
              </w:rPr>
              <w:t>95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55" w:history="1">
            <w:r w:rsidR="00734F2E" w:rsidRPr="004F40F1">
              <w:rPr>
                <w:rStyle w:val="Hyperlink"/>
                <w:noProof/>
              </w:rPr>
              <w:t>3.20</w:t>
            </w:r>
            <w:r w:rsidR="00734F2E">
              <w:rPr>
                <w:rFonts w:eastAsiaTheme="minorEastAsia"/>
                <w:noProof/>
                <w:lang w:eastAsia="en-GB"/>
              </w:rPr>
              <w:tab/>
            </w:r>
            <w:r w:rsidR="00734F2E" w:rsidRPr="004F40F1">
              <w:rPr>
                <w:rStyle w:val="Hyperlink"/>
                <w:noProof/>
              </w:rPr>
              <w:t xml:space="preserve">3 novel genes achieve </w:t>
            </w:r>
            <w:r w:rsidR="00734F2E" w:rsidRPr="004F40F1">
              <w:rPr>
                <w:rStyle w:val="Hyperlink"/>
                <w:i/>
                <w:noProof/>
              </w:rPr>
              <w:t>PEX</w:t>
            </w:r>
            <w:r w:rsidR="00734F2E" w:rsidRPr="004F40F1">
              <w:rPr>
                <w:rStyle w:val="Hyperlink"/>
                <w:noProof/>
              </w:rPr>
              <w:t xml:space="preserve"> KD phenotype in first Metazoan pan genomic screen for peroxins.</w:t>
            </w:r>
            <w:r w:rsidR="00734F2E">
              <w:rPr>
                <w:noProof/>
                <w:webHidden/>
              </w:rPr>
              <w:tab/>
            </w:r>
            <w:r>
              <w:rPr>
                <w:noProof/>
                <w:webHidden/>
              </w:rPr>
              <w:fldChar w:fldCharType="begin"/>
            </w:r>
            <w:r w:rsidR="00734F2E">
              <w:rPr>
                <w:noProof/>
                <w:webHidden/>
              </w:rPr>
              <w:instrText xml:space="preserve"> PAGEREF _Toc348423355 \h </w:instrText>
            </w:r>
            <w:r>
              <w:rPr>
                <w:noProof/>
                <w:webHidden/>
              </w:rPr>
            </w:r>
            <w:r>
              <w:rPr>
                <w:noProof/>
                <w:webHidden/>
              </w:rPr>
              <w:fldChar w:fldCharType="separate"/>
            </w:r>
            <w:r w:rsidR="00734F2E">
              <w:rPr>
                <w:noProof/>
                <w:webHidden/>
              </w:rPr>
              <w:t>98</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56" w:history="1">
            <w:r w:rsidR="00734F2E" w:rsidRPr="004F40F1">
              <w:rPr>
                <w:rStyle w:val="Hyperlink"/>
                <w:noProof/>
              </w:rPr>
              <w:t>3.21</w:t>
            </w:r>
            <w:r w:rsidR="00734F2E">
              <w:rPr>
                <w:rFonts w:eastAsiaTheme="minorEastAsia"/>
                <w:noProof/>
                <w:lang w:eastAsia="en-GB"/>
              </w:rPr>
              <w:tab/>
            </w:r>
            <w:r w:rsidR="00734F2E" w:rsidRPr="004F40F1">
              <w:rPr>
                <w:rStyle w:val="Hyperlink"/>
                <w:noProof/>
              </w:rPr>
              <w:t>Mitosis derived and inconsistent phenotypes</w:t>
            </w:r>
            <w:r w:rsidR="00734F2E">
              <w:rPr>
                <w:noProof/>
                <w:webHidden/>
              </w:rPr>
              <w:tab/>
            </w:r>
            <w:r>
              <w:rPr>
                <w:noProof/>
                <w:webHidden/>
              </w:rPr>
              <w:fldChar w:fldCharType="begin"/>
            </w:r>
            <w:r w:rsidR="00734F2E">
              <w:rPr>
                <w:noProof/>
                <w:webHidden/>
              </w:rPr>
              <w:instrText xml:space="preserve"> PAGEREF _Toc348423356 \h </w:instrText>
            </w:r>
            <w:r>
              <w:rPr>
                <w:noProof/>
                <w:webHidden/>
              </w:rPr>
            </w:r>
            <w:r>
              <w:rPr>
                <w:noProof/>
                <w:webHidden/>
              </w:rPr>
              <w:fldChar w:fldCharType="separate"/>
            </w:r>
            <w:r w:rsidR="00734F2E">
              <w:rPr>
                <w:noProof/>
                <w:webHidden/>
              </w:rPr>
              <w:t>100</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57" w:history="1">
            <w:r w:rsidR="00734F2E" w:rsidRPr="004F40F1">
              <w:rPr>
                <w:rStyle w:val="Hyperlink"/>
                <w:noProof/>
              </w:rPr>
              <w:t>3.22</w:t>
            </w:r>
            <w:r w:rsidR="00734F2E">
              <w:rPr>
                <w:rFonts w:eastAsiaTheme="minorEastAsia"/>
                <w:noProof/>
                <w:lang w:eastAsia="en-GB"/>
              </w:rPr>
              <w:tab/>
            </w:r>
            <w:r w:rsidR="00734F2E" w:rsidRPr="004F40F1">
              <w:rPr>
                <w:rStyle w:val="Hyperlink"/>
                <w:noProof/>
              </w:rPr>
              <w:t>Discussion</w:t>
            </w:r>
            <w:r w:rsidR="00734F2E">
              <w:rPr>
                <w:noProof/>
                <w:webHidden/>
              </w:rPr>
              <w:tab/>
            </w:r>
            <w:r>
              <w:rPr>
                <w:noProof/>
                <w:webHidden/>
              </w:rPr>
              <w:fldChar w:fldCharType="begin"/>
            </w:r>
            <w:r w:rsidR="00734F2E">
              <w:rPr>
                <w:noProof/>
                <w:webHidden/>
              </w:rPr>
              <w:instrText xml:space="preserve"> PAGEREF _Toc348423357 \h </w:instrText>
            </w:r>
            <w:r>
              <w:rPr>
                <w:noProof/>
                <w:webHidden/>
              </w:rPr>
            </w:r>
            <w:r>
              <w:rPr>
                <w:noProof/>
                <w:webHidden/>
              </w:rPr>
              <w:fldChar w:fldCharType="separate"/>
            </w:r>
            <w:r w:rsidR="00734F2E">
              <w:rPr>
                <w:noProof/>
                <w:webHidden/>
              </w:rPr>
              <w:t>101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58" w:history="1">
            <w:r w:rsidR="00734F2E" w:rsidRPr="004F40F1">
              <w:rPr>
                <w:rStyle w:val="Hyperlink"/>
                <w:noProof/>
              </w:rPr>
              <w:t>3.23</w:t>
            </w:r>
            <w:r w:rsidR="00734F2E">
              <w:rPr>
                <w:rFonts w:eastAsiaTheme="minorEastAsia"/>
                <w:noProof/>
                <w:lang w:eastAsia="en-GB"/>
              </w:rPr>
              <w:tab/>
            </w:r>
            <w:r w:rsidR="00734F2E" w:rsidRPr="004F40F1">
              <w:rPr>
                <w:rStyle w:val="Hyperlink"/>
                <w:noProof/>
              </w:rPr>
              <w:t>Performing the screen with a selectable peroxisomal marker will produce a stable cell-line and improve the statistical power of the screen.</w:t>
            </w:r>
            <w:r w:rsidR="00734F2E">
              <w:rPr>
                <w:noProof/>
                <w:webHidden/>
              </w:rPr>
              <w:tab/>
            </w:r>
            <w:r>
              <w:rPr>
                <w:noProof/>
                <w:webHidden/>
              </w:rPr>
              <w:fldChar w:fldCharType="begin"/>
            </w:r>
            <w:r w:rsidR="00734F2E">
              <w:rPr>
                <w:noProof/>
                <w:webHidden/>
              </w:rPr>
              <w:instrText xml:space="preserve"> PAGEREF _Toc348423358 \h </w:instrText>
            </w:r>
            <w:r>
              <w:rPr>
                <w:noProof/>
                <w:webHidden/>
              </w:rPr>
            </w:r>
            <w:r>
              <w:rPr>
                <w:noProof/>
                <w:webHidden/>
              </w:rPr>
              <w:fldChar w:fldCharType="separate"/>
            </w:r>
            <w:r w:rsidR="00734F2E">
              <w:rPr>
                <w:noProof/>
                <w:webHidden/>
              </w:rPr>
              <w:t>102</w:t>
            </w:r>
            <w:r>
              <w:rPr>
                <w:noProof/>
                <w:webHidden/>
              </w:rPr>
              <w:fldChar w:fldCharType="end"/>
            </w:r>
          </w:hyperlink>
        </w:p>
        <w:p w:rsidR="00734F2E" w:rsidRDefault="009A1FEC">
          <w:pPr>
            <w:pStyle w:val="TOC1"/>
            <w:tabs>
              <w:tab w:val="left" w:pos="440"/>
              <w:tab w:val="right" w:leader="dot" w:pos="8131"/>
            </w:tabs>
            <w:rPr>
              <w:rFonts w:eastAsiaTheme="minorEastAsia"/>
              <w:noProof/>
              <w:lang w:eastAsia="en-GB"/>
            </w:rPr>
          </w:pPr>
          <w:hyperlink w:anchor="_Toc348423359" w:history="1">
            <w:r w:rsidR="00734F2E" w:rsidRPr="004F40F1">
              <w:rPr>
                <w:rStyle w:val="Hyperlink"/>
                <w:noProof/>
              </w:rPr>
              <w:t>4</w:t>
            </w:r>
            <w:r w:rsidR="00734F2E">
              <w:rPr>
                <w:rFonts w:eastAsiaTheme="minorEastAsia"/>
                <w:noProof/>
                <w:lang w:eastAsia="en-GB"/>
              </w:rPr>
              <w:tab/>
            </w:r>
            <w:r w:rsidR="00734F2E" w:rsidRPr="004F40F1">
              <w:rPr>
                <w:rStyle w:val="Hyperlink"/>
                <w:noProof/>
              </w:rPr>
              <w:t xml:space="preserve">Second pan-genomic screen in </w:t>
            </w:r>
            <w:r w:rsidR="00734F2E" w:rsidRPr="004F40F1">
              <w:rPr>
                <w:rStyle w:val="Hyperlink"/>
                <w:i/>
                <w:noProof/>
              </w:rPr>
              <w:t>D. melanogaster</w:t>
            </w:r>
            <w:r w:rsidR="00734F2E" w:rsidRPr="004F40F1">
              <w:rPr>
                <w:rStyle w:val="Hyperlink"/>
                <w:noProof/>
              </w:rPr>
              <w:t xml:space="preserve"> for peroxins using stably transfected cells expressing eGFP-PTS1</w:t>
            </w:r>
            <w:r w:rsidR="00734F2E">
              <w:rPr>
                <w:noProof/>
                <w:webHidden/>
              </w:rPr>
              <w:tab/>
            </w:r>
            <w:r>
              <w:rPr>
                <w:noProof/>
                <w:webHidden/>
              </w:rPr>
              <w:fldChar w:fldCharType="begin"/>
            </w:r>
            <w:r w:rsidR="00734F2E">
              <w:rPr>
                <w:noProof/>
                <w:webHidden/>
              </w:rPr>
              <w:instrText xml:space="preserve"> PAGEREF _Toc348423359 \h </w:instrText>
            </w:r>
            <w:r>
              <w:rPr>
                <w:noProof/>
                <w:webHidden/>
              </w:rPr>
            </w:r>
            <w:r>
              <w:rPr>
                <w:noProof/>
                <w:webHidden/>
              </w:rPr>
              <w:fldChar w:fldCharType="separate"/>
            </w:r>
            <w:r w:rsidR="00734F2E">
              <w:rPr>
                <w:noProof/>
                <w:webHidden/>
              </w:rPr>
              <w:t>103</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60" w:history="1">
            <w:r w:rsidR="00734F2E" w:rsidRPr="004F40F1">
              <w:rPr>
                <w:rStyle w:val="Hyperlink"/>
                <w:noProof/>
              </w:rPr>
              <w:t>4.1</w:t>
            </w:r>
            <w:r w:rsidR="00734F2E">
              <w:rPr>
                <w:rFonts w:eastAsiaTheme="minorEastAsia"/>
                <w:noProof/>
                <w:lang w:eastAsia="en-GB"/>
              </w:rPr>
              <w:tab/>
            </w:r>
            <w:r w:rsidR="00734F2E" w:rsidRPr="004F40F1">
              <w:rPr>
                <w:rStyle w:val="Hyperlink"/>
                <w:noProof/>
              </w:rPr>
              <w:t>Introduction</w:t>
            </w:r>
            <w:r w:rsidR="00734F2E">
              <w:rPr>
                <w:noProof/>
                <w:webHidden/>
              </w:rPr>
              <w:tab/>
            </w:r>
            <w:r>
              <w:rPr>
                <w:noProof/>
                <w:webHidden/>
              </w:rPr>
              <w:fldChar w:fldCharType="begin"/>
            </w:r>
            <w:r w:rsidR="00734F2E">
              <w:rPr>
                <w:noProof/>
                <w:webHidden/>
              </w:rPr>
              <w:instrText xml:space="preserve"> PAGEREF _Toc348423360 \h </w:instrText>
            </w:r>
            <w:r>
              <w:rPr>
                <w:noProof/>
                <w:webHidden/>
              </w:rPr>
            </w:r>
            <w:r>
              <w:rPr>
                <w:noProof/>
                <w:webHidden/>
              </w:rPr>
              <w:fldChar w:fldCharType="separate"/>
            </w:r>
            <w:r w:rsidR="00734F2E">
              <w:rPr>
                <w:noProof/>
                <w:webHidden/>
              </w:rPr>
              <w:t>103</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61" w:history="1">
            <w:r w:rsidR="00734F2E" w:rsidRPr="004F40F1">
              <w:rPr>
                <w:rStyle w:val="Hyperlink"/>
                <w:noProof/>
              </w:rPr>
              <w:t>4.2</w:t>
            </w:r>
            <w:r w:rsidR="00734F2E">
              <w:rPr>
                <w:rFonts w:eastAsiaTheme="minorEastAsia"/>
                <w:noProof/>
                <w:lang w:eastAsia="en-GB"/>
              </w:rPr>
              <w:tab/>
            </w:r>
            <w:r w:rsidR="00734F2E" w:rsidRPr="004F40F1">
              <w:rPr>
                <w:rStyle w:val="Hyperlink"/>
                <w:noProof/>
              </w:rPr>
              <w:t>Culturing stably transfected cells</w:t>
            </w:r>
            <w:r w:rsidR="00734F2E">
              <w:rPr>
                <w:noProof/>
                <w:webHidden/>
              </w:rPr>
              <w:tab/>
            </w:r>
            <w:r>
              <w:rPr>
                <w:noProof/>
                <w:webHidden/>
              </w:rPr>
              <w:fldChar w:fldCharType="begin"/>
            </w:r>
            <w:r w:rsidR="00734F2E">
              <w:rPr>
                <w:noProof/>
                <w:webHidden/>
              </w:rPr>
              <w:instrText xml:space="preserve"> PAGEREF _Toc348423361 \h </w:instrText>
            </w:r>
            <w:r>
              <w:rPr>
                <w:noProof/>
                <w:webHidden/>
              </w:rPr>
            </w:r>
            <w:r>
              <w:rPr>
                <w:noProof/>
                <w:webHidden/>
              </w:rPr>
              <w:fldChar w:fldCharType="separate"/>
            </w:r>
            <w:r w:rsidR="00734F2E">
              <w:rPr>
                <w:noProof/>
                <w:webHidden/>
              </w:rPr>
              <w:t>104</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62" w:history="1">
            <w:r w:rsidR="00734F2E" w:rsidRPr="004F40F1">
              <w:rPr>
                <w:rStyle w:val="Hyperlink"/>
                <w:noProof/>
              </w:rPr>
              <w:t>4.3</w:t>
            </w:r>
            <w:r w:rsidR="00734F2E">
              <w:rPr>
                <w:rFonts w:eastAsiaTheme="minorEastAsia"/>
                <w:noProof/>
                <w:lang w:eastAsia="en-GB"/>
              </w:rPr>
              <w:tab/>
            </w:r>
            <w:r w:rsidR="00734F2E" w:rsidRPr="004F40F1">
              <w:rPr>
                <w:rStyle w:val="Hyperlink"/>
                <w:noProof/>
              </w:rPr>
              <w:t>Re-establishing seeding density for stably transfected cells</w:t>
            </w:r>
            <w:r w:rsidR="00734F2E">
              <w:rPr>
                <w:noProof/>
                <w:webHidden/>
              </w:rPr>
              <w:tab/>
            </w:r>
            <w:r>
              <w:rPr>
                <w:noProof/>
                <w:webHidden/>
              </w:rPr>
              <w:fldChar w:fldCharType="begin"/>
            </w:r>
            <w:r w:rsidR="00734F2E">
              <w:rPr>
                <w:noProof/>
                <w:webHidden/>
              </w:rPr>
              <w:instrText xml:space="preserve"> PAGEREF _Toc348423362 \h </w:instrText>
            </w:r>
            <w:r>
              <w:rPr>
                <w:noProof/>
                <w:webHidden/>
              </w:rPr>
            </w:r>
            <w:r>
              <w:rPr>
                <w:noProof/>
                <w:webHidden/>
              </w:rPr>
              <w:fldChar w:fldCharType="separate"/>
            </w:r>
            <w:r w:rsidR="00734F2E">
              <w:rPr>
                <w:noProof/>
                <w:webHidden/>
              </w:rPr>
              <w:t>105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63" w:history="1">
            <w:r w:rsidR="00734F2E" w:rsidRPr="004F40F1">
              <w:rPr>
                <w:rStyle w:val="Hyperlink"/>
                <w:noProof/>
              </w:rPr>
              <w:t>4.4</w:t>
            </w:r>
            <w:r w:rsidR="00734F2E">
              <w:rPr>
                <w:rFonts w:eastAsiaTheme="minorEastAsia"/>
                <w:noProof/>
                <w:lang w:eastAsia="en-GB"/>
              </w:rPr>
              <w:tab/>
            </w:r>
            <w:r w:rsidR="00734F2E" w:rsidRPr="004F40F1">
              <w:rPr>
                <w:rStyle w:val="Hyperlink"/>
                <w:noProof/>
              </w:rPr>
              <w:t>Reduction of CuSO</w:t>
            </w:r>
            <w:r w:rsidR="00734F2E" w:rsidRPr="004F40F1">
              <w:rPr>
                <w:rStyle w:val="Hyperlink"/>
                <w:noProof/>
                <w:vertAlign w:val="subscript"/>
              </w:rPr>
              <w:t>4</w:t>
            </w:r>
            <w:r w:rsidR="00734F2E" w:rsidRPr="004F40F1">
              <w:rPr>
                <w:rStyle w:val="Hyperlink"/>
                <w:noProof/>
              </w:rPr>
              <w:t xml:space="preserve"> concentration to induce expression of stably transfected cells</w:t>
            </w:r>
            <w:r w:rsidR="00734F2E">
              <w:rPr>
                <w:noProof/>
                <w:webHidden/>
              </w:rPr>
              <w:tab/>
            </w:r>
            <w:r>
              <w:rPr>
                <w:noProof/>
                <w:webHidden/>
              </w:rPr>
              <w:fldChar w:fldCharType="begin"/>
            </w:r>
            <w:r w:rsidR="00734F2E">
              <w:rPr>
                <w:noProof/>
                <w:webHidden/>
              </w:rPr>
              <w:instrText xml:space="preserve"> PAGEREF _Toc348423363 \h </w:instrText>
            </w:r>
            <w:r>
              <w:rPr>
                <w:noProof/>
                <w:webHidden/>
              </w:rPr>
            </w:r>
            <w:r>
              <w:rPr>
                <w:noProof/>
                <w:webHidden/>
              </w:rPr>
              <w:fldChar w:fldCharType="separate"/>
            </w:r>
            <w:r w:rsidR="00734F2E">
              <w:rPr>
                <w:noProof/>
                <w:webHidden/>
              </w:rPr>
              <w:t>106</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64" w:history="1">
            <w:r w:rsidR="00734F2E" w:rsidRPr="004F40F1">
              <w:rPr>
                <w:rStyle w:val="Hyperlink"/>
                <w:noProof/>
              </w:rPr>
              <w:t>4.5</w:t>
            </w:r>
            <w:r w:rsidR="00734F2E">
              <w:rPr>
                <w:rFonts w:eastAsiaTheme="minorEastAsia"/>
                <w:noProof/>
                <w:lang w:eastAsia="en-GB"/>
              </w:rPr>
              <w:tab/>
            </w:r>
            <w:r w:rsidR="00734F2E" w:rsidRPr="004F40F1">
              <w:rPr>
                <w:rStyle w:val="Hyperlink"/>
                <w:noProof/>
              </w:rPr>
              <w:t>Adjustment of microscope settings</w:t>
            </w:r>
            <w:r w:rsidR="00734F2E">
              <w:rPr>
                <w:noProof/>
                <w:webHidden/>
              </w:rPr>
              <w:tab/>
            </w:r>
            <w:r>
              <w:rPr>
                <w:noProof/>
                <w:webHidden/>
              </w:rPr>
              <w:fldChar w:fldCharType="begin"/>
            </w:r>
            <w:r w:rsidR="00734F2E">
              <w:rPr>
                <w:noProof/>
                <w:webHidden/>
              </w:rPr>
              <w:instrText xml:space="preserve"> PAGEREF _Toc348423364 \h </w:instrText>
            </w:r>
            <w:r>
              <w:rPr>
                <w:noProof/>
                <w:webHidden/>
              </w:rPr>
            </w:r>
            <w:r>
              <w:rPr>
                <w:noProof/>
                <w:webHidden/>
              </w:rPr>
              <w:fldChar w:fldCharType="separate"/>
            </w:r>
            <w:r w:rsidR="00734F2E">
              <w:rPr>
                <w:noProof/>
                <w:webHidden/>
              </w:rPr>
              <w:t>107</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65" w:history="1">
            <w:r w:rsidR="00734F2E" w:rsidRPr="004F40F1">
              <w:rPr>
                <w:rStyle w:val="Hyperlink"/>
                <w:noProof/>
              </w:rPr>
              <w:t>4.6</w:t>
            </w:r>
            <w:r w:rsidR="00734F2E">
              <w:rPr>
                <w:rFonts w:eastAsiaTheme="minorEastAsia"/>
                <w:noProof/>
                <w:lang w:eastAsia="en-GB"/>
              </w:rPr>
              <w:tab/>
            </w:r>
            <w:r w:rsidR="00734F2E" w:rsidRPr="004F40F1">
              <w:rPr>
                <w:rStyle w:val="Hyperlink"/>
                <w:noProof/>
              </w:rPr>
              <w:t>Optimising the Transfluor application and assay plate testing</w:t>
            </w:r>
            <w:r w:rsidR="00734F2E">
              <w:rPr>
                <w:noProof/>
                <w:webHidden/>
              </w:rPr>
              <w:tab/>
            </w:r>
            <w:r>
              <w:rPr>
                <w:noProof/>
                <w:webHidden/>
              </w:rPr>
              <w:fldChar w:fldCharType="begin"/>
            </w:r>
            <w:r w:rsidR="00734F2E">
              <w:rPr>
                <w:noProof/>
                <w:webHidden/>
              </w:rPr>
              <w:instrText xml:space="preserve"> PAGEREF _Toc348423365 \h </w:instrText>
            </w:r>
            <w:r>
              <w:rPr>
                <w:noProof/>
                <w:webHidden/>
              </w:rPr>
            </w:r>
            <w:r>
              <w:rPr>
                <w:noProof/>
                <w:webHidden/>
              </w:rPr>
              <w:fldChar w:fldCharType="separate"/>
            </w:r>
            <w:r w:rsidR="00734F2E">
              <w:rPr>
                <w:noProof/>
                <w:webHidden/>
              </w:rPr>
              <w:t>108</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66" w:history="1">
            <w:r w:rsidR="00734F2E" w:rsidRPr="004F40F1">
              <w:rPr>
                <w:rStyle w:val="Hyperlink"/>
                <w:noProof/>
              </w:rPr>
              <w:t>4.7</w:t>
            </w:r>
            <w:r w:rsidR="00734F2E">
              <w:rPr>
                <w:rFonts w:eastAsiaTheme="minorEastAsia"/>
                <w:noProof/>
                <w:lang w:eastAsia="en-GB"/>
              </w:rPr>
              <w:tab/>
            </w:r>
            <w:r w:rsidR="00734F2E" w:rsidRPr="004F40F1">
              <w:rPr>
                <w:rStyle w:val="Hyperlink"/>
                <w:noProof/>
              </w:rPr>
              <w:t>Normalisation procedures</w:t>
            </w:r>
            <w:r w:rsidR="00734F2E">
              <w:rPr>
                <w:noProof/>
                <w:webHidden/>
              </w:rPr>
              <w:tab/>
            </w:r>
            <w:r>
              <w:rPr>
                <w:noProof/>
                <w:webHidden/>
              </w:rPr>
              <w:fldChar w:fldCharType="begin"/>
            </w:r>
            <w:r w:rsidR="00734F2E">
              <w:rPr>
                <w:noProof/>
                <w:webHidden/>
              </w:rPr>
              <w:instrText xml:space="preserve"> PAGEREF _Toc348423366 \h </w:instrText>
            </w:r>
            <w:r>
              <w:rPr>
                <w:noProof/>
                <w:webHidden/>
              </w:rPr>
            </w:r>
            <w:r>
              <w:rPr>
                <w:noProof/>
                <w:webHidden/>
              </w:rPr>
              <w:fldChar w:fldCharType="separate"/>
            </w:r>
            <w:r w:rsidR="00734F2E">
              <w:rPr>
                <w:noProof/>
                <w:webHidden/>
              </w:rPr>
              <w:t>113</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67" w:history="1">
            <w:r w:rsidR="00734F2E" w:rsidRPr="004F40F1">
              <w:rPr>
                <w:rStyle w:val="Hyperlink"/>
                <w:noProof/>
              </w:rPr>
              <w:t>4.8</w:t>
            </w:r>
            <w:r w:rsidR="00734F2E">
              <w:rPr>
                <w:rFonts w:eastAsiaTheme="minorEastAsia"/>
                <w:noProof/>
                <w:lang w:eastAsia="en-GB"/>
              </w:rPr>
              <w:tab/>
            </w:r>
            <w:r w:rsidR="00734F2E" w:rsidRPr="004F40F1">
              <w:rPr>
                <w:rStyle w:val="Hyperlink"/>
                <w:noProof/>
              </w:rPr>
              <w:t>Results – Introduction</w:t>
            </w:r>
            <w:r w:rsidR="00734F2E">
              <w:rPr>
                <w:noProof/>
                <w:webHidden/>
              </w:rPr>
              <w:tab/>
            </w:r>
            <w:r>
              <w:rPr>
                <w:noProof/>
                <w:webHidden/>
              </w:rPr>
              <w:fldChar w:fldCharType="begin"/>
            </w:r>
            <w:r w:rsidR="00734F2E">
              <w:rPr>
                <w:noProof/>
                <w:webHidden/>
              </w:rPr>
              <w:instrText xml:space="preserve"> PAGEREF _Toc348423367 \h </w:instrText>
            </w:r>
            <w:r>
              <w:rPr>
                <w:noProof/>
                <w:webHidden/>
              </w:rPr>
            </w:r>
            <w:r>
              <w:rPr>
                <w:noProof/>
                <w:webHidden/>
              </w:rPr>
              <w:fldChar w:fldCharType="separate"/>
            </w:r>
            <w:r w:rsidR="00734F2E">
              <w:rPr>
                <w:noProof/>
                <w:webHidden/>
              </w:rPr>
              <w:t>115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68" w:history="1">
            <w:r w:rsidR="00734F2E" w:rsidRPr="004F40F1">
              <w:rPr>
                <w:rStyle w:val="Hyperlink"/>
                <w:noProof/>
              </w:rPr>
              <w:t>4.9</w:t>
            </w:r>
            <w:r w:rsidR="00734F2E">
              <w:rPr>
                <w:rFonts w:eastAsiaTheme="minorEastAsia"/>
                <w:noProof/>
                <w:lang w:eastAsia="en-GB"/>
              </w:rPr>
              <w:tab/>
            </w:r>
            <w:r w:rsidR="00734F2E" w:rsidRPr="004F40F1">
              <w:rPr>
                <w:rStyle w:val="Hyperlink"/>
                <w:noProof/>
              </w:rPr>
              <w:t>Control probes.</w:t>
            </w:r>
            <w:r w:rsidR="00734F2E">
              <w:rPr>
                <w:noProof/>
                <w:webHidden/>
              </w:rPr>
              <w:tab/>
            </w:r>
            <w:r>
              <w:rPr>
                <w:noProof/>
                <w:webHidden/>
              </w:rPr>
              <w:fldChar w:fldCharType="begin"/>
            </w:r>
            <w:r w:rsidR="00734F2E">
              <w:rPr>
                <w:noProof/>
                <w:webHidden/>
              </w:rPr>
              <w:instrText xml:space="preserve"> PAGEREF _Toc348423368 \h </w:instrText>
            </w:r>
            <w:r>
              <w:rPr>
                <w:noProof/>
                <w:webHidden/>
              </w:rPr>
            </w:r>
            <w:r>
              <w:rPr>
                <w:noProof/>
                <w:webHidden/>
              </w:rPr>
              <w:fldChar w:fldCharType="separate"/>
            </w:r>
            <w:r w:rsidR="00734F2E">
              <w:rPr>
                <w:noProof/>
                <w:webHidden/>
              </w:rPr>
              <w:t>115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69" w:history="1">
            <w:r w:rsidR="00734F2E" w:rsidRPr="004F40F1">
              <w:rPr>
                <w:rStyle w:val="Hyperlink"/>
                <w:noProof/>
              </w:rPr>
              <w:t>4.10</w:t>
            </w:r>
            <w:r w:rsidR="00734F2E">
              <w:rPr>
                <w:rFonts w:eastAsiaTheme="minorEastAsia"/>
                <w:noProof/>
                <w:lang w:eastAsia="en-GB"/>
              </w:rPr>
              <w:tab/>
            </w:r>
            <w:r w:rsidR="00734F2E" w:rsidRPr="004F40F1">
              <w:rPr>
                <w:rStyle w:val="Hyperlink"/>
                <w:noProof/>
              </w:rPr>
              <w:t xml:space="preserve">Screen 2 statistically identifies some known </w:t>
            </w:r>
            <w:r w:rsidR="00734F2E" w:rsidRPr="004F40F1">
              <w:rPr>
                <w:rStyle w:val="Hyperlink"/>
                <w:i/>
                <w:noProof/>
              </w:rPr>
              <w:t>PEX</w:t>
            </w:r>
            <w:r w:rsidR="00734F2E" w:rsidRPr="004F40F1">
              <w:rPr>
                <w:rStyle w:val="Hyperlink"/>
                <w:noProof/>
              </w:rPr>
              <w:t xml:space="preserve"> genes</w:t>
            </w:r>
            <w:r w:rsidR="00734F2E">
              <w:rPr>
                <w:noProof/>
                <w:webHidden/>
              </w:rPr>
              <w:tab/>
            </w:r>
            <w:r>
              <w:rPr>
                <w:noProof/>
                <w:webHidden/>
              </w:rPr>
              <w:fldChar w:fldCharType="begin"/>
            </w:r>
            <w:r w:rsidR="00734F2E">
              <w:rPr>
                <w:noProof/>
                <w:webHidden/>
              </w:rPr>
              <w:instrText xml:space="preserve"> PAGEREF _Toc348423369 \h </w:instrText>
            </w:r>
            <w:r>
              <w:rPr>
                <w:noProof/>
                <w:webHidden/>
              </w:rPr>
            </w:r>
            <w:r>
              <w:rPr>
                <w:noProof/>
                <w:webHidden/>
              </w:rPr>
              <w:fldChar w:fldCharType="separate"/>
            </w:r>
            <w:r w:rsidR="00734F2E">
              <w:rPr>
                <w:noProof/>
                <w:webHidden/>
              </w:rPr>
              <w:t>117</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70" w:history="1">
            <w:r w:rsidR="00734F2E" w:rsidRPr="004F40F1">
              <w:rPr>
                <w:rStyle w:val="Hyperlink"/>
                <w:noProof/>
              </w:rPr>
              <w:t>4.11</w:t>
            </w:r>
            <w:r w:rsidR="00734F2E">
              <w:rPr>
                <w:rFonts w:eastAsiaTheme="minorEastAsia"/>
                <w:noProof/>
                <w:lang w:eastAsia="en-GB"/>
              </w:rPr>
              <w:tab/>
            </w:r>
            <w:r w:rsidR="00734F2E" w:rsidRPr="004F40F1">
              <w:rPr>
                <w:rStyle w:val="Hyperlink"/>
                <w:i/>
                <w:noProof/>
              </w:rPr>
              <w:t>PEX</w:t>
            </w:r>
            <w:r w:rsidR="00734F2E" w:rsidRPr="004F40F1">
              <w:rPr>
                <w:rStyle w:val="Hyperlink"/>
                <w:noProof/>
              </w:rPr>
              <w:t xml:space="preserve"> gene KDs that are neither statistically nor visually significant</w:t>
            </w:r>
            <w:r w:rsidR="00734F2E">
              <w:rPr>
                <w:noProof/>
                <w:webHidden/>
              </w:rPr>
              <w:tab/>
            </w:r>
            <w:r>
              <w:rPr>
                <w:noProof/>
                <w:webHidden/>
              </w:rPr>
              <w:fldChar w:fldCharType="begin"/>
            </w:r>
            <w:r w:rsidR="00734F2E">
              <w:rPr>
                <w:noProof/>
                <w:webHidden/>
              </w:rPr>
              <w:instrText xml:space="preserve"> PAGEREF _Toc348423370 \h </w:instrText>
            </w:r>
            <w:r>
              <w:rPr>
                <w:noProof/>
                <w:webHidden/>
              </w:rPr>
            </w:r>
            <w:r>
              <w:rPr>
                <w:noProof/>
                <w:webHidden/>
              </w:rPr>
              <w:fldChar w:fldCharType="separate"/>
            </w:r>
            <w:r w:rsidR="00734F2E">
              <w:rPr>
                <w:noProof/>
                <w:webHidden/>
              </w:rPr>
              <w:t>119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71" w:history="1">
            <w:r w:rsidR="00734F2E" w:rsidRPr="004F40F1">
              <w:rPr>
                <w:rStyle w:val="Hyperlink"/>
                <w:noProof/>
              </w:rPr>
              <w:t>4.12</w:t>
            </w:r>
            <w:r w:rsidR="00734F2E">
              <w:rPr>
                <w:rFonts w:eastAsiaTheme="minorEastAsia"/>
                <w:noProof/>
                <w:lang w:eastAsia="en-GB"/>
              </w:rPr>
              <w:tab/>
            </w:r>
            <w:r w:rsidR="00734F2E" w:rsidRPr="004F40F1">
              <w:rPr>
                <w:rStyle w:val="Hyperlink"/>
                <w:noProof/>
              </w:rPr>
              <w:t xml:space="preserve">Some genes produced statistically significant data that may have </w:t>
            </w:r>
            <w:r w:rsidR="00D93535" w:rsidRPr="00D93535">
              <w:rPr>
                <w:rStyle w:val="Hyperlink"/>
                <w:i/>
                <w:noProof/>
              </w:rPr>
              <w:t>PEX</w:t>
            </w:r>
            <w:r w:rsidR="00734F2E" w:rsidRPr="004F40F1">
              <w:rPr>
                <w:rStyle w:val="Hyperlink"/>
                <w:noProof/>
              </w:rPr>
              <w:t>-like phenotypes.</w:t>
            </w:r>
            <w:r w:rsidR="00734F2E">
              <w:rPr>
                <w:noProof/>
                <w:webHidden/>
              </w:rPr>
              <w:tab/>
            </w:r>
            <w:r>
              <w:rPr>
                <w:noProof/>
                <w:webHidden/>
              </w:rPr>
              <w:fldChar w:fldCharType="begin"/>
            </w:r>
            <w:r w:rsidR="00734F2E">
              <w:rPr>
                <w:noProof/>
                <w:webHidden/>
              </w:rPr>
              <w:instrText xml:space="preserve"> PAGEREF _Toc348423371 \h </w:instrText>
            </w:r>
            <w:r>
              <w:rPr>
                <w:noProof/>
                <w:webHidden/>
              </w:rPr>
            </w:r>
            <w:r>
              <w:rPr>
                <w:noProof/>
                <w:webHidden/>
              </w:rPr>
              <w:fldChar w:fldCharType="separate"/>
            </w:r>
            <w:r w:rsidR="00734F2E">
              <w:rPr>
                <w:noProof/>
                <w:webHidden/>
              </w:rPr>
              <w:t>121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72" w:history="1">
            <w:r w:rsidR="00734F2E" w:rsidRPr="004F40F1">
              <w:rPr>
                <w:rStyle w:val="Hyperlink"/>
                <w:noProof/>
              </w:rPr>
              <w:t>4.13</w:t>
            </w:r>
            <w:r w:rsidR="00734F2E">
              <w:rPr>
                <w:rFonts w:eastAsiaTheme="minorEastAsia"/>
                <w:noProof/>
                <w:lang w:eastAsia="en-GB"/>
              </w:rPr>
              <w:tab/>
            </w:r>
            <w:r w:rsidR="00734F2E" w:rsidRPr="004F40F1">
              <w:rPr>
                <w:rStyle w:val="Hyperlink"/>
                <w:noProof/>
              </w:rPr>
              <w:t>Evaluation of genomic screen reliability and reproducibility.</w:t>
            </w:r>
            <w:r w:rsidR="00734F2E">
              <w:rPr>
                <w:noProof/>
                <w:webHidden/>
              </w:rPr>
              <w:tab/>
            </w:r>
            <w:r>
              <w:rPr>
                <w:noProof/>
                <w:webHidden/>
              </w:rPr>
              <w:fldChar w:fldCharType="begin"/>
            </w:r>
            <w:r w:rsidR="00734F2E">
              <w:rPr>
                <w:noProof/>
                <w:webHidden/>
              </w:rPr>
              <w:instrText xml:space="preserve"> PAGEREF _Toc348423372 \h </w:instrText>
            </w:r>
            <w:r>
              <w:rPr>
                <w:noProof/>
                <w:webHidden/>
              </w:rPr>
            </w:r>
            <w:r>
              <w:rPr>
                <w:noProof/>
                <w:webHidden/>
              </w:rPr>
              <w:fldChar w:fldCharType="separate"/>
            </w:r>
            <w:r w:rsidR="00734F2E">
              <w:rPr>
                <w:noProof/>
                <w:webHidden/>
              </w:rPr>
              <w:t>129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73" w:history="1">
            <w:r w:rsidR="00734F2E" w:rsidRPr="004F40F1">
              <w:rPr>
                <w:rStyle w:val="Hyperlink"/>
                <w:noProof/>
              </w:rPr>
              <w:t>4.14</w:t>
            </w:r>
            <w:r w:rsidR="00734F2E">
              <w:rPr>
                <w:rFonts w:eastAsiaTheme="minorEastAsia"/>
                <w:noProof/>
                <w:lang w:eastAsia="en-GB"/>
              </w:rPr>
              <w:tab/>
            </w:r>
            <w:r w:rsidR="00734F2E" w:rsidRPr="004F40F1">
              <w:rPr>
                <w:rStyle w:val="Hyperlink"/>
                <w:noProof/>
              </w:rPr>
              <w:t>Comparison of distributions of probes and controls</w:t>
            </w:r>
            <w:r w:rsidR="00734F2E">
              <w:rPr>
                <w:noProof/>
                <w:webHidden/>
              </w:rPr>
              <w:tab/>
            </w:r>
            <w:r>
              <w:rPr>
                <w:noProof/>
                <w:webHidden/>
              </w:rPr>
              <w:fldChar w:fldCharType="begin"/>
            </w:r>
            <w:r w:rsidR="00734F2E">
              <w:rPr>
                <w:noProof/>
                <w:webHidden/>
              </w:rPr>
              <w:instrText xml:space="preserve"> PAGEREF _Toc348423373 \h </w:instrText>
            </w:r>
            <w:r>
              <w:rPr>
                <w:noProof/>
                <w:webHidden/>
              </w:rPr>
            </w:r>
            <w:r>
              <w:rPr>
                <w:noProof/>
                <w:webHidden/>
              </w:rPr>
              <w:fldChar w:fldCharType="separate"/>
            </w:r>
            <w:r w:rsidR="00734F2E">
              <w:rPr>
                <w:noProof/>
                <w:webHidden/>
              </w:rPr>
              <w:t>130</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74" w:history="1">
            <w:r w:rsidR="00734F2E" w:rsidRPr="004F40F1">
              <w:rPr>
                <w:rStyle w:val="Hyperlink"/>
                <w:noProof/>
              </w:rPr>
              <w:t>4.15</w:t>
            </w:r>
            <w:r w:rsidR="00734F2E">
              <w:rPr>
                <w:rFonts w:eastAsiaTheme="minorEastAsia"/>
                <w:noProof/>
                <w:lang w:eastAsia="en-GB"/>
              </w:rPr>
              <w:tab/>
            </w:r>
            <w:r w:rsidR="00734F2E" w:rsidRPr="004F40F1">
              <w:rPr>
                <w:rStyle w:val="Hyperlink"/>
                <w:noProof/>
              </w:rPr>
              <w:t>Plate 48 had a high number of high-scoring knockdowns</w:t>
            </w:r>
            <w:r w:rsidR="00734F2E">
              <w:rPr>
                <w:noProof/>
                <w:webHidden/>
              </w:rPr>
              <w:tab/>
            </w:r>
            <w:r>
              <w:rPr>
                <w:noProof/>
                <w:webHidden/>
              </w:rPr>
              <w:fldChar w:fldCharType="begin"/>
            </w:r>
            <w:r w:rsidR="00734F2E">
              <w:rPr>
                <w:noProof/>
                <w:webHidden/>
              </w:rPr>
              <w:instrText xml:space="preserve"> PAGEREF _Toc348423374 \h </w:instrText>
            </w:r>
            <w:r>
              <w:rPr>
                <w:noProof/>
                <w:webHidden/>
              </w:rPr>
            </w:r>
            <w:r>
              <w:rPr>
                <w:noProof/>
                <w:webHidden/>
              </w:rPr>
              <w:fldChar w:fldCharType="separate"/>
            </w:r>
            <w:r w:rsidR="00734F2E">
              <w:rPr>
                <w:noProof/>
                <w:webHidden/>
              </w:rPr>
              <w:t>133</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75" w:history="1">
            <w:r w:rsidR="00734F2E" w:rsidRPr="004F40F1">
              <w:rPr>
                <w:rStyle w:val="Hyperlink"/>
                <w:noProof/>
              </w:rPr>
              <w:t>4.16</w:t>
            </w:r>
            <w:r w:rsidR="00734F2E">
              <w:rPr>
                <w:rFonts w:eastAsiaTheme="minorEastAsia"/>
                <w:noProof/>
                <w:lang w:eastAsia="en-GB"/>
              </w:rPr>
              <w:tab/>
            </w:r>
            <w:r w:rsidR="00734F2E" w:rsidRPr="004F40F1">
              <w:rPr>
                <w:rStyle w:val="Hyperlink"/>
                <w:noProof/>
              </w:rPr>
              <w:t>Average z-scores across both screens</w:t>
            </w:r>
            <w:r w:rsidR="00734F2E">
              <w:rPr>
                <w:noProof/>
                <w:webHidden/>
              </w:rPr>
              <w:tab/>
            </w:r>
            <w:r>
              <w:rPr>
                <w:noProof/>
                <w:webHidden/>
              </w:rPr>
              <w:fldChar w:fldCharType="begin"/>
            </w:r>
            <w:r w:rsidR="00734F2E">
              <w:rPr>
                <w:noProof/>
                <w:webHidden/>
              </w:rPr>
              <w:instrText xml:space="preserve"> PAGEREF _Toc348423375 \h </w:instrText>
            </w:r>
            <w:r>
              <w:rPr>
                <w:noProof/>
                <w:webHidden/>
              </w:rPr>
            </w:r>
            <w:r>
              <w:rPr>
                <w:noProof/>
                <w:webHidden/>
              </w:rPr>
              <w:fldChar w:fldCharType="separate"/>
            </w:r>
            <w:r w:rsidR="00734F2E">
              <w:rPr>
                <w:noProof/>
                <w:webHidden/>
              </w:rPr>
              <w:t>135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76" w:history="1">
            <w:r w:rsidR="00734F2E" w:rsidRPr="004F40F1">
              <w:rPr>
                <w:rStyle w:val="Hyperlink"/>
                <w:noProof/>
              </w:rPr>
              <w:t>4.17</w:t>
            </w:r>
            <w:r w:rsidR="00734F2E">
              <w:rPr>
                <w:rFonts w:eastAsiaTheme="minorEastAsia"/>
                <w:noProof/>
                <w:lang w:eastAsia="en-GB"/>
              </w:rPr>
              <w:tab/>
            </w:r>
            <w:r w:rsidR="00734F2E" w:rsidRPr="004F40F1">
              <w:rPr>
                <w:rStyle w:val="Hyperlink"/>
                <w:noProof/>
              </w:rPr>
              <w:t>Discussion</w:t>
            </w:r>
            <w:r w:rsidR="00734F2E">
              <w:rPr>
                <w:noProof/>
                <w:webHidden/>
              </w:rPr>
              <w:tab/>
            </w:r>
            <w:r>
              <w:rPr>
                <w:noProof/>
                <w:webHidden/>
              </w:rPr>
              <w:fldChar w:fldCharType="begin"/>
            </w:r>
            <w:r w:rsidR="00734F2E">
              <w:rPr>
                <w:noProof/>
                <w:webHidden/>
              </w:rPr>
              <w:instrText xml:space="preserve"> PAGEREF _Toc348423376 \h </w:instrText>
            </w:r>
            <w:r>
              <w:rPr>
                <w:noProof/>
                <w:webHidden/>
              </w:rPr>
            </w:r>
            <w:r>
              <w:rPr>
                <w:noProof/>
                <w:webHidden/>
              </w:rPr>
              <w:fldChar w:fldCharType="separate"/>
            </w:r>
            <w:r w:rsidR="00734F2E">
              <w:rPr>
                <w:noProof/>
                <w:webHidden/>
              </w:rPr>
              <w:t>137</w:t>
            </w:r>
            <w:r>
              <w:rPr>
                <w:noProof/>
                <w:webHidden/>
              </w:rPr>
              <w:fldChar w:fldCharType="end"/>
            </w:r>
          </w:hyperlink>
        </w:p>
        <w:p w:rsidR="00734F2E" w:rsidRDefault="009A1FEC">
          <w:pPr>
            <w:pStyle w:val="TOC1"/>
            <w:tabs>
              <w:tab w:val="left" w:pos="440"/>
              <w:tab w:val="right" w:leader="dot" w:pos="8131"/>
            </w:tabs>
            <w:rPr>
              <w:rFonts w:eastAsiaTheme="minorEastAsia"/>
              <w:noProof/>
              <w:lang w:eastAsia="en-GB"/>
            </w:rPr>
          </w:pPr>
          <w:hyperlink w:anchor="_Toc348423377" w:history="1">
            <w:r w:rsidR="00734F2E" w:rsidRPr="004F40F1">
              <w:rPr>
                <w:rStyle w:val="Hyperlink"/>
                <w:noProof/>
              </w:rPr>
              <w:t>5</w:t>
            </w:r>
            <w:r w:rsidR="00734F2E">
              <w:rPr>
                <w:rFonts w:eastAsiaTheme="minorEastAsia"/>
                <w:noProof/>
                <w:lang w:eastAsia="en-GB"/>
              </w:rPr>
              <w:tab/>
            </w:r>
            <w:r w:rsidR="00734F2E" w:rsidRPr="004F40F1">
              <w:rPr>
                <w:rStyle w:val="Hyperlink"/>
                <w:noProof/>
              </w:rPr>
              <w:t>Secondary screening and subsequent labwork</w:t>
            </w:r>
            <w:r w:rsidR="00734F2E">
              <w:rPr>
                <w:noProof/>
                <w:webHidden/>
              </w:rPr>
              <w:tab/>
            </w:r>
            <w:r>
              <w:rPr>
                <w:noProof/>
                <w:webHidden/>
              </w:rPr>
              <w:fldChar w:fldCharType="begin"/>
            </w:r>
            <w:r w:rsidR="00734F2E">
              <w:rPr>
                <w:noProof/>
                <w:webHidden/>
              </w:rPr>
              <w:instrText xml:space="preserve"> PAGEREF _Toc348423377 \h </w:instrText>
            </w:r>
            <w:r>
              <w:rPr>
                <w:noProof/>
                <w:webHidden/>
              </w:rPr>
            </w:r>
            <w:r>
              <w:rPr>
                <w:noProof/>
                <w:webHidden/>
              </w:rPr>
              <w:fldChar w:fldCharType="separate"/>
            </w:r>
            <w:r w:rsidR="00734F2E">
              <w:rPr>
                <w:noProof/>
                <w:webHidden/>
              </w:rPr>
              <w:t>139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78" w:history="1">
            <w:r w:rsidR="00734F2E" w:rsidRPr="004F40F1">
              <w:rPr>
                <w:rStyle w:val="Hyperlink"/>
                <w:noProof/>
              </w:rPr>
              <w:t>5.1</w:t>
            </w:r>
            <w:r w:rsidR="00734F2E">
              <w:rPr>
                <w:rFonts w:eastAsiaTheme="minorEastAsia"/>
                <w:noProof/>
                <w:lang w:eastAsia="en-GB"/>
              </w:rPr>
              <w:tab/>
            </w:r>
            <w:r w:rsidR="00734F2E" w:rsidRPr="004F40F1">
              <w:rPr>
                <w:rStyle w:val="Hyperlink"/>
                <w:noProof/>
              </w:rPr>
              <w:t>Introduction</w:t>
            </w:r>
            <w:r w:rsidR="00734F2E">
              <w:rPr>
                <w:noProof/>
                <w:webHidden/>
              </w:rPr>
              <w:tab/>
            </w:r>
            <w:r>
              <w:rPr>
                <w:noProof/>
                <w:webHidden/>
              </w:rPr>
              <w:fldChar w:fldCharType="begin"/>
            </w:r>
            <w:r w:rsidR="00734F2E">
              <w:rPr>
                <w:noProof/>
                <w:webHidden/>
              </w:rPr>
              <w:instrText xml:space="preserve"> PAGEREF _Toc348423378 \h </w:instrText>
            </w:r>
            <w:r>
              <w:rPr>
                <w:noProof/>
                <w:webHidden/>
              </w:rPr>
            </w:r>
            <w:r>
              <w:rPr>
                <w:noProof/>
                <w:webHidden/>
              </w:rPr>
              <w:fldChar w:fldCharType="separate"/>
            </w:r>
            <w:r w:rsidR="00734F2E">
              <w:rPr>
                <w:noProof/>
                <w:webHidden/>
              </w:rPr>
              <w:t>139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79" w:history="1">
            <w:r w:rsidR="00734F2E" w:rsidRPr="004F40F1">
              <w:rPr>
                <w:rStyle w:val="Hyperlink"/>
                <w:noProof/>
              </w:rPr>
              <w:t>5.2</w:t>
            </w:r>
            <w:r w:rsidR="00734F2E">
              <w:rPr>
                <w:rFonts w:eastAsiaTheme="minorEastAsia"/>
                <w:noProof/>
                <w:lang w:eastAsia="en-GB"/>
              </w:rPr>
              <w:tab/>
            </w:r>
            <w:r w:rsidR="00734F2E" w:rsidRPr="004F40F1">
              <w:rPr>
                <w:rStyle w:val="Hyperlink"/>
                <w:noProof/>
              </w:rPr>
              <w:t>Selection of samples for the Secondary Screen plate</w:t>
            </w:r>
            <w:r w:rsidR="00734F2E">
              <w:rPr>
                <w:noProof/>
                <w:webHidden/>
              </w:rPr>
              <w:tab/>
            </w:r>
            <w:r>
              <w:rPr>
                <w:noProof/>
                <w:webHidden/>
              </w:rPr>
              <w:fldChar w:fldCharType="begin"/>
            </w:r>
            <w:r w:rsidR="00734F2E">
              <w:rPr>
                <w:noProof/>
                <w:webHidden/>
              </w:rPr>
              <w:instrText xml:space="preserve"> PAGEREF _Toc348423379 \h </w:instrText>
            </w:r>
            <w:r>
              <w:rPr>
                <w:noProof/>
                <w:webHidden/>
              </w:rPr>
            </w:r>
            <w:r>
              <w:rPr>
                <w:noProof/>
                <w:webHidden/>
              </w:rPr>
              <w:fldChar w:fldCharType="separate"/>
            </w:r>
            <w:r w:rsidR="00734F2E">
              <w:rPr>
                <w:noProof/>
                <w:webHidden/>
              </w:rPr>
              <w:t>139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80" w:history="1">
            <w:r w:rsidR="00734F2E" w:rsidRPr="004F40F1">
              <w:rPr>
                <w:rStyle w:val="Hyperlink"/>
                <w:noProof/>
              </w:rPr>
              <w:t>5.3</w:t>
            </w:r>
            <w:r w:rsidR="00734F2E">
              <w:rPr>
                <w:rFonts w:eastAsiaTheme="minorEastAsia"/>
                <w:noProof/>
                <w:lang w:eastAsia="en-GB"/>
              </w:rPr>
              <w:tab/>
            </w:r>
            <w:r w:rsidR="00734F2E" w:rsidRPr="004F40F1">
              <w:rPr>
                <w:rStyle w:val="Hyperlink"/>
                <w:noProof/>
              </w:rPr>
              <w:t>Choosing the control probes for the Secondary Screen secondary screening plate</w:t>
            </w:r>
            <w:r w:rsidR="00734F2E">
              <w:rPr>
                <w:noProof/>
                <w:webHidden/>
              </w:rPr>
              <w:tab/>
            </w:r>
            <w:r>
              <w:rPr>
                <w:noProof/>
                <w:webHidden/>
              </w:rPr>
              <w:fldChar w:fldCharType="begin"/>
            </w:r>
            <w:r w:rsidR="00734F2E">
              <w:rPr>
                <w:noProof/>
                <w:webHidden/>
              </w:rPr>
              <w:instrText xml:space="preserve"> PAGEREF _Toc348423380 \h </w:instrText>
            </w:r>
            <w:r>
              <w:rPr>
                <w:noProof/>
                <w:webHidden/>
              </w:rPr>
            </w:r>
            <w:r>
              <w:rPr>
                <w:noProof/>
                <w:webHidden/>
              </w:rPr>
              <w:fldChar w:fldCharType="separate"/>
            </w:r>
            <w:r w:rsidR="00734F2E">
              <w:rPr>
                <w:noProof/>
                <w:webHidden/>
              </w:rPr>
              <w:t>141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81" w:history="1">
            <w:r w:rsidR="00734F2E" w:rsidRPr="004F40F1">
              <w:rPr>
                <w:rStyle w:val="Hyperlink"/>
                <w:noProof/>
              </w:rPr>
              <w:t>5.4</w:t>
            </w:r>
            <w:r w:rsidR="00734F2E">
              <w:rPr>
                <w:rFonts w:eastAsiaTheme="minorEastAsia"/>
                <w:noProof/>
                <w:lang w:eastAsia="en-GB"/>
              </w:rPr>
              <w:tab/>
            </w:r>
            <w:r w:rsidR="00734F2E" w:rsidRPr="004F40F1">
              <w:rPr>
                <w:rStyle w:val="Hyperlink"/>
                <w:noProof/>
              </w:rPr>
              <w:t>The Secondary screen of 257 shortlisted sample probes from the genome wide screen for animal peroxins</w:t>
            </w:r>
            <w:r w:rsidR="00734F2E">
              <w:rPr>
                <w:noProof/>
                <w:webHidden/>
              </w:rPr>
              <w:tab/>
            </w:r>
            <w:r>
              <w:rPr>
                <w:noProof/>
                <w:webHidden/>
              </w:rPr>
              <w:fldChar w:fldCharType="begin"/>
            </w:r>
            <w:r w:rsidR="00734F2E">
              <w:rPr>
                <w:noProof/>
                <w:webHidden/>
              </w:rPr>
              <w:instrText xml:space="preserve"> PAGEREF _Toc348423381 \h </w:instrText>
            </w:r>
            <w:r>
              <w:rPr>
                <w:noProof/>
                <w:webHidden/>
              </w:rPr>
            </w:r>
            <w:r>
              <w:rPr>
                <w:noProof/>
                <w:webHidden/>
              </w:rPr>
              <w:fldChar w:fldCharType="separate"/>
            </w:r>
            <w:r w:rsidR="00734F2E">
              <w:rPr>
                <w:noProof/>
                <w:webHidden/>
              </w:rPr>
              <w:t>144</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82" w:history="1">
            <w:r w:rsidR="00734F2E" w:rsidRPr="004F40F1">
              <w:rPr>
                <w:rStyle w:val="Hyperlink"/>
                <w:noProof/>
              </w:rPr>
              <w:t>5.5</w:t>
            </w:r>
            <w:r w:rsidR="00734F2E">
              <w:rPr>
                <w:rFonts w:eastAsiaTheme="minorEastAsia"/>
                <w:noProof/>
                <w:lang w:eastAsia="en-GB"/>
              </w:rPr>
              <w:tab/>
            </w:r>
            <w:r w:rsidR="00734F2E" w:rsidRPr="004F40F1">
              <w:rPr>
                <w:rStyle w:val="Hyperlink"/>
                <w:noProof/>
              </w:rPr>
              <w:t>Evaluation of controls</w:t>
            </w:r>
            <w:r w:rsidR="00734F2E">
              <w:rPr>
                <w:noProof/>
                <w:webHidden/>
              </w:rPr>
              <w:tab/>
            </w:r>
            <w:r>
              <w:rPr>
                <w:noProof/>
                <w:webHidden/>
              </w:rPr>
              <w:fldChar w:fldCharType="begin"/>
            </w:r>
            <w:r w:rsidR="00734F2E">
              <w:rPr>
                <w:noProof/>
                <w:webHidden/>
              </w:rPr>
              <w:instrText xml:space="preserve"> PAGEREF _Toc348423382 \h </w:instrText>
            </w:r>
            <w:r>
              <w:rPr>
                <w:noProof/>
                <w:webHidden/>
              </w:rPr>
            </w:r>
            <w:r>
              <w:rPr>
                <w:noProof/>
                <w:webHidden/>
              </w:rPr>
              <w:fldChar w:fldCharType="separate"/>
            </w:r>
            <w:r w:rsidR="00734F2E">
              <w:rPr>
                <w:noProof/>
                <w:webHidden/>
              </w:rPr>
              <w:t>144</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83" w:history="1">
            <w:r w:rsidR="00734F2E" w:rsidRPr="004F40F1">
              <w:rPr>
                <w:rStyle w:val="Hyperlink"/>
                <w:noProof/>
              </w:rPr>
              <w:t>5.6</w:t>
            </w:r>
            <w:r w:rsidR="00734F2E">
              <w:rPr>
                <w:rFonts w:eastAsiaTheme="minorEastAsia"/>
                <w:noProof/>
                <w:lang w:eastAsia="en-GB"/>
              </w:rPr>
              <w:tab/>
            </w:r>
            <w:r w:rsidR="00734F2E" w:rsidRPr="004F40F1">
              <w:rPr>
                <w:rStyle w:val="Hyperlink"/>
                <w:noProof/>
              </w:rPr>
              <w:t>Visual analysis of KDs in Secondary Screen.</w:t>
            </w:r>
            <w:r w:rsidR="00734F2E">
              <w:rPr>
                <w:noProof/>
                <w:webHidden/>
              </w:rPr>
              <w:tab/>
            </w:r>
            <w:r>
              <w:rPr>
                <w:noProof/>
                <w:webHidden/>
              </w:rPr>
              <w:fldChar w:fldCharType="begin"/>
            </w:r>
            <w:r w:rsidR="00734F2E">
              <w:rPr>
                <w:noProof/>
                <w:webHidden/>
              </w:rPr>
              <w:instrText xml:space="preserve"> PAGEREF _Toc348423383 \h </w:instrText>
            </w:r>
            <w:r>
              <w:rPr>
                <w:noProof/>
                <w:webHidden/>
              </w:rPr>
            </w:r>
            <w:r>
              <w:rPr>
                <w:noProof/>
                <w:webHidden/>
              </w:rPr>
              <w:fldChar w:fldCharType="separate"/>
            </w:r>
            <w:r w:rsidR="00734F2E">
              <w:rPr>
                <w:noProof/>
                <w:webHidden/>
              </w:rPr>
              <w:t>147</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84" w:history="1">
            <w:r w:rsidR="00734F2E" w:rsidRPr="004F40F1">
              <w:rPr>
                <w:rStyle w:val="Hyperlink"/>
                <w:noProof/>
              </w:rPr>
              <w:t>5.7</w:t>
            </w:r>
            <w:r w:rsidR="00734F2E">
              <w:rPr>
                <w:rFonts w:eastAsiaTheme="minorEastAsia"/>
                <w:noProof/>
                <w:lang w:eastAsia="en-GB"/>
              </w:rPr>
              <w:tab/>
            </w:r>
            <w:r w:rsidR="00734F2E" w:rsidRPr="004F40F1">
              <w:rPr>
                <w:rStyle w:val="Hyperlink"/>
                <w:noProof/>
              </w:rPr>
              <w:t>Three probes, including one positive control, showed apparent ubiquitous loss of signal</w:t>
            </w:r>
            <w:r w:rsidR="00734F2E">
              <w:rPr>
                <w:noProof/>
                <w:webHidden/>
              </w:rPr>
              <w:tab/>
            </w:r>
            <w:r>
              <w:rPr>
                <w:noProof/>
                <w:webHidden/>
              </w:rPr>
              <w:fldChar w:fldCharType="begin"/>
            </w:r>
            <w:r w:rsidR="00734F2E">
              <w:rPr>
                <w:noProof/>
                <w:webHidden/>
              </w:rPr>
              <w:instrText xml:space="preserve"> PAGEREF _Toc348423384 \h </w:instrText>
            </w:r>
            <w:r>
              <w:rPr>
                <w:noProof/>
                <w:webHidden/>
              </w:rPr>
            </w:r>
            <w:r>
              <w:rPr>
                <w:noProof/>
                <w:webHidden/>
              </w:rPr>
              <w:fldChar w:fldCharType="separate"/>
            </w:r>
            <w:r w:rsidR="00734F2E">
              <w:rPr>
                <w:noProof/>
                <w:webHidden/>
              </w:rPr>
              <w:t>148</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85" w:history="1">
            <w:r w:rsidR="00734F2E" w:rsidRPr="004F40F1">
              <w:rPr>
                <w:rStyle w:val="Hyperlink"/>
                <w:noProof/>
              </w:rPr>
              <w:t>5.8</w:t>
            </w:r>
            <w:r w:rsidR="00734F2E">
              <w:rPr>
                <w:rFonts w:eastAsiaTheme="minorEastAsia"/>
                <w:noProof/>
                <w:lang w:eastAsia="en-GB"/>
              </w:rPr>
              <w:tab/>
            </w:r>
            <w:r w:rsidR="00734F2E" w:rsidRPr="004F40F1">
              <w:rPr>
                <w:rStyle w:val="Hyperlink"/>
                <w:noProof/>
              </w:rPr>
              <w:t>Two gene KDs produced loss of puncta phenotypes ubiquitously.</w:t>
            </w:r>
            <w:r w:rsidR="00734F2E">
              <w:rPr>
                <w:noProof/>
                <w:webHidden/>
              </w:rPr>
              <w:tab/>
            </w:r>
            <w:r>
              <w:rPr>
                <w:noProof/>
                <w:webHidden/>
              </w:rPr>
              <w:fldChar w:fldCharType="begin"/>
            </w:r>
            <w:r w:rsidR="00734F2E">
              <w:rPr>
                <w:noProof/>
                <w:webHidden/>
              </w:rPr>
              <w:instrText xml:space="preserve"> PAGEREF _Toc348423385 \h </w:instrText>
            </w:r>
            <w:r>
              <w:rPr>
                <w:noProof/>
                <w:webHidden/>
              </w:rPr>
            </w:r>
            <w:r>
              <w:rPr>
                <w:noProof/>
                <w:webHidden/>
              </w:rPr>
              <w:fldChar w:fldCharType="separate"/>
            </w:r>
            <w:r w:rsidR="00734F2E">
              <w:rPr>
                <w:noProof/>
                <w:webHidden/>
              </w:rPr>
              <w:t>150</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86" w:history="1">
            <w:r w:rsidR="00734F2E" w:rsidRPr="004F40F1">
              <w:rPr>
                <w:rStyle w:val="Hyperlink"/>
                <w:noProof/>
              </w:rPr>
              <w:t>5.9</w:t>
            </w:r>
            <w:r w:rsidR="00734F2E">
              <w:rPr>
                <w:rFonts w:eastAsiaTheme="minorEastAsia"/>
                <w:noProof/>
                <w:lang w:eastAsia="en-GB"/>
              </w:rPr>
              <w:tab/>
            </w:r>
            <w:r w:rsidR="00734F2E" w:rsidRPr="004F40F1">
              <w:rPr>
                <w:rStyle w:val="Hyperlink"/>
                <w:noProof/>
              </w:rPr>
              <w:t>Three gene KDs showed dim peroxisomes contrasted with dim cytosolic eGFP-PTS1</w:t>
            </w:r>
            <w:r w:rsidR="00734F2E">
              <w:rPr>
                <w:noProof/>
                <w:webHidden/>
              </w:rPr>
              <w:tab/>
            </w:r>
            <w:r>
              <w:rPr>
                <w:noProof/>
                <w:webHidden/>
              </w:rPr>
              <w:fldChar w:fldCharType="begin"/>
            </w:r>
            <w:r w:rsidR="00734F2E">
              <w:rPr>
                <w:noProof/>
                <w:webHidden/>
              </w:rPr>
              <w:instrText xml:space="preserve"> PAGEREF _Toc348423386 \h </w:instrText>
            </w:r>
            <w:r>
              <w:rPr>
                <w:noProof/>
                <w:webHidden/>
              </w:rPr>
            </w:r>
            <w:r>
              <w:rPr>
                <w:noProof/>
                <w:webHidden/>
              </w:rPr>
              <w:fldChar w:fldCharType="separate"/>
            </w:r>
            <w:r w:rsidR="00734F2E">
              <w:rPr>
                <w:noProof/>
                <w:webHidden/>
              </w:rPr>
              <w:t>150</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87" w:history="1">
            <w:r w:rsidR="00734F2E" w:rsidRPr="004F40F1">
              <w:rPr>
                <w:rStyle w:val="Hyperlink"/>
                <w:noProof/>
              </w:rPr>
              <w:t>5.10</w:t>
            </w:r>
            <w:r w:rsidR="00734F2E">
              <w:rPr>
                <w:rFonts w:eastAsiaTheme="minorEastAsia"/>
                <w:noProof/>
                <w:lang w:eastAsia="en-GB"/>
              </w:rPr>
              <w:tab/>
            </w:r>
            <w:r w:rsidR="00734F2E" w:rsidRPr="004F40F1">
              <w:rPr>
                <w:rStyle w:val="Hyperlink"/>
                <w:noProof/>
              </w:rPr>
              <w:t>Six gene KDs showed juxta-nuclear position of peroxisomes</w:t>
            </w:r>
            <w:r w:rsidR="00734F2E">
              <w:rPr>
                <w:noProof/>
                <w:webHidden/>
              </w:rPr>
              <w:tab/>
            </w:r>
            <w:r>
              <w:rPr>
                <w:noProof/>
                <w:webHidden/>
              </w:rPr>
              <w:fldChar w:fldCharType="begin"/>
            </w:r>
            <w:r w:rsidR="00734F2E">
              <w:rPr>
                <w:noProof/>
                <w:webHidden/>
              </w:rPr>
              <w:instrText xml:space="preserve"> PAGEREF _Toc348423387 \h </w:instrText>
            </w:r>
            <w:r>
              <w:rPr>
                <w:noProof/>
                <w:webHidden/>
              </w:rPr>
            </w:r>
            <w:r>
              <w:rPr>
                <w:noProof/>
                <w:webHidden/>
              </w:rPr>
              <w:fldChar w:fldCharType="separate"/>
            </w:r>
            <w:r w:rsidR="00734F2E">
              <w:rPr>
                <w:noProof/>
                <w:webHidden/>
              </w:rPr>
              <w:t>151</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88" w:history="1">
            <w:r w:rsidR="00734F2E" w:rsidRPr="004F40F1">
              <w:rPr>
                <w:rStyle w:val="Hyperlink"/>
                <w:noProof/>
              </w:rPr>
              <w:t>5.11</w:t>
            </w:r>
            <w:r w:rsidR="00734F2E">
              <w:rPr>
                <w:rFonts w:eastAsiaTheme="minorEastAsia"/>
                <w:noProof/>
                <w:lang w:eastAsia="en-GB"/>
              </w:rPr>
              <w:tab/>
            </w:r>
            <w:r w:rsidR="00734F2E" w:rsidRPr="004F40F1">
              <w:rPr>
                <w:rStyle w:val="Hyperlink"/>
                <w:noProof/>
              </w:rPr>
              <w:t>Three gene KDs produced phenotypes with a low peroxisome per cell number or with enlarged peroxisomes</w:t>
            </w:r>
            <w:r w:rsidR="00734F2E">
              <w:rPr>
                <w:noProof/>
                <w:webHidden/>
              </w:rPr>
              <w:tab/>
            </w:r>
            <w:r>
              <w:rPr>
                <w:noProof/>
                <w:webHidden/>
              </w:rPr>
              <w:fldChar w:fldCharType="begin"/>
            </w:r>
            <w:r w:rsidR="00734F2E">
              <w:rPr>
                <w:noProof/>
                <w:webHidden/>
              </w:rPr>
              <w:instrText xml:space="preserve"> PAGEREF _Toc348423388 \h </w:instrText>
            </w:r>
            <w:r>
              <w:rPr>
                <w:noProof/>
                <w:webHidden/>
              </w:rPr>
            </w:r>
            <w:r>
              <w:rPr>
                <w:noProof/>
                <w:webHidden/>
              </w:rPr>
              <w:fldChar w:fldCharType="separate"/>
            </w:r>
            <w:r w:rsidR="00734F2E">
              <w:rPr>
                <w:noProof/>
                <w:webHidden/>
              </w:rPr>
              <w:t>154</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89" w:history="1">
            <w:r w:rsidR="00734F2E" w:rsidRPr="004F40F1">
              <w:rPr>
                <w:rStyle w:val="Hyperlink"/>
                <w:noProof/>
              </w:rPr>
              <w:t>5.12</w:t>
            </w:r>
            <w:r w:rsidR="00734F2E">
              <w:rPr>
                <w:rFonts w:eastAsiaTheme="minorEastAsia"/>
                <w:noProof/>
                <w:lang w:eastAsia="en-GB"/>
              </w:rPr>
              <w:tab/>
            </w:r>
            <w:r w:rsidR="00734F2E" w:rsidRPr="004F40F1">
              <w:rPr>
                <w:rStyle w:val="Hyperlink"/>
                <w:noProof/>
              </w:rPr>
              <w:t>Eight gene KDs caused over-expression of the eGFP-PTS1 reporter and affected cellular morphology</w:t>
            </w:r>
            <w:r w:rsidR="00734F2E">
              <w:rPr>
                <w:noProof/>
                <w:webHidden/>
              </w:rPr>
              <w:tab/>
            </w:r>
            <w:r>
              <w:rPr>
                <w:noProof/>
                <w:webHidden/>
              </w:rPr>
              <w:fldChar w:fldCharType="begin"/>
            </w:r>
            <w:r w:rsidR="00734F2E">
              <w:rPr>
                <w:noProof/>
                <w:webHidden/>
              </w:rPr>
              <w:instrText xml:space="preserve"> PAGEREF _Toc348423389 \h </w:instrText>
            </w:r>
            <w:r>
              <w:rPr>
                <w:noProof/>
                <w:webHidden/>
              </w:rPr>
            </w:r>
            <w:r>
              <w:rPr>
                <w:noProof/>
                <w:webHidden/>
              </w:rPr>
              <w:fldChar w:fldCharType="separate"/>
            </w:r>
            <w:r w:rsidR="00734F2E">
              <w:rPr>
                <w:noProof/>
                <w:webHidden/>
              </w:rPr>
              <w:t>155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90" w:history="1">
            <w:r w:rsidR="00734F2E" w:rsidRPr="004F40F1">
              <w:rPr>
                <w:rStyle w:val="Hyperlink"/>
                <w:noProof/>
              </w:rPr>
              <w:t>5.13</w:t>
            </w:r>
            <w:r w:rsidR="00734F2E">
              <w:rPr>
                <w:rFonts w:eastAsiaTheme="minorEastAsia"/>
                <w:noProof/>
                <w:lang w:eastAsia="en-GB"/>
              </w:rPr>
              <w:tab/>
            </w:r>
            <w:r w:rsidR="00734F2E" w:rsidRPr="004F40F1">
              <w:rPr>
                <w:rStyle w:val="Hyperlink"/>
                <w:noProof/>
              </w:rPr>
              <w:t>29 gene KDs were visually reported in one of three replicate samples.</w:t>
            </w:r>
            <w:r w:rsidR="00734F2E">
              <w:rPr>
                <w:noProof/>
                <w:webHidden/>
              </w:rPr>
              <w:tab/>
            </w:r>
            <w:r>
              <w:rPr>
                <w:noProof/>
                <w:webHidden/>
              </w:rPr>
              <w:fldChar w:fldCharType="begin"/>
            </w:r>
            <w:r w:rsidR="00734F2E">
              <w:rPr>
                <w:noProof/>
                <w:webHidden/>
              </w:rPr>
              <w:instrText xml:space="preserve"> PAGEREF _Toc348423390 \h </w:instrText>
            </w:r>
            <w:r>
              <w:rPr>
                <w:noProof/>
                <w:webHidden/>
              </w:rPr>
            </w:r>
            <w:r>
              <w:rPr>
                <w:noProof/>
                <w:webHidden/>
              </w:rPr>
              <w:fldChar w:fldCharType="separate"/>
            </w:r>
            <w:r w:rsidR="00734F2E">
              <w:rPr>
                <w:noProof/>
                <w:webHidden/>
              </w:rPr>
              <w:t>157</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91" w:history="1">
            <w:r w:rsidR="00734F2E" w:rsidRPr="004F40F1">
              <w:rPr>
                <w:rStyle w:val="Hyperlink"/>
                <w:noProof/>
              </w:rPr>
              <w:t>5.14</w:t>
            </w:r>
            <w:r w:rsidR="00734F2E">
              <w:rPr>
                <w:rFonts w:eastAsiaTheme="minorEastAsia"/>
                <w:noProof/>
                <w:lang w:eastAsia="en-GB"/>
              </w:rPr>
              <w:tab/>
            </w:r>
            <w:r w:rsidR="00734F2E" w:rsidRPr="004F40F1">
              <w:rPr>
                <w:rStyle w:val="Hyperlink"/>
                <w:noProof/>
              </w:rPr>
              <w:t>Statistical analysis of the secondary screen</w:t>
            </w:r>
            <w:r w:rsidR="00734F2E">
              <w:rPr>
                <w:noProof/>
                <w:webHidden/>
              </w:rPr>
              <w:tab/>
            </w:r>
            <w:r>
              <w:rPr>
                <w:noProof/>
                <w:webHidden/>
              </w:rPr>
              <w:fldChar w:fldCharType="begin"/>
            </w:r>
            <w:r w:rsidR="00734F2E">
              <w:rPr>
                <w:noProof/>
                <w:webHidden/>
              </w:rPr>
              <w:instrText xml:space="preserve"> PAGEREF _Toc348423391 \h </w:instrText>
            </w:r>
            <w:r>
              <w:rPr>
                <w:noProof/>
                <w:webHidden/>
              </w:rPr>
            </w:r>
            <w:r>
              <w:rPr>
                <w:noProof/>
                <w:webHidden/>
              </w:rPr>
              <w:fldChar w:fldCharType="separate"/>
            </w:r>
            <w:r w:rsidR="00734F2E">
              <w:rPr>
                <w:noProof/>
                <w:webHidden/>
              </w:rPr>
              <w:t>162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92" w:history="1">
            <w:r w:rsidR="00734F2E" w:rsidRPr="004F40F1">
              <w:rPr>
                <w:rStyle w:val="Hyperlink"/>
                <w:noProof/>
              </w:rPr>
              <w:t>5.15</w:t>
            </w:r>
            <w:r w:rsidR="00734F2E">
              <w:rPr>
                <w:rFonts w:eastAsiaTheme="minorEastAsia"/>
                <w:noProof/>
                <w:lang w:eastAsia="en-GB"/>
              </w:rPr>
              <w:tab/>
            </w:r>
            <w:r w:rsidR="00734F2E" w:rsidRPr="004F40F1">
              <w:rPr>
                <w:rStyle w:val="Hyperlink"/>
                <w:noProof/>
              </w:rPr>
              <w:t>Comparison of parameters of peroxisome count, peroxisome cross-sectional area and peroxisome fluorescence intensity per cell.</w:t>
            </w:r>
            <w:r w:rsidR="00734F2E">
              <w:rPr>
                <w:noProof/>
                <w:webHidden/>
              </w:rPr>
              <w:tab/>
            </w:r>
            <w:r>
              <w:rPr>
                <w:noProof/>
                <w:webHidden/>
              </w:rPr>
              <w:fldChar w:fldCharType="begin"/>
            </w:r>
            <w:r w:rsidR="00734F2E">
              <w:rPr>
                <w:noProof/>
                <w:webHidden/>
              </w:rPr>
              <w:instrText xml:space="preserve"> PAGEREF _Toc348423392 \h </w:instrText>
            </w:r>
            <w:r>
              <w:rPr>
                <w:noProof/>
                <w:webHidden/>
              </w:rPr>
            </w:r>
            <w:r>
              <w:rPr>
                <w:noProof/>
                <w:webHidden/>
              </w:rPr>
              <w:fldChar w:fldCharType="separate"/>
            </w:r>
            <w:r w:rsidR="00734F2E">
              <w:rPr>
                <w:noProof/>
                <w:webHidden/>
              </w:rPr>
              <w:t>162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93" w:history="1">
            <w:r w:rsidR="00734F2E" w:rsidRPr="004F40F1">
              <w:rPr>
                <w:rStyle w:val="Hyperlink"/>
                <w:noProof/>
              </w:rPr>
              <w:t>5.16</w:t>
            </w:r>
            <w:r w:rsidR="00734F2E">
              <w:rPr>
                <w:rFonts w:eastAsiaTheme="minorEastAsia"/>
                <w:noProof/>
                <w:lang w:eastAsia="en-GB"/>
              </w:rPr>
              <w:tab/>
            </w:r>
            <w:r w:rsidR="00734F2E" w:rsidRPr="004F40F1">
              <w:rPr>
                <w:rStyle w:val="Hyperlink"/>
                <w:noProof/>
              </w:rPr>
              <w:t>Experiment Reproducibility</w:t>
            </w:r>
            <w:r w:rsidR="00734F2E">
              <w:rPr>
                <w:noProof/>
                <w:webHidden/>
              </w:rPr>
              <w:tab/>
            </w:r>
            <w:r>
              <w:rPr>
                <w:noProof/>
                <w:webHidden/>
              </w:rPr>
              <w:fldChar w:fldCharType="begin"/>
            </w:r>
            <w:r w:rsidR="00734F2E">
              <w:rPr>
                <w:noProof/>
                <w:webHidden/>
              </w:rPr>
              <w:instrText xml:space="preserve"> PAGEREF _Toc348423393 \h </w:instrText>
            </w:r>
            <w:r>
              <w:rPr>
                <w:noProof/>
                <w:webHidden/>
              </w:rPr>
            </w:r>
            <w:r>
              <w:rPr>
                <w:noProof/>
                <w:webHidden/>
              </w:rPr>
              <w:fldChar w:fldCharType="separate"/>
            </w:r>
            <w:r w:rsidR="00734F2E">
              <w:rPr>
                <w:noProof/>
                <w:webHidden/>
              </w:rPr>
              <w:t>169</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94" w:history="1">
            <w:r w:rsidR="00734F2E" w:rsidRPr="004F40F1">
              <w:rPr>
                <w:rStyle w:val="Hyperlink"/>
                <w:noProof/>
              </w:rPr>
              <w:t>5.17</w:t>
            </w:r>
            <w:r w:rsidR="00734F2E">
              <w:rPr>
                <w:rFonts w:eastAsiaTheme="minorEastAsia"/>
                <w:noProof/>
                <w:lang w:eastAsia="en-GB"/>
              </w:rPr>
              <w:tab/>
            </w:r>
            <w:r w:rsidR="00734F2E" w:rsidRPr="004F40F1">
              <w:rPr>
                <w:rStyle w:val="Hyperlink"/>
                <w:noProof/>
              </w:rPr>
              <w:t>Control evaluation for peroxisome count per cell.</w:t>
            </w:r>
            <w:r w:rsidR="00734F2E">
              <w:rPr>
                <w:noProof/>
                <w:webHidden/>
              </w:rPr>
              <w:tab/>
            </w:r>
            <w:r>
              <w:rPr>
                <w:noProof/>
                <w:webHidden/>
              </w:rPr>
              <w:fldChar w:fldCharType="begin"/>
            </w:r>
            <w:r w:rsidR="00734F2E">
              <w:rPr>
                <w:noProof/>
                <w:webHidden/>
              </w:rPr>
              <w:instrText xml:space="preserve"> PAGEREF _Toc348423394 \h </w:instrText>
            </w:r>
            <w:r>
              <w:rPr>
                <w:noProof/>
                <w:webHidden/>
              </w:rPr>
            </w:r>
            <w:r>
              <w:rPr>
                <w:noProof/>
                <w:webHidden/>
              </w:rPr>
              <w:fldChar w:fldCharType="separate"/>
            </w:r>
            <w:r w:rsidR="00734F2E">
              <w:rPr>
                <w:noProof/>
                <w:webHidden/>
              </w:rPr>
              <w:t>170</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95" w:history="1">
            <w:r w:rsidR="00734F2E" w:rsidRPr="004F40F1">
              <w:rPr>
                <w:rStyle w:val="Hyperlink"/>
                <w:noProof/>
              </w:rPr>
              <w:t>5.18</w:t>
            </w:r>
            <w:r w:rsidR="00734F2E">
              <w:rPr>
                <w:rFonts w:eastAsiaTheme="minorEastAsia"/>
                <w:noProof/>
                <w:lang w:eastAsia="en-GB"/>
              </w:rPr>
              <w:tab/>
            </w:r>
            <w:r w:rsidR="00734F2E" w:rsidRPr="004F40F1">
              <w:rPr>
                <w:rStyle w:val="Hyperlink"/>
                <w:noProof/>
              </w:rPr>
              <w:t>Statistical analysis of screen based on peroxisome number per cell</w:t>
            </w:r>
            <w:r w:rsidR="00734F2E">
              <w:rPr>
                <w:noProof/>
                <w:webHidden/>
              </w:rPr>
              <w:tab/>
            </w:r>
            <w:r>
              <w:rPr>
                <w:noProof/>
                <w:webHidden/>
              </w:rPr>
              <w:fldChar w:fldCharType="begin"/>
            </w:r>
            <w:r w:rsidR="00734F2E">
              <w:rPr>
                <w:noProof/>
                <w:webHidden/>
              </w:rPr>
              <w:instrText xml:space="preserve"> PAGEREF _Toc348423395 \h </w:instrText>
            </w:r>
            <w:r>
              <w:rPr>
                <w:noProof/>
                <w:webHidden/>
              </w:rPr>
            </w:r>
            <w:r>
              <w:rPr>
                <w:noProof/>
                <w:webHidden/>
              </w:rPr>
              <w:fldChar w:fldCharType="separate"/>
            </w:r>
            <w:r w:rsidR="00734F2E">
              <w:rPr>
                <w:noProof/>
                <w:webHidden/>
              </w:rPr>
              <w:t>172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96" w:history="1">
            <w:r w:rsidR="00734F2E" w:rsidRPr="004F40F1">
              <w:rPr>
                <w:rStyle w:val="Hyperlink"/>
                <w:noProof/>
              </w:rPr>
              <w:t>5.19</w:t>
            </w:r>
            <w:r w:rsidR="00734F2E">
              <w:rPr>
                <w:rFonts w:eastAsiaTheme="minorEastAsia"/>
                <w:noProof/>
                <w:lang w:eastAsia="en-GB"/>
              </w:rPr>
              <w:tab/>
            </w:r>
            <w:r w:rsidR="00734F2E" w:rsidRPr="004F40F1">
              <w:rPr>
                <w:rStyle w:val="Hyperlink"/>
                <w:noProof/>
              </w:rPr>
              <w:t>Three novel genes consistently produced aberrations in phenotype, generating statistically significant z-scores from mean data.</w:t>
            </w:r>
            <w:r w:rsidR="00734F2E">
              <w:rPr>
                <w:noProof/>
                <w:webHidden/>
              </w:rPr>
              <w:tab/>
            </w:r>
            <w:r>
              <w:rPr>
                <w:noProof/>
                <w:webHidden/>
              </w:rPr>
              <w:fldChar w:fldCharType="begin"/>
            </w:r>
            <w:r w:rsidR="00734F2E">
              <w:rPr>
                <w:noProof/>
                <w:webHidden/>
              </w:rPr>
              <w:instrText xml:space="preserve"> PAGEREF _Toc348423396 \h </w:instrText>
            </w:r>
            <w:r>
              <w:rPr>
                <w:noProof/>
                <w:webHidden/>
              </w:rPr>
            </w:r>
            <w:r>
              <w:rPr>
                <w:noProof/>
                <w:webHidden/>
              </w:rPr>
              <w:fldChar w:fldCharType="separate"/>
            </w:r>
            <w:r w:rsidR="00734F2E">
              <w:rPr>
                <w:noProof/>
                <w:webHidden/>
              </w:rPr>
              <w:t>176</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97" w:history="1">
            <w:r w:rsidR="00734F2E" w:rsidRPr="004F40F1">
              <w:rPr>
                <w:rStyle w:val="Hyperlink"/>
                <w:noProof/>
              </w:rPr>
              <w:t>5.20</w:t>
            </w:r>
            <w:r w:rsidR="00734F2E">
              <w:rPr>
                <w:rFonts w:eastAsiaTheme="minorEastAsia"/>
                <w:noProof/>
                <w:lang w:eastAsia="en-GB"/>
              </w:rPr>
              <w:tab/>
            </w:r>
            <w:r w:rsidR="00734F2E" w:rsidRPr="004F40F1">
              <w:rPr>
                <w:rStyle w:val="Hyperlink"/>
                <w:noProof/>
              </w:rPr>
              <w:t>Four known peroxins were among the statistically significant data.</w:t>
            </w:r>
            <w:r w:rsidR="00734F2E">
              <w:rPr>
                <w:noProof/>
                <w:webHidden/>
              </w:rPr>
              <w:tab/>
            </w:r>
            <w:r>
              <w:rPr>
                <w:noProof/>
                <w:webHidden/>
              </w:rPr>
              <w:fldChar w:fldCharType="begin"/>
            </w:r>
            <w:r w:rsidR="00734F2E">
              <w:rPr>
                <w:noProof/>
                <w:webHidden/>
              </w:rPr>
              <w:instrText xml:space="preserve"> PAGEREF _Toc348423397 \h </w:instrText>
            </w:r>
            <w:r>
              <w:rPr>
                <w:noProof/>
                <w:webHidden/>
              </w:rPr>
            </w:r>
            <w:r>
              <w:rPr>
                <w:noProof/>
                <w:webHidden/>
              </w:rPr>
              <w:fldChar w:fldCharType="separate"/>
            </w:r>
            <w:r w:rsidR="00734F2E">
              <w:rPr>
                <w:noProof/>
                <w:webHidden/>
              </w:rPr>
              <w:t>176</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98" w:history="1">
            <w:r w:rsidR="00734F2E" w:rsidRPr="004F40F1">
              <w:rPr>
                <w:rStyle w:val="Hyperlink"/>
                <w:noProof/>
              </w:rPr>
              <w:t>5.21</w:t>
            </w:r>
            <w:r w:rsidR="00734F2E">
              <w:rPr>
                <w:rFonts w:eastAsiaTheme="minorEastAsia"/>
                <w:noProof/>
                <w:lang w:eastAsia="en-GB"/>
              </w:rPr>
              <w:tab/>
            </w:r>
            <w:r w:rsidR="00734F2E" w:rsidRPr="004F40F1">
              <w:rPr>
                <w:rStyle w:val="Hyperlink"/>
                <w:noProof/>
              </w:rPr>
              <w:t>57 novel genes were reported from visual and statistical screening in the secondary screen</w:t>
            </w:r>
            <w:r w:rsidR="00734F2E">
              <w:rPr>
                <w:noProof/>
                <w:webHidden/>
              </w:rPr>
              <w:tab/>
            </w:r>
            <w:r>
              <w:rPr>
                <w:noProof/>
                <w:webHidden/>
              </w:rPr>
              <w:fldChar w:fldCharType="begin"/>
            </w:r>
            <w:r w:rsidR="00734F2E">
              <w:rPr>
                <w:noProof/>
                <w:webHidden/>
              </w:rPr>
              <w:instrText xml:space="preserve"> PAGEREF _Toc348423398 \h </w:instrText>
            </w:r>
            <w:r>
              <w:rPr>
                <w:noProof/>
                <w:webHidden/>
              </w:rPr>
            </w:r>
            <w:r>
              <w:rPr>
                <w:noProof/>
                <w:webHidden/>
              </w:rPr>
              <w:fldChar w:fldCharType="separate"/>
            </w:r>
            <w:r w:rsidR="00734F2E">
              <w:rPr>
                <w:noProof/>
                <w:webHidden/>
              </w:rPr>
              <w:t>177</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399" w:history="1">
            <w:r w:rsidR="00734F2E" w:rsidRPr="004F40F1">
              <w:rPr>
                <w:rStyle w:val="Hyperlink"/>
                <w:noProof/>
              </w:rPr>
              <w:t>5.22</w:t>
            </w:r>
            <w:r w:rsidR="00734F2E">
              <w:rPr>
                <w:rFonts w:eastAsiaTheme="minorEastAsia"/>
                <w:noProof/>
                <w:lang w:eastAsia="en-GB"/>
              </w:rPr>
              <w:tab/>
            </w:r>
            <w:r w:rsidR="00734F2E" w:rsidRPr="004F40F1">
              <w:rPr>
                <w:rStyle w:val="Hyperlink"/>
                <w:noProof/>
              </w:rPr>
              <w:t xml:space="preserve">5-day KD of nmd produces phenotypes similar to </w:t>
            </w:r>
            <w:r w:rsidR="00734F2E" w:rsidRPr="004F40F1">
              <w:rPr>
                <w:rStyle w:val="Hyperlink"/>
                <w:i/>
                <w:noProof/>
              </w:rPr>
              <w:t>PEX</w:t>
            </w:r>
            <w:r w:rsidR="00734F2E" w:rsidRPr="004F40F1">
              <w:rPr>
                <w:rStyle w:val="Hyperlink"/>
                <w:noProof/>
              </w:rPr>
              <w:t>16 KDs</w:t>
            </w:r>
            <w:r w:rsidR="00734F2E">
              <w:rPr>
                <w:noProof/>
                <w:webHidden/>
              </w:rPr>
              <w:tab/>
            </w:r>
            <w:r>
              <w:rPr>
                <w:noProof/>
                <w:webHidden/>
              </w:rPr>
              <w:fldChar w:fldCharType="begin"/>
            </w:r>
            <w:r w:rsidR="00734F2E">
              <w:rPr>
                <w:noProof/>
                <w:webHidden/>
              </w:rPr>
              <w:instrText xml:space="preserve"> PAGEREF _Toc348423399 \h </w:instrText>
            </w:r>
            <w:r>
              <w:rPr>
                <w:noProof/>
                <w:webHidden/>
              </w:rPr>
            </w:r>
            <w:r>
              <w:rPr>
                <w:noProof/>
                <w:webHidden/>
              </w:rPr>
              <w:fldChar w:fldCharType="separate"/>
            </w:r>
            <w:r w:rsidR="00734F2E">
              <w:rPr>
                <w:noProof/>
                <w:webHidden/>
              </w:rPr>
              <w:t>178</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400" w:history="1">
            <w:r w:rsidR="00734F2E" w:rsidRPr="004F40F1">
              <w:rPr>
                <w:rStyle w:val="Hyperlink"/>
                <w:noProof/>
              </w:rPr>
              <w:t>5.23</w:t>
            </w:r>
            <w:r w:rsidR="00734F2E">
              <w:rPr>
                <w:rFonts w:eastAsiaTheme="minorEastAsia"/>
                <w:noProof/>
                <w:lang w:eastAsia="en-GB"/>
              </w:rPr>
              <w:tab/>
            </w:r>
            <w:r w:rsidR="00734F2E" w:rsidRPr="004F40F1">
              <w:rPr>
                <w:rStyle w:val="Hyperlink"/>
                <w:noProof/>
              </w:rPr>
              <w:t>Fluorescently tagged nmd localises to mitochondria and peroxisomes in WT cells.</w:t>
            </w:r>
            <w:r w:rsidR="00734F2E">
              <w:rPr>
                <w:noProof/>
                <w:webHidden/>
              </w:rPr>
              <w:tab/>
            </w:r>
            <w:r>
              <w:rPr>
                <w:noProof/>
                <w:webHidden/>
              </w:rPr>
              <w:fldChar w:fldCharType="begin"/>
            </w:r>
            <w:r w:rsidR="00734F2E">
              <w:rPr>
                <w:noProof/>
                <w:webHidden/>
              </w:rPr>
              <w:instrText xml:space="preserve"> PAGEREF _Toc348423400 \h </w:instrText>
            </w:r>
            <w:r>
              <w:rPr>
                <w:noProof/>
                <w:webHidden/>
              </w:rPr>
            </w:r>
            <w:r>
              <w:rPr>
                <w:noProof/>
                <w:webHidden/>
              </w:rPr>
              <w:fldChar w:fldCharType="separate"/>
            </w:r>
            <w:r w:rsidR="00734F2E">
              <w:rPr>
                <w:noProof/>
                <w:webHidden/>
              </w:rPr>
              <w:t>185</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401" w:history="1">
            <w:r w:rsidR="00734F2E" w:rsidRPr="004F40F1">
              <w:rPr>
                <w:rStyle w:val="Hyperlink"/>
                <w:noProof/>
              </w:rPr>
              <w:t>5.24</w:t>
            </w:r>
            <w:r w:rsidR="00734F2E">
              <w:rPr>
                <w:rFonts w:eastAsiaTheme="minorEastAsia"/>
                <w:noProof/>
                <w:lang w:eastAsia="en-GB"/>
              </w:rPr>
              <w:tab/>
            </w:r>
            <w:r w:rsidR="00734F2E" w:rsidRPr="004F40F1">
              <w:rPr>
                <w:rStyle w:val="Hyperlink"/>
                <w:noProof/>
              </w:rPr>
              <w:t>Discussion of Secondary Screen and experiments on nmd.</w:t>
            </w:r>
            <w:r w:rsidR="00734F2E">
              <w:rPr>
                <w:noProof/>
                <w:webHidden/>
              </w:rPr>
              <w:tab/>
            </w:r>
            <w:r>
              <w:rPr>
                <w:noProof/>
                <w:webHidden/>
              </w:rPr>
              <w:fldChar w:fldCharType="begin"/>
            </w:r>
            <w:r w:rsidR="00734F2E">
              <w:rPr>
                <w:noProof/>
                <w:webHidden/>
              </w:rPr>
              <w:instrText xml:space="preserve"> PAGEREF _Toc348423401 \h </w:instrText>
            </w:r>
            <w:r>
              <w:rPr>
                <w:noProof/>
                <w:webHidden/>
              </w:rPr>
            </w:r>
            <w:r>
              <w:rPr>
                <w:noProof/>
                <w:webHidden/>
              </w:rPr>
              <w:fldChar w:fldCharType="separate"/>
            </w:r>
            <w:r w:rsidR="00734F2E">
              <w:rPr>
                <w:noProof/>
                <w:webHidden/>
              </w:rPr>
              <w:t>188</w:t>
            </w:r>
            <w:r>
              <w:rPr>
                <w:noProof/>
                <w:webHidden/>
              </w:rPr>
              <w:fldChar w:fldCharType="end"/>
            </w:r>
          </w:hyperlink>
        </w:p>
        <w:p w:rsidR="00734F2E" w:rsidRDefault="009A1FEC">
          <w:pPr>
            <w:pStyle w:val="TOC1"/>
            <w:tabs>
              <w:tab w:val="left" w:pos="440"/>
              <w:tab w:val="right" w:leader="dot" w:pos="8131"/>
            </w:tabs>
            <w:rPr>
              <w:rFonts w:eastAsiaTheme="minorEastAsia"/>
              <w:noProof/>
              <w:lang w:eastAsia="en-GB"/>
            </w:rPr>
          </w:pPr>
          <w:hyperlink w:anchor="_Toc348423402" w:history="1">
            <w:r w:rsidR="00734F2E" w:rsidRPr="004F40F1">
              <w:rPr>
                <w:rStyle w:val="Hyperlink"/>
                <w:noProof/>
              </w:rPr>
              <w:t>6</w:t>
            </w:r>
            <w:r w:rsidR="00734F2E">
              <w:rPr>
                <w:rFonts w:eastAsiaTheme="minorEastAsia"/>
                <w:noProof/>
                <w:lang w:eastAsia="en-GB"/>
              </w:rPr>
              <w:tab/>
            </w:r>
            <w:r w:rsidR="00734F2E" w:rsidRPr="004F40F1">
              <w:rPr>
                <w:rStyle w:val="Hyperlink"/>
                <w:noProof/>
              </w:rPr>
              <w:t>General Discussion</w:t>
            </w:r>
            <w:r w:rsidR="00734F2E">
              <w:rPr>
                <w:noProof/>
                <w:webHidden/>
              </w:rPr>
              <w:tab/>
            </w:r>
            <w:r>
              <w:rPr>
                <w:noProof/>
                <w:webHidden/>
              </w:rPr>
              <w:fldChar w:fldCharType="begin"/>
            </w:r>
            <w:r w:rsidR="00734F2E">
              <w:rPr>
                <w:noProof/>
                <w:webHidden/>
              </w:rPr>
              <w:instrText xml:space="preserve"> PAGEREF _Toc348423402 \h </w:instrText>
            </w:r>
            <w:r>
              <w:rPr>
                <w:noProof/>
                <w:webHidden/>
              </w:rPr>
            </w:r>
            <w:r>
              <w:rPr>
                <w:noProof/>
                <w:webHidden/>
              </w:rPr>
              <w:fldChar w:fldCharType="separate"/>
            </w:r>
            <w:r w:rsidR="00734F2E">
              <w:rPr>
                <w:noProof/>
                <w:webHidden/>
              </w:rPr>
              <w:t>192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403" w:history="1">
            <w:r w:rsidR="00734F2E" w:rsidRPr="004F40F1">
              <w:rPr>
                <w:rStyle w:val="Hyperlink"/>
                <w:noProof/>
              </w:rPr>
              <w:t>6.1</w:t>
            </w:r>
            <w:r w:rsidR="00734F2E">
              <w:rPr>
                <w:rFonts w:eastAsiaTheme="minorEastAsia"/>
                <w:noProof/>
                <w:lang w:eastAsia="en-GB"/>
              </w:rPr>
              <w:tab/>
            </w:r>
            <w:r w:rsidR="00734F2E" w:rsidRPr="004F40F1">
              <w:rPr>
                <w:rStyle w:val="Hyperlink"/>
                <w:noProof/>
              </w:rPr>
              <w:t>Results of the first genome-wide screen for peroxisomes in D. melanogaster</w:t>
            </w:r>
            <w:r w:rsidR="00734F2E">
              <w:rPr>
                <w:noProof/>
                <w:webHidden/>
              </w:rPr>
              <w:tab/>
            </w:r>
            <w:r>
              <w:rPr>
                <w:noProof/>
                <w:webHidden/>
              </w:rPr>
              <w:fldChar w:fldCharType="begin"/>
            </w:r>
            <w:r w:rsidR="00734F2E">
              <w:rPr>
                <w:noProof/>
                <w:webHidden/>
              </w:rPr>
              <w:instrText xml:space="preserve"> PAGEREF _Toc348423403 \h </w:instrText>
            </w:r>
            <w:r>
              <w:rPr>
                <w:noProof/>
                <w:webHidden/>
              </w:rPr>
            </w:r>
            <w:r>
              <w:rPr>
                <w:noProof/>
                <w:webHidden/>
              </w:rPr>
              <w:fldChar w:fldCharType="separate"/>
            </w:r>
            <w:r w:rsidR="00734F2E">
              <w:rPr>
                <w:noProof/>
                <w:webHidden/>
              </w:rPr>
              <w:t>192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404" w:history="1">
            <w:r w:rsidR="00734F2E" w:rsidRPr="004F40F1">
              <w:rPr>
                <w:rStyle w:val="Hyperlink"/>
                <w:noProof/>
              </w:rPr>
              <w:t>6.2</w:t>
            </w:r>
            <w:r w:rsidR="00734F2E">
              <w:rPr>
                <w:rFonts w:eastAsiaTheme="minorEastAsia"/>
                <w:noProof/>
                <w:lang w:eastAsia="en-GB"/>
              </w:rPr>
              <w:tab/>
            </w:r>
            <w:r w:rsidR="00734F2E" w:rsidRPr="004F40F1">
              <w:rPr>
                <w:rStyle w:val="Hyperlink"/>
                <w:noProof/>
              </w:rPr>
              <w:t>Results of the second genome-wide screen for peroxisomes in D. melanogaster</w:t>
            </w:r>
            <w:r w:rsidR="00734F2E">
              <w:rPr>
                <w:noProof/>
                <w:webHidden/>
              </w:rPr>
              <w:tab/>
            </w:r>
            <w:r>
              <w:rPr>
                <w:noProof/>
                <w:webHidden/>
              </w:rPr>
              <w:fldChar w:fldCharType="begin"/>
            </w:r>
            <w:r w:rsidR="00734F2E">
              <w:rPr>
                <w:noProof/>
                <w:webHidden/>
              </w:rPr>
              <w:instrText xml:space="preserve"> PAGEREF _Toc348423404 \h </w:instrText>
            </w:r>
            <w:r>
              <w:rPr>
                <w:noProof/>
                <w:webHidden/>
              </w:rPr>
            </w:r>
            <w:r>
              <w:rPr>
                <w:noProof/>
                <w:webHidden/>
              </w:rPr>
              <w:fldChar w:fldCharType="separate"/>
            </w:r>
            <w:r w:rsidR="00734F2E">
              <w:rPr>
                <w:noProof/>
                <w:webHidden/>
              </w:rPr>
              <w:t>192</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405" w:history="1">
            <w:r w:rsidR="00734F2E" w:rsidRPr="004F40F1">
              <w:rPr>
                <w:rStyle w:val="Hyperlink"/>
                <w:noProof/>
              </w:rPr>
              <w:t>6.3</w:t>
            </w:r>
            <w:r w:rsidR="00734F2E">
              <w:rPr>
                <w:rFonts w:eastAsiaTheme="minorEastAsia"/>
                <w:noProof/>
                <w:lang w:eastAsia="en-GB"/>
              </w:rPr>
              <w:tab/>
            </w:r>
            <w:r w:rsidR="00734F2E" w:rsidRPr="004F40F1">
              <w:rPr>
                <w:rStyle w:val="Hyperlink"/>
                <w:noProof/>
              </w:rPr>
              <w:t>Results from the secondary screen</w:t>
            </w:r>
            <w:r w:rsidR="00734F2E">
              <w:rPr>
                <w:noProof/>
                <w:webHidden/>
              </w:rPr>
              <w:tab/>
            </w:r>
            <w:r>
              <w:rPr>
                <w:noProof/>
                <w:webHidden/>
              </w:rPr>
              <w:fldChar w:fldCharType="begin"/>
            </w:r>
            <w:r w:rsidR="00734F2E">
              <w:rPr>
                <w:noProof/>
                <w:webHidden/>
              </w:rPr>
              <w:instrText xml:space="preserve"> PAGEREF _Toc348423405 \h </w:instrText>
            </w:r>
            <w:r>
              <w:rPr>
                <w:noProof/>
                <w:webHidden/>
              </w:rPr>
            </w:r>
            <w:r>
              <w:rPr>
                <w:noProof/>
                <w:webHidden/>
              </w:rPr>
              <w:fldChar w:fldCharType="separate"/>
            </w:r>
            <w:r w:rsidR="00734F2E">
              <w:rPr>
                <w:noProof/>
                <w:webHidden/>
              </w:rPr>
              <w:t>193</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406" w:history="1">
            <w:r w:rsidR="00734F2E" w:rsidRPr="004F40F1">
              <w:rPr>
                <w:rStyle w:val="Hyperlink"/>
                <w:noProof/>
              </w:rPr>
              <w:t>6.4</w:t>
            </w:r>
            <w:r w:rsidR="00734F2E">
              <w:rPr>
                <w:rFonts w:eastAsiaTheme="minorEastAsia"/>
                <w:noProof/>
                <w:lang w:eastAsia="en-GB"/>
              </w:rPr>
              <w:tab/>
            </w:r>
            <w:r w:rsidR="00734F2E" w:rsidRPr="004F40F1">
              <w:rPr>
                <w:rStyle w:val="Hyperlink"/>
                <w:noProof/>
              </w:rPr>
              <w:t>Fluorescence microscopy assay with No mitochondrial derivative (nmd)</w:t>
            </w:r>
            <w:r w:rsidR="00734F2E">
              <w:rPr>
                <w:noProof/>
                <w:webHidden/>
              </w:rPr>
              <w:tab/>
            </w:r>
            <w:r>
              <w:rPr>
                <w:noProof/>
                <w:webHidden/>
              </w:rPr>
              <w:fldChar w:fldCharType="begin"/>
            </w:r>
            <w:r w:rsidR="00734F2E">
              <w:rPr>
                <w:noProof/>
                <w:webHidden/>
              </w:rPr>
              <w:instrText xml:space="preserve"> PAGEREF _Toc348423406 \h </w:instrText>
            </w:r>
            <w:r>
              <w:rPr>
                <w:noProof/>
                <w:webHidden/>
              </w:rPr>
            </w:r>
            <w:r>
              <w:rPr>
                <w:noProof/>
                <w:webHidden/>
              </w:rPr>
              <w:fldChar w:fldCharType="separate"/>
            </w:r>
            <w:r w:rsidR="00734F2E">
              <w:rPr>
                <w:noProof/>
                <w:webHidden/>
              </w:rPr>
              <w:t>195</w:t>
            </w:r>
            <w:r>
              <w:rPr>
                <w:noProof/>
                <w:webHidden/>
              </w:rPr>
              <w:fldChar w:fldCharType="end"/>
            </w:r>
          </w:hyperlink>
        </w:p>
        <w:p w:rsidR="00734F2E" w:rsidRDefault="009A1FEC">
          <w:pPr>
            <w:pStyle w:val="TOC1"/>
            <w:tabs>
              <w:tab w:val="left" w:pos="440"/>
              <w:tab w:val="right" w:leader="dot" w:pos="8131"/>
            </w:tabs>
            <w:rPr>
              <w:rFonts w:eastAsiaTheme="minorEastAsia"/>
              <w:noProof/>
              <w:lang w:eastAsia="en-GB"/>
            </w:rPr>
          </w:pPr>
          <w:hyperlink w:anchor="_Toc348423407" w:history="1">
            <w:r w:rsidR="00734F2E" w:rsidRPr="004F40F1">
              <w:rPr>
                <w:rStyle w:val="Hyperlink"/>
                <w:noProof/>
              </w:rPr>
              <w:t>7</w:t>
            </w:r>
            <w:r w:rsidR="00734F2E">
              <w:rPr>
                <w:rFonts w:eastAsiaTheme="minorEastAsia"/>
                <w:noProof/>
                <w:lang w:eastAsia="en-GB"/>
              </w:rPr>
              <w:tab/>
            </w:r>
            <w:r w:rsidR="00734F2E" w:rsidRPr="004F40F1">
              <w:rPr>
                <w:rStyle w:val="Hyperlink"/>
                <w:noProof/>
              </w:rPr>
              <w:t>Further Work</w:t>
            </w:r>
            <w:r w:rsidR="00734F2E">
              <w:rPr>
                <w:noProof/>
                <w:webHidden/>
              </w:rPr>
              <w:tab/>
            </w:r>
            <w:r>
              <w:rPr>
                <w:noProof/>
                <w:webHidden/>
              </w:rPr>
              <w:fldChar w:fldCharType="begin"/>
            </w:r>
            <w:r w:rsidR="00734F2E">
              <w:rPr>
                <w:noProof/>
                <w:webHidden/>
              </w:rPr>
              <w:instrText xml:space="preserve"> PAGEREF _Toc348423407 \h </w:instrText>
            </w:r>
            <w:r>
              <w:rPr>
                <w:noProof/>
                <w:webHidden/>
              </w:rPr>
            </w:r>
            <w:r>
              <w:rPr>
                <w:noProof/>
                <w:webHidden/>
              </w:rPr>
              <w:fldChar w:fldCharType="separate"/>
            </w:r>
            <w:r w:rsidR="00734F2E">
              <w:rPr>
                <w:noProof/>
                <w:webHidden/>
              </w:rPr>
              <w:t>196</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408" w:history="1">
            <w:r w:rsidR="00734F2E" w:rsidRPr="004F40F1">
              <w:rPr>
                <w:rStyle w:val="Hyperlink"/>
                <w:noProof/>
              </w:rPr>
              <w:t>7.1</w:t>
            </w:r>
            <w:r w:rsidR="00734F2E">
              <w:rPr>
                <w:rFonts w:eastAsiaTheme="minorEastAsia"/>
                <w:noProof/>
                <w:lang w:eastAsia="en-GB"/>
              </w:rPr>
              <w:tab/>
            </w:r>
            <w:r w:rsidR="00734F2E" w:rsidRPr="004F40F1">
              <w:rPr>
                <w:rStyle w:val="Hyperlink"/>
                <w:noProof/>
              </w:rPr>
              <w:t>Conservation in Eukarya.</w:t>
            </w:r>
            <w:r w:rsidR="00734F2E">
              <w:rPr>
                <w:noProof/>
                <w:webHidden/>
              </w:rPr>
              <w:tab/>
            </w:r>
            <w:r>
              <w:rPr>
                <w:noProof/>
                <w:webHidden/>
              </w:rPr>
              <w:fldChar w:fldCharType="begin"/>
            </w:r>
            <w:r w:rsidR="00734F2E">
              <w:rPr>
                <w:noProof/>
                <w:webHidden/>
              </w:rPr>
              <w:instrText xml:space="preserve"> PAGEREF _Toc348423408 \h </w:instrText>
            </w:r>
            <w:r>
              <w:rPr>
                <w:noProof/>
                <w:webHidden/>
              </w:rPr>
            </w:r>
            <w:r>
              <w:rPr>
                <w:noProof/>
                <w:webHidden/>
              </w:rPr>
              <w:fldChar w:fldCharType="separate"/>
            </w:r>
            <w:r w:rsidR="00734F2E">
              <w:rPr>
                <w:noProof/>
                <w:webHidden/>
              </w:rPr>
              <w:t>196</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409" w:history="1">
            <w:r w:rsidR="00734F2E" w:rsidRPr="004F40F1">
              <w:rPr>
                <w:rStyle w:val="Hyperlink"/>
                <w:noProof/>
              </w:rPr>
              <w:t>7.2</w:t>
            </w:r>
            <w:r w:rsidR="00734F2E">
              <w:rPr>
                <w:rFonts w:eastAsiaTheme="minorEastAsia"/>
                <w:noProof/>
                <w:lang w:eastAsia="en-GB"/>
              </w:rPr>
              <w:tab/>
            </w:r>
            <w:r w:rsidR="00734F2E" w:rsidRPr="004F40F1">
              <w:rPr>
                <w:rStyle w:val="Hyperlink"/>
                <w:noProof/>
              </w:rPr>
              <w:t>Testing for cell-line specific peroxisome biogenesis function.</w:t>
            </w:r>
            <w:r w:rsidR="00734F2E">
              <w:rPr>
                <w:noProof/>
                <w:webHidden/>
              </w:rPr>
              <w:tab/>
            </w:r>
            <w:r>
              <w:rPr>
                <w:noProof/>
                <w:webHidden/>
              </w:rPr>
              <w:fldChar w:fldCharType="begin"/>
            </w:r>
            <w:r w:rsidR="00734F2E">
              <w:rPr>
                <w:noProof/>
                <w:webHidden/>
              </w:rPr>
              <w:instrText xml:space="preserve"> PAGEREF _Toc348423409 \h </w:instrText>
            </w:r>
            <w:r>
              <w:rPr>
                <w:noProof/>
                <w:webHidden/>
              </w:rPr>
            </w:r>
            <w:r>
              <w:rPr>
                <w:noProof/>
                <w:webHidden/>
              </w:rPr>
              <w:fldChar w:fldCharType="separate"/>
            </w:r>
            <w:r w:rsidR="00734F2E">
              <w:rPr>
                <w:noProof/>
                <w:webHidden/>
              </w:rPr>
              <w:t>196</w:t>
            </w:r>
            <w:r>
              <w:rPr>
                <w:noProof/>
                <w:webHidden/>
              </w:rPr>
              <w:fldChar w:fldCharType="end"/>
            </w:r>
          </w:hyperlink>
        </w:p>
        <w:p w:rsidR="00734F2E" w:rsidRDefault="009A1FEC">
          <w:pPr>
            <w:pStyle w:val="TOC2"/>
            <w:tabs>
              <w:tab w:val="left" w:pos="880"/>
              <w:tab w:val="right" w:leader="dot" w:pos="8131"/>
            </w:tabs>
            <w:rPr>
              <w:rFonts w:eastAsiaTheme="minorEastAsia"/>
              <w:noProof/>
              <w:lang w:eastAsia="en-GB"/>
            </w:rPr>
          </w:pPr>
          <w:hyperlink w:anchor="_Toc348423410" w:history="1">
            <w:r w:rsidR="00734F2E" w:rsidRPr="004F40F1">
              <w:rPr>
                <w:rStyle w:val="Hyperlink"/>
                <w:noProof/>
              </w:rPr>
              <w:t>7.3</w:t>
            </w:r>
            <w:r w:rsidR="00734F2E">
              <w:rPr>
                <w:rFonts w:eastAsiaTheme="minorEastAsia"/>
                <w:noProof/>
                <w:lang w:eastAsia="en-GB"/>
              </w:rPr>
              <w:tab/>
            </w:r>
            <w:r w:rsidR="00734F2E" w:rsidRPr="004F40F1">
              <w:rPr>
                <w:rStyle w:val="Hyperlink"/>
                <w:noProof/>
              </w:rPr>
              <w:t>Whole-fly experiments</w:t>
            </w:r>
            <w:r w:rsidR="00734F2E">
              <w:rPr>
                <w:noProof/>
                <w:webHidden/>
              </w:rPr>
              <w:tab/>
            </w:r>
            <w:r>
              <w:rPr>
                <w:noProof/>
                <w:webHidden/>
              </w:rPr>
              <w:fldChar w:fldCharType="begin"/>
            </w:r>
            <w:r w:rsidR="00734F2E">
              <w:rPr>
                <w:noProof/>
                <w:webHidden/>
              </w:rPr>
              <w:instrText xml:space="preserve"> PAGEREF _Toc348423410 \h </w:instrText>
            </w:r>
            <w:r>
              <w:rPr>
                <w:noProof/>
                <w:webHidden/>
              </w:rPr>
            </w:r>
            <w:r>
              <w:rPr>
                <w:noProof/>
                <w:webHidden/>
              </w:rPr>
              <w:fldChar w:fldCharType="separate"/>
            </w:r>
            <w:r w:rsidR="00734F2E">
              <w:rPr>
                <w:noProof/>
                <w:webHidden/>
              </w:rPr>
              <w:t>197</w:t>
            </w:r>
            <w:r>
              <w:rPr>
                <w:noProof/>
                <w:webHidden/>
              </w:rPr>
              <w:fldChar w:fldCharType="end"/>
            </w:r>
          </w:hyperlink>
        </w:p>
        <w:p w:rsidR="00734F2E" w:rsidRDefault="009A1FEC">
          <w:pPr>
            <w:pStyle w:val="TOC1"/>
            <w:tabs>
              <w:tab w:val="left" w:pos="440"/>
              <w:tab w:val="right" w:leader="dot" w:pos="8131"/>
            </w:tabs>
            <w:rPr>
              <w:rFonts w:eastAsiaTheme="minorEastAsia"/>
              <w:noProof/>
              <w:lang w:eastAsia="en-GB"/>
            </w:rPr>
          </w:pPr>
          <w:hyperlink w:anchor="_Toc348423411" w:history="1">
            <w:r w:rsidR="00734F2E" w:rsidRPr="004F40F1">
              <w:rPr>
                <w:rStyle w:val="Hyperlink"/>
                <w:noProof/>
              </w:rPr>
              <w:t>8</w:t>
            </w:r>
            <w:r w:rsidR="00734F2E">
              <w:rPr>
                <w:rFonts w:eastAsiaTheme="minorEastAsia"/>
                <w:noProof/>
                <w:lang w:eastAsia="en-GB"/>
              </w:rPr>
              <w:tab/>
            </w:r>
            <w:r w:rsidR="00734F2E" w:rsidRPr="004F40F1">
              <w:rPr>
                <w:rStyle w:val="Hyperlink"/>
                <w:noProof/>
              </w:rPr>
              <w:t>Bibliography</w:t>
            </w:r>
            <w:r w:rsidR="00734F2E">
              <w:rPr>
                <w:noProof/>
                <w:webHidden/>
              </w:rPr>
              <w:tab/>
            </w:r>
            <w:r>
              <w:rPr>
                <w:noProof/>
                <w:webHidden/>
              </w:rPr>
              <w:fldChar w:fldCharType="begin"/>
            </w:r>
            <w:r w:rsidR="00734F2E">
              <w:rPr>
                <w:noProof/>
                <w:webHidden/>
              </w:rPr>
              <w:instrText xml:space="preserve"> PAGEREF _Toc348423411 \h </w:instrText>
            </w:r>
            <w:r>
              <w:rPr>
                <w:noProof/>
                <w:webHidden/>
              </w:rPr>
            </w:r>
            <w:r>
              <w:rPr>
                <w:noProof/>
                <w:webHidden/>
              </w:rPr>
              <w:fldChar w:fldCharType="separate"/>
            </w:r>
            <w:r w:rsidR="00734F2E">
              <w:rPr>
                <w:noProof/>
                <w:webHidden/>
              </w:rPr>
              <w:t>199</w:t>
            </w:r>
            <w:r>
              <w:rPr>
                <w:noProof/>
                <w:webHidden/>
              </w:rPr>
              <w:fldChar w:fldCharType="end"/>
            </w:r>
          </w:hyperlink>
        </w:p>
        <w:p w:rsidR="003612BA" w:rsidRDefault="009A1FEC">
          <w:r>
            <w:fldChar w:fldCharType="end"/>
          </w:r>
        </w:p>
      </w:sdtContent>
    </w:sdt>
    <w:p w:rsidR="000C26B2" w:rsidRDefault="000C26B2" w:rsidP="000C26B2">
      <w:pPr>
        <w:rPr>
          <w:rFonts w:asciiTheme="majorHAnsi" w:hAnsiTheme="majorHAnsi"/>
        </w:rPr>
      </w:pPr>
    </w:p>
    <w:p w:rsidR="00227EC4" w:rsidRDefault="00227EC4" w:rsidP="000C26B2">
      <w:pPr>
        <w:rPr>
          <w:rFonts w:asciiTheme="majorHAnsi" w:hAnsiTheme="majorHAnsi"/>
        </w:rPr>
      </w:pPr>
    </w:p>
    <w:p w:rsidR="00227EC4" w:rsidRDefault="00227EC4" w:rsidP="000C26B2">
      <w:pPr>
        <w:rPr>
          <w:rFonts w:asciiTheme="majorHAnsi" w:hAnsiTheme="majorHAnsi"/>
        </w:rPr>
      </w:pPr>
    </w:p>
    <w:p w:rsidR="00227EC4" w:rsidRDefault="00227EC4" w:rsidP="000C26B2">
      <w:pPr>
        <w:rPr>
          <w:rFonts w:asciiTheme="majorHAnsi" w:hAnsiTheme="majorHAnsi"/>
        </w:rPr>
      </w:pPr>
    </w:p>
    <w:p w:rsidR="00227EC4" w:rsidRDefault="00227EC4" w:rsidP="000C26B2">
      <w:pPr>
        <w:rPr>
          <w:rFonts w:asciiTheme="majorHAnsi" w:hAnsiTheme="majorHAnsi"/>
        </w:rPr>
      </w:pPr>
    </w:p>
    <w:p w:rsidR="00227EC4" w:rsidRDefault="00227EC4" w:rsidP="000C26B2">
      <w:pPr>
        <w:rPr>
          <w:rFonts w:asciiTheme="majorHAnsi" w:hAnsiTheme="majorHAnsi"/>
        </w:rPr>
      </w:pPr>
    </w:p>
    <w:p w:rsidR="000C26B2" w:rsidRPr="001C0EB2" w:rsidRDefault="000C26B2" w:rsidP="000C26B2">
      <w:pPr>
        <w:spacing w:line="276" w:lineRule="auto"/>
        <w:jc w:val="center"/>
        <w:rPr>
          <w:rFonts w:asciiTheme="majorHAnsi" w:hAnsiTheme="majorHAnsi"/>
          <w:b/>
          <w:lang w:val="en-US"/>
        </w:rPr>
      </w:pPr>
      <w:r w:rsidRPr="001C0EB2">
        <w:rPr>
          <w:rFonts w:asciiTheme="majorHAnsi" w:hAnsiTheme="majorHAnsi"/>
          <w:b/>
          <w:lang w:val="en-US"/>
        </w:rPr>
        <w:lastRenderedPageBreak/>
        <w:t>Abbreviations</w:t>
      </w:r>
    </w:p>
    <w:p w:rsidR="000C26B2" w:rsidRPr="001C0EB2" w:rsidRDefault="000C26B2" w:rsidP="000C26B2">
      <w:pPr>
        <w:spacing w:line="276" w:lineRule="auto"/>
        <w:jc w:val="center"/>
        <w:rPr>
          <w:rFonts w:asciiTheme="majorHAnsi" w:hAnsiTheme="majorHAnsi"/>
          <w:b/>
          <w:lang w:val="en-US"/>
        </w:rPr>
      </w:pPr>
    </w:p>
    <w:p w:rsidR="000C26B2" w:rsidRPr="001C0EB2" w:rsidRDefault="000C26B2" w:rsidP="000C26B2">
      <w:pPr>
        <w:spacing w:line="276" w:lineRule="auto"/>
        <w:rPr>
          <w:rFonts w:asciiTheme="majorHAnsi" w:hAnsiTheme="majorHAnsi"/>
          <w:szCs w:val="32"/>
          <w:lang w:val="en-US"/>
        </w:rPr>
      </w:pPr>
      <w:r w:rsidRPr="001C0EB2">
        <w:rPr>
          <w:rFonts w:asciiTheme="majorHAnsi" w:hAnsiTheme="majorHAnsi"/>
          <w:szCs w:val="32"/>
          <w:lang w:val="en-US"/>
        </w:rPr>
        <w:t>3AT</w:t>
      </w:r>
      <w:r w:rsidRPr="001C0EB2">
        <w:rPr>
          <w:rFonts w:asciiTheme="majorHAnsi" w:hAnsiTheme="majorHAnsi"/>
          <w:szCs w:val="32"/>
          <w:lang w:val="en-US"/>
        </w:rPr>
        <w:tab/>
      </w:r>
      <w:r w:rsidRPr="001C0EB2">
        <w:rPr>
          <w:rFonts w:asciiTheme="majorHAnsi" w:hAnsiTheme="majorHAnsi"/>
          <w:szCs w:val="32"/>
          <w:lang w:val="en-US"/>
        </w:rPr>
        <w:tab/>
      </w:r>
      <w:r w:rsidRPr="001C0EB2">
        <w:rPr>
          <w:rFonts w:asciiTheme="majorHAnsi" w:hAnsiTheme="majorHAnsi"/>
          <w:szCs w:val="32"/>
          <w:lang w:val="en-US"/>
        </w:rPr>
        <w:tab/>
        <w:t xml:space="preserve">3-amino-1, </w:t>
      </w:r>
      <w:proofErr w:type="gramStart"/>
      <w:r w:rsidRPr="001C0EB2">
        <w:rPr>
          <w:rFonts w:asciiTheme="majorHAnsi" w:hAnsiTheme="majorHAnsi"/>
          <w:szCs w:val="32"/>
          <w:lang w:val="en-US"/>
        </w:rPr>
        <w:t>2 ,4</w:t>
      </w:r>
      <w:proofErr w:type="gramEnd"/>
      <w:r w:rsidRPr="001C0EB2">
        <w:rPr>
          <w:rFonts w:asciiTheme="majorHAnsi" w:hAnsiTheme="majorHAnsi"/>
          <w:szCs w:val="32"/>
          <w:lang w:val="en-US"/>
        </w:rPr>
        <w:t xml:space="preserve">-triazole </w:t>
      </w:r>
    </w:p>
    <w:p w:rsidR="000C26B2" w:rsidRPr="001C0EB2" w:rsidRDefault="000C26B2" w:rsidP="000C26B2">
      <w:pPr>
        <w:spacing w:line="276" w:lineRule="auto"/>
        <w:rPr>
          <w:rFonts w:asciiTheme="majorHAnsi" w:hAnsiTheme="majorHAnsi"/>
          <w:i/>
          <w:szCs w:val="32"/>
          <w:lang w:val="en-US"/>
        </w:rPr>
      </w:pPr>
      <w:r w:rsidRPr="001C0EB2">
        <w:rPr>
          <w:rFonts w:asciiTheme="majorHAnsi" w:hAnsiTheme="majorHAnsi"/>
          <w:i/>
          <w:szCs w:val="32"/>
          <w:lang w:val="en-US"/>
        </w:rPr>
        <w:t>A. thaliana</w:t>
      </w:r>
      <w:r w:rsidRPr="001C0EB2">
        <w:rPr>
          <w:rFonts w:asciiTheme="majorHAnsi" w:hAnsiTheme="majorHAnsi"/>
          <w:i/>
          <w:szCs w:val="32"/>
          <w:lang w:val="en-US"/>
        </w:rPr>
        <w:tab/>
      </w:r>
      <w:r w:rsidRPr="001C0EB2">
        <w:rPr>
          <w:rFonts w:asciiTheme="majorHAnsi" w:hAnsiTheme="majorHAnsi"/>
          <w:i/>
          <w:szCs w:val="32"/>
          <w:lang w:val="en-US"/>
        </w:rPr>
        <w:tab/>
        <w:t>Arabidopsis thaliana</w:t>
      </w:r>
    </w:p>
    <w:p w:rsidR="000C26B2" w:rsidRPr="001C0EB2" w:rsidRDefault="000C26B2" w:rsidP="000C26B2">
      <w:pPr>
        <w:spacing w:line="276" w:lineRule="auto"/>
        <w:rPr>
          <w:rFonts w:asciiTheme="majorHAnsi" w:hAnsiTheme="majorHAnsi"/>
          <w:szCs w:val="32"/>
          <w:lang w:val="en-US"/>
        </w:rPr>
      </w:pPr>
      <w:proofErr w:type="gramStart"/>
      <w:r w:rsidRPr="001C0EB2">
        <w:rPr>
          <w:rFonts w:asciiTheme="majorHAnsi" w:hAnsiTheme="majorHAnsi"/>
          <w:szCs w:val="32"/>
          <w:lang w:val="en-US"/>
        </w:rPr>
        <w:t>aa</w:t>
      </w:r>
      <w:proofErr w:type="gramEnd"/>
      <w:r w:rsidRPr="001C0EB2">
        <w:rPr>
          <w:rFonts w:asciiTheme="majorHAnsi" w:hAnsiTheme="majorHAnsi"/>
          <w:szCs w:val="32"/>
          <w:lang w:val="en-US"/>
        </w:rPr>
        <w:tab/>
      </w:r>
      <w:r w:rsidRPr="001C0EB2">
        <w:rPr>
          <w:rFonts w:asciiTheme="majorHAnsi" w:hAnsiTheme="majorHAnsi"/>
          <w:szCs w:val="32"/>
          <w:lang w:val="en-US"/>
        </w:rPr>
        <w:tab/>
      </w:r>
      <w:r w:rsidRPr="001C0EB2">
        <w:rPr>
          <w:rFonts w:asciiTheme="majorHAnsi" w:hAnsiTheme="majorHAnsi"/>
          <w:szCs w:val="32"/>
          <w:lang w:val="en-US"/>
        </w:rPr>
        <w:tab/>
        <w:t>Amino acids</w:t>
      </w:r>
    </w:p>
    <w:p w:rsidR="000C26B2" w:rsidRPr="001C0EB2" w:rsidRDefault="000C26B2" w:rsidP="000C26B2">
      <w:pPr>
        <w:spacing w:line="276" w:lineRule="auto"/>
        <w:rPr>
          <w:rFonts w:asciiTheme="majorHAnsi" w:hAnsiTheme="majorHAnsi" w:cs="Arial"/>
          <w:szCs w:val="32"/>
          <w:lang w:val="en-US"/>
        </w:rPr>
      </w:pPr>
      <w:r w:rsidRPr="001C0EB2">
        <w:rPr>
          <w:rFonts w:asciiTheme="majorHAnsi" w:hAnsiTheme="majorHAnsi" w:cs="Arial"/>
          <w:szCs w:val="32"/>
          <w:lang w:val="en-US"/>
        </w:rPr>
        <w:t>AD</w:t>
      </w:r>
      <w:r w:rsidRPr="001C0EB2">
        <w:rPr>
          <w:rFonts w:asciiTheme="majorHAnsi" w:hAnsiTheme="majorHAnsi" w:cs="Arial"/>
          <w:szCs w:val="32"/>
          <w:lang w:val="en-US"/>
        </w:rPr>
        <w:tab/>
      </w:r>
      <w:r w:rsidRPr="001C0EB2">
        <w:rPr>
          <w:rFonts w:asciiTheme="majorHAnsi" w:hAnsiTheme="majorHAnsi" w:cs="Arial"/>
          <w:szCs w:val="32"/>
          <w:lang w:val="en-US"/>
        </w:rPr>
        <w:tab/>
      </w:r>
      <w:r w:rsidRPr="001C0EB2">
        <w:rPr>
          <w:rFonts w:asciiTheme="majorHAnsi" w:hAnsiTheme="majorHAnsi" w:cs="Arial"/>
          <w:szCs w:val="32"/>
          <w:lang w:val="en-US"/>
        </w:rPr>
        <w:tab/>
        <w:t>Activation domain</w:t>
      </w:r>
    </w:p>
    <w:p w:rsidR="000C26B2" w:rsidRPr="001C0EB2" w:rsidRDefault="000C26B2" w:rsidP="000C26B2">
      <w:pPr>
        <w:spacing w:line="276" w:lineRule="auto"/>
        <w:rPr>
          <w:rFonts w:asciiTheme="majorHAnsi" w:hAnsiTheme="majorHAnsi" w:cs="Helvetica"/>
          <w:szCs w:val="26"/>
          <w:u w:color="0E32B3"/>
          <w:lang w:val="en-US" w:bidi="en-US"/>
        </w:rPr>
      </w:pPr>
      <w:bookmarkStart w:id="0" w:name="OLE_LINK65"/>
      <w:bookmarkStart w:id="1" w:name="OLE_LINK66"/>
      <w:bookmarkStart w:id="2" w:name="OLE_LINK25"/>
      <w:bookmarkStart w:id="3" w:name="OLE_LINK26"/>
      <w:r w:rsidRPr="001C0EB2">
        <w:rPr>
          <w:rFonts w:asciiTheme="majorHAnsi" w:hAnsiTheme="majorHAnsi"/>
          <w:lang w:val="en-US"/>
        </w:rPr>
        <w:t>ADP</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cs="Helvetica"/>
          <w:szCs w:val="26"/>
          <w:u w:color="0E32B3"/>
          <w:lang w:val="en-US" w:bidi="en-US"/>
        </w:rPr>
        <w:t>Adenosine diphosphate</w:t>
      </w:r>
    </w:p>
    <w:p w:rsidR="000C26B2" w:rsidRPr="001C0EB2" w:rsidRDefault="000C26B2" w:rsidP="000C26B2">
      <w:pPr>
        <w:spacing w:line="276" w:lineRule="auto"/>
        <w:rPr>
          <w:rFonts w:asciiTheme="majorHAnsi" w:hAnsiTheme="majorHAnsi"/>
          <w:lang w:val="en-US"/>
        </w:rPr>
      </w:pPr>
      <w:r w:rsidRPr="001C0EB2">
        <w:rPr>
          <w:rFonts w:asciiTheme="majorHAnsi" w:hAnsiTheme="majorHAnsi" w:cs="Helvetica"/>
          <w:szCs w:val="26"/>
          <w:u w:color="0E32B3"/>
          <w:lang w:val="en-US" w:bidi="en-US"/>
        </w:rPr>
        <w:t>APS</w:t>
      </w:r>
      <w:r w:rsidRPr="001C0EB2">
        <w:rPr>
          <w:rFonts w:asciiTheme="majorHAnsi" w:hAnsiTheme="majorHAnsi" w:cs="Helvetica"/>
          <w:szCs w:val="26"/>
          <w:u w:color="0E32B3"/>
          <w:lang w:val="en-US" w:bidi="en-US"/>
        </w:rPr>
        <w:tab/>
      </w:r>
      <w:r w:rsidRPr="001C0EB2">
        <w:rPr>
          <w:rFonts w:asciiTheme="majorHAnsi" w:hAnsiTheme="majorHAnsi" w:cs="Helvetica"/>
          <w:szCs w:val="26"/>
          <w:u w:color="0E32B3"/>
          <w:lang w:val="en-US" w:bidi="en-US"/>
        </w:rPr>
        <w:tab/>
      </w:r>
      <w:r w:rsidRPr="001C0EB2">
        <w:rPr>
          <w:rFonts w:asciiTheme="majorHAnsi" w:hAnsiTheme="majorHAnsi" w:cs="Helvetica"/>
          <w:szCs w:val="26"/>
          <w:u w:color="0E32B3"/>
          <w:lang w:val="en-US" w:bidi="en-US"/>
        </w:rPr>
        <w:tab/>
        <w:t>Ammonium persulphate</w:t>
      </w:r>
    </w:p>
    <w:bookmarkEnd w:id="0"/>
    <w:bookmarkEnd w:id="1"/>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ATP</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cs="Helvetica"/>
          <w:szCs w:val="26"/>
          <w:u w:color="0E32B3"/>
          <w:lang w:val="en-US" w:bidi="en-US"/>
        </w:rPr>
        <w:t>Adenosine triphosphate</w:t>
      </w:r>
    </w:p>
    <w:bookmarkEnd w:id="2"/>
    <w:bookmarkEnd w:id="3"/>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CHO</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Chinese hamster ovary</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C-terminal</w:t>
      </w:r>
      <w:r w:rsidRPr="001C0EB2">
        <w:rPr>
          <w:rFonts w:asciiTheme="majorHAnsi" w:hAnsiTheme="majorHAnsi"/>
          <w:lang w:val="en-US"/>
        </w:rPr>
        <w:tab/>
      </w:r>
      <w:r w:rsidRPr="001C0EB2">
        <w:rPr>
          <w:rFonts w:asciiTheme="majorHAnsi" w:hAnsiTheme="majorHAnsi"/>
          <w:lang w:val="en-US"/>
        </w:rPr>
        <w:tab/>
        <w:t>Carboxyl-terminal</w:t>
      </w:r>
    </w:p>
    <w:p w:rsidR="000C26B2" w:rsidRPr="001C0EB2" w:rsidRDefault="000C26B2" w:rsidP="000C26B2">
      <w:pPr>
        <w:spacing w:line="276" w:lineRule="auto"/>
        <w:rPr>
          <w:rFonts w:asciiTheme="majorHAnsi" w:hAnsiTheme="majorHAnsi"/>
          <w:i/>
          <w:lang w:val="en-US"/>
        </w:rPr>
      </w:pPr>
      <w:r w:rsidRPr="001C0EB2">
        <w:rPr>
          <w:rFonts w:asciiTheme="majorHAnsi" w:hAnsiTheme="majorHAnsi"/>
          <w:i/>
          <w:lang w:val="en-US"/>
        </w:rPr>
        <w:t>D. melanogaster</w:t>
      </w:r>
      <w:r w:rsidRPr="001C0EB2">
        <w:rPr>
          <w:rFonts w:asciiTheme="majorHAnsi" w:hAnsiTheme="majorHAnsi"/>
          <w:lang w:val="en-US"/>
        </w:rPr>
        <w:tab/>
      </w:r>
      <w:r w:rsidRPr="001C0EB2">
        <w:rPr>
          <w:rFonts w:asciiTheme="majorHAnsi" w:hAnsiTheme="majorHAnsi"/>
          <w:i/>
          <w:lang w:val="en-US"/>
        </w:rPr>
        <w:t>Drosophila melanogaster</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DBD</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DNA binding domain</w:t>
      </w:r>
    </w:p>
    <w:p w:rsidR="000C26B2" w:rsidRPr="001C0EB2" w:rsidRDefault="000C26B2" w:rsidP="000C26B2">
      <w:pPr>
        <w:spacing w:line="276" w:lineRule="auto"/>
        <w:rPr>
          <w:rFonts w:asciiTheme="majorHAnsi" w:hAnsiTheme="majorHAnsi"/>
          <w:lang w:val="en-US"/>
        </w:rPr>
      </w:pPr>
      <w:bookmarkStart w:id="4" w:name="OLE_LINK19"/>
      <w:r w:rsidRPr="001C0EB2">
        <w:rPr>
          <w:rFonts w:asciiTheme="majorHAnsi" w:hAnsiTheme="majorHAnsi"/>
          <w:lang w:val="en-US"/>
        </w:rPr>
        <w:t>DNA</w:t>
      </w:r>
      <w:bookmarkEnd w:id="4"/>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D</w:t>
      </w:r>
      <w:r w:rsidRPr="001C0EB2">
        <w:rPr>
          <w:rFonts w:asciiTheme="majorHAnsi" w:hAnsiTheme="majorHAnsi" w:cs="ArialMT"/>
          <w:szCs w:val="26"/>
          <w:lang w:val="en-US" w:bidi="en-US"/>
        </w:rPr>
        <w:t>eoxyribonucleic acid</w:t>
      </w:r>
    </w:p>
    <w:p w:rsidR="000C26B2" w:rsidRPr="001C0EB2" w:rsidRDefault="000C26B2" w:rsidP="000C26B2">
      <w:pPr>
        <w:spacing w:line="276" w:lineRule="auto"/>
        <w:rPr>
          <w:rFonts w:asciiTheme="majorHAnsi" w:hAnsiTheme="majorHAnsi"/>
          <w:szCs w:val="25"/>
          <w:lang w:val="en-US"/>
        </w:rPr>
      </w:pPr>
      <w:proofErr w:type="gramStart"/>
      <w:r w:rsidRPr="001C0EB2">
        <w:rPr>
          <w:rFonts w:asciiTheme="majorHAnsi" w:hAnsiTheme="majorHAnsi"/>
          <w:szCs w:val="25"/>
          <w:lang w:val="en-US"/>
        </w:rPr>
        <w:t>dATP</w:t>
      </w:r>
      <w:proofErr w:type="gramEnd"/>
      <w:r w:rsidRPr="001C0EB2">
        <w:rPr>
          <w:rFonts w:asciiTheme="majorHAnsi" w:hAnsiTheme="majorHAnsi" w:cs="Helvetica-Bold"/>
          <w:b/>
          <w:bCs/>
          <w:sz w:val="26"/>
          <w:szCs w:val="26"/>
          <w:lang w:val="en-US" w:bidi="en-US"/>
        </w:rPr>
        <w:t xml:space="preserve"> </w:t>
      </w:r>
      <w:r w:rsidRPr="001C0EB2">
        <w:rPr>
          <w:rFonts w:asciiTheme="majorHAnsi" w:hAnsiTheme="majorHAnsi" w:cs="Helvetica-Bold"/>
          <w:b/>
          <w:bCs/>
          <w:sz w:val="26"/>
          <w:szCs w:val="26"/>
          <w:lang w:val="en-US" w:bidi="en-US"/>
        </w:rPr>
        <w:tab/>
      </w:r>
      <w:r w:rsidRPr="001C0EB2">
        <w:rPr>
          <w:rFonts w:asciiTheme="majorHAnsi" w:hAnsiTheme="majorHAnsi" w:cs="Helvetica-Bold"/>
          <w:b/>
          <w:bCs/>
          <w:sz w:val="26"/>
          <w:szCs w:val="26"/>
          <w:lang w:val="en-US" w:bidi="en-US"/>
        </w:rPr>
        <w:tab/>
      </w:r>
      <w:r w:rsidRPr="001C0EB2">
        <w:rPr>
          <w:rFonts w:asciiTheme="majorHAnsi" w:hAnsiTheme="majorHAnsi" w:cs="Helvetica-Bold"/>
          <w:b/>
          <w:bCs/>
          <w:szCs w:val="26"/>
          <w:lang w:val="en-US" w:bidi="en-US"/>
        </w:rPr>
        <w:tab/>
      </w:r>
      <w:r w:rsidRPr="001C0EB2">
        <w:rPr>
          <w:rFonts w:asciiTheme="majorHAnsi" w:hAnsiTheme="majorHAnsi" w:cs="Helvetica-Bold"/>
          <w:bCs/>
          <w:szCs w:val="26"/>
          <w:lang w:val="en-US" w:bidi="en-US"/>
        </w:rPr>
        <w:t>Deoxyadenosine triphosphate</w:t>
      </w:r>
    </w:p>
    <w:p w:rsidR="000C26B2" w:rsidRPr="001C0EB2" w:rsidRDefault="000C26B2" w:rsidP="000C26B2">
      <w:pPr>
        <w:spacing w:line="276" w:lineRule="auto"/>
        <w:rPr>
          <w:rFonts w:asciiTheme="majorHAnsi" w:hAnsiTheme="majorHAnsi"/>
          <w:szCs w:val="25"/>
          <w:lang w:val="en-US"/>
        </w:rPr>
      </w:pPr>
      <w:proofErr w:type="gramStart"/>
      <w:r w:rsidRPr="001C0EB2">
        <w:rPr>
          <w:rFonts w:asciiTheme="majorHAnsi" w:hAnsiTheme="majorHAnsi"/>
          <w:szCs w:val="25"/>
          <w:lang w:val="en-US"/>
        </w:rPr>
        <w:t>dCTP</w:t>
      </w:r>
      <w:proofErr w:type="gramEnd"/>
      <w:r w:rsidRPr="001C0EB2">
        <w:rPr>
          <w:rFonts w:asciiTheme="majorHAnsi" w:hAnsiTheme="majorHAnsi" w:cs="Helvetica-Bold"/>
          <w:bCs/>
          <w:szCs w:val="26"/>
          <w:lang w:val="en-US" w:bidi="en-US"/>
        </w:rPr>
        <w:t xml:space="preserve"> </w:t>
      </w:r>
      <w:r w:rsidRPr="001C0EB2">
        <w:rPr>
          <w:rFonts w:asciiTheme="majorHAnsi" w:hAnsiTheme="majorHAnsi" w:cs="Helvetica-Bold"/>
          <w:bCs/>
          <w:szCs w:val="26"/>
          <w:lang w:val="en-US" w:bidi="en-US"/>
        </w:rPr>
        <w:tab/>
      </w:r>
      <w:r w:rsidRPr="001C0EB2">
        <w:rPr>
          <w:rFonts w:asciiTheme="majorHAnsi" w:hAnsiTheme="majorHAnsi" w:cs="Helvetica-Bold"/>
          <w:bCs/>
          <w:szCs w:val="26"/>
          <w:lang w:val="en-US" w:bidi="en-US"/>
        </w:rPr>
        <w:tab/>
      </w:r>
      <w:r w:rsidRPr="001C0EB2">
        <w:rPr>
          <w:rFonts w:asciiTheme="majorHAnsi" w:hAnsiTheme="majorHAnsi" w:cs="Helvetica-Bold"/>
          <w:bCs/>
          <w:szCs w:val="26"/>
          <w:lang w:val="en-US" w:bidi="en-US"/>
        </w:rPr>
        <w:tab/>
        <w:t>Deoxycytidine triphosphate</w:t>
      </w:r>
    </w:p>
    <w:p w:rsidR="000C26B2" w:rsidRPr="001C0EB2" w:rsidRDefault="000C26B2" w:rsidP="000C26B2">
      <w:pPr>
        <w:spacing w:line="276" w:lineRule="auto"/>
        <w:rPr>
          <w:rFonts w:asciiTheme="majorHAnsi" w:hAnsiTheme="majorHAnsi" w:cs="Helvetica-Bold"/>
          <w:bCs/>
          <w:szCs w:val="26"/>
          <w:lang w:val="en-US" w:bidi="en-US"/>
        </w:rPr>
      </w:pPr>
      <w:bookmarkStart w:id="5" w:name="OLE_LINK16"/>
      <w:proofErr w:type="gramStart"/>
      <w:r w:rsidRPr="001C0EB2">
        <w:rPr>
          <w:rFonts w:asciiTheme="majorHAnsi" w:hAnsiTheme="majorHAnsi"/>
          <w:szCs w:val="25"/>
          <w:lang w:val="en-US"/>
        </w:rPr>
        <w:t>dGTP</w:t>
      </w:r>
      <w:proofErr w:type="gramEnd"/>
      <w:r w:rsidRPr="001C0EB2">
        <w:rPr>
          <w:rFonts w:asciiTheme="majorHAnsi" w:hAnsiTheme="majorHAnsi" w:cs="Helvetica-Bold"/>
          <w:bCs/>
          <w:szCs w:val="26"/>
          <w:lang w:val="en-US" w:bidi="en-US"/>
        </w:rPr>
        <w:t xml:space="preserve"> </w:t>
      </w:r>
      <w:r w:rsidRPr="001C0EB2">
        <w:rPr>
          <w:rFonts w:asciiTheme="majorHAnsi" w:hAnsiTheme="majorHAnsi" w:cs="Helvetica-Bold"/>
          <w:bCs/>
          <w:szCs w:val="26"/>
          <w:lang w:val="en-US" w:bidi="en-US"/>
        </w:rPr>
        <w:tab/>
      </w:r>
      <w:r w:rsidRPr="001C0EB2">
        <w:rPr>
          <w:rFonts w:asciiTheme="majorHAnsi" w:hAnsiTheme="majorHAnsi" w:cs="Helvetica-Bold"/>
          <w:bCs/>
          <w:szCs w:val="26"/>
          <w:lang w:val="en-US" w:bidi="en-US"/>
        </w:rPr>
        <w:tab/>
      </w:r>
      <w:r w:rsidRPr="001C0EB2">
        <w:rPr>
          <w:rFonts w:asciiTheme="majorHAnsi" w:hAnsiTheme="majorHAnsi" w:cs="Helvetica-Bold"/>
          <w:bCs/>
          <w:szCs w:val="26"/>
          <w:lang w:val="en-US" w:bidi="en-US"/>
        </w:rPr>
        <w:tab/>
        <w:t>Deoxyguanosine triphosphate</w:t>
      </w:r>
    </w:p>
    <w:p w:rsidR="000C26B2" w:rsidRPr="001C0EB2" w:rsidRDefault="000C26B2" w:rsidP="000C26B2">
      <w:pPr>
        <w:spacing w:line="276" w:lineRule="auto"/>
        <w:rPr>
          <w:rFonts w:asciiTheme="majorHAnsi" w:hAnsiTheme="majorHAnsi"/>
          <w:szCs w:val="25"/>
          <w:lang w:val="en-US"/>
        </w:rPr>
      </w:pPr>
      <w:proofErr w:type="gramStart"/>
      <w:r w:rsidRPr="001C0EB2">
        <w:rPr>
          <w:rFonts w:asciiTheme="majorHAnsi" w:hAnsiTheme="majorHAnsi" w:cs="Helvetica-Bold"/>
          <w:bCs/>
          <w:szCs w:val="26"/>
          <w:lang w:val="en-US" w:bidi="en-US"/>
        </w:rPr>
        <w:t>dH</w:t>
      </w:r>
      <w:r w:rsidRPr="001C0EB2">
        <w:rPr>
          <w:rFonts w:asciiTheme="majorHAnsi" w:hAnsiTheme="majorHAnsi" w:cs="Helvetica-Bold"/>
          <w:bCs/>
          <w:szCs w:val="26"/>
          <w:vertAlign w:val="subscript"/>
          <w:lang w:val="en-US" w:bidi="en-US"/>
        </w:rPr>
        <w:t>2</w:t>
      </w:r>
      <w:r w:rsidRPr="001C0EB2">
        <w:rPr>
          <w:rFonts w:asciiTheme="majorHAnsi" w:hAnsiTheme="majorHAnsi" w:cs="Helvetica-Bold"/>
          <w:bCs/>
          <w:szCs w:val="26"/>
          <w:lang w:val="en-US" w:bidi="en-US"/>
        </w:rPr>
        <w:t>O</w:t>
      </w:r>
      <w:proofErr w:type="gramEnd"/>
      <w:r w:rsidRPr="001C0EB2">
        <w:rPr>
          <w:rFonts w:asciiTheme="majorHAnsi" w:hAnsiTheme="majorHAnsi" w:cs="Helvetica-Bold"/>
          <w:bCs/>
          <w:szCs w:val="26"/>
          <w:lang w:val="en-US" w:bidi="en-US"/>
        </w:rPr>
        <w:tab/>
      </w:r>
      <w:r w:rsidRPr="001C0EB2">
        <w:rPr>
          <w:rFonts w:asciiTheme="majorHAnsi" w:hAnsiTheme="majorHAnsi" w:cs="Helvetica-Bold"/>
          <w:bCs/>
          <w:szCs w:val="26"/>
          <w:lang w:val="en-US" w:bidi="en-US"/>
        </w:rPr>
        <w:tab/>
      </w:r>
      <w:r w:rsidRPr="001C0EB2">
        <w:rPr>
          <w:rFonts w:asciiTheme="majorHAnsi" w:hAnsiTheme="majorHAnsi" w:cs="Helvetica-Bold"/>
          <w:bCs/>
          <w:szCs w:val="26"/>
          <w:lang w:val="en-US" w:bidi="en-US"/>
        </w:rPr>
        <w:tab/>
        <w:t>Deionised water</w:t>
      </w:r>
    </w:p>
    <w:bookmarkEnd w:id="5"/>
    <w:p w:rsidR="000C26B2" w:rsidRPr="001C0EB2" w:rsidRDefault="000C26B2" w:rsidP="000C26B2">
      <w:pPr>
        <w:spacing w:line="276" w:lineRule="auto"/>
        <w:rPr>
          <w:rFonts w:asciiTheme="majorHAnsi" w:hAnsiTheme="majorHAnsi"/>
          <w:szCs w:val="25"/>
          <w:lang w:val="en-US"/>
        </w:rPr>
      </w:pPr>
      <w:proofErr w:type="gramStart"/>
      <w:r w:rsidRPr="001C0EB2">
        <w:rPr>
          <w:rFonts w:asciiTheme="majorHAnsi" w:hAnsiTheme="majorHAnsi"/>
          <w:szCs w:val="25"/>
          <w:lang w:val="en-US"/>
        </w:rPr>
        <w:t>dNTPs</w:t>
      </w:r>
      <w:proofErr w:type="gramEnd"/>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t>Equimolar mixture of dATP, dTTP, dCTP, dGTP</w:t>
      </w:r>
    </w:p>
    <w:p w:rsidR="000C26B2" w:rsidRPr="001C0EB2" w:rsidRDefault="000C26B2" w:rsidP="000C26B2">
      <w:pPr>
        <w:spacing w:line="276" w:lineRule="auto"/>
        <w:rPr>
          <w:rFonts w:asciiTheme="majorHAnsi" w:hAnsiTheme="majorHAnsi"/>
          <w:szCs w:val="25"/>
          <w:lang w:val="en-US"/>
        </w:rPr>
      </w:pPr>
      <w:proofErr w:type="gramStart"/>
      <w:r w:rsidRPr="001C0EB2">
        <w:rPr>
          <w:rFonts w:asciiTheme="majorHAnsi" w:hAnsiTheme="majorHAnsi"/>
          <w:szCs w:val="25"/>
          <w:lang w:val="en-US"/>
        </w:rPr>
        <w:t>dsRNA</w:t>
      </w:r>
      <w:proofErr w:type="gramEnd"/>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t xml:space="preserve">double-stranded </w:t>
      </w:r>
      <w:r w:rsidRPr="001C0EB2">
        <w:rPr>
          <w:rFonts w:asciiTheme="majorHAnsi" w:hAnsiTheme="majorHAnsi"/>
          <w:lang w:val="en-US"/>
        </w:rPr>
        <w:t>Ribonucleic Acid</w:t>
      </w:r>
    </w:p>
    <w:p w:rsidR="000C26B2" w:rsidRPr="001C0EB2" w:rsidRDefault="000C26B2" w:rsidP="000C26B2">
      <w:pPr>
        <w:spacing w:line="276" w:lineRule="auto"/>
        <w:rPr>
          <w:rFonts w:asciiTheme="majorHAnsi" w:hAnsiTheme="majorHAnsi"/>
          <w:szCs w:val="25"/>
          <w:lang w:val="en-US"/>
        </w:rPr>
      </w:pPr>
      <w:proofErr w:type="gramStart"/>
      <w:r w:rsidRPr="001C0EB2">
        <w:rPr>
          <w:rFonts w:asciiTheme="majorHAnsi" w:hAnsiTheme="majorHAnsi"/>
          <w:szCs w:val="25"/>
          <w:lang w:val="en-US"/>
        </w:rPr>
        <w:t>dts</w:t>
      </w:r>
      <w:proofErr w:type="gramEnd"/>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t>thermo-sensitive degron</w:t>
      </w:r>
    </w:p>
    <w:p w:rsidR="000C26B2" w:rsidRPr="001C0EB2" w:rsidRDefault="000C26B2" w:rsidP="000C26B2">
      <w:pPr>
        <w:spacing w:line="276" w:lineRule="auto"/>
        <w:rPr>
          <w:rFonts w:asciiTheme="majorHAnsi" w:hAnsiTheme="majorHAnsi"/>
          <w:szCs w:val="25"/>
          <w:lang w:val="en-US"/>
        </w:rPr>
      </w:pPr>
      <w:r w:rsidRPr="001C0EB2">
        <w:rPr>
          <w:rFonts w:asciiTheme="majorHAnsi" w:hAnsiTheme="majorHAnsi"/>
          <w:szCs w:val="25"/>
          <w:lang w:val="en-US"/>
        </w:rPr>
        <w:t>DTT</w:t>
      </w:r>
      <w:bookmarkStart w:id="6" w:name="OLE_LINK17"/>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t>Dithiothreitol</w:t>
      </w:r>
    </w:p>
    <w:p w:rsidR="000C26B2" w:rsidRPr="001C0EB2" w:rsidRDefault="000C26B2" w:rsidP="000C26B2">
      <w:pPr>
        <w:spacing w:line="276" w:lineRule="auto"/>
        <w:rPr>
          <w:rFonts w:asciiTheme="majorHAnsi" w:hAnsiTheme="majorHAnsi"/>
          <w:lang w:val="en-US"/>
        </w:rPr>
      </w:pPr>
      <w:proofErr w:type="gramStart"/>
      <w:r w:rsidRPr="001C0EB2">
        <w:rPr>
          <w:rFonts w:asciiTheme="majorHAnsi" w:hAnsiTheme="majorHAnsi"/>
          <w:szCs w:val="25"/>
          <w:lang w:val="en-US"/>
        </w:rPr>
        <w:t>dTTP</w:t>
      </w:r>
      <w:proofErr w:type="gramEnd"/>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t>De</w:t>
      </w:r>
      <w:r w:rsidRPr="001C0EB2">
        <w:rPr>
          <w:rFonts w:asciiTheme="majorHAnsi" w:hAnsiTheme="majorHAnsi" w:cs="ArialMT"/>
          <w:szCs w:val="26"/>
          <w:lang w:val="en-US" w:bidi="en-US"/>
        </w:rPr>
        <w:t>oxythymidine triphosphate</w:t>
      </w:r>
    </w:p>
    <w:bookmarkEnd w:id="6"/>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DRP</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Dynamin related protein</w:t>
      </w:r>
    </w:p>
    <w:p w:rsidR="000C26B2" w:rsidRPr="001C0EB2" w:rsidRDefault="000C26B2" w:rsidP="000C26B2">
      <w:pPr>
        <w:spacing w:line="276" w:lineRule="auto"/>
        <w:rPr>
          <w:rFonts w:asciiTheme="majorHAnsi" w:hAnsiTheme="majorHAnsi"/>
          <w:b/>
          <w:i/>
          <w:lang w:val="en-US"/>
        </w:rPr>
      </w:pPr>
      <w:r w:rsidRPr="001C0EB2">
        <w:rPr>
          <w:rFonts w:asciiTheme="majorHAnsi" w:hAnsiTheme="majorHAnsi"/>
          <w:i/>
          <w:lang w:val="en-US"/>
        </w:rPr>
        <w:t>E.coli</w:t>
      </w:r>
      <w:r w:rsidRPr="001C0EB2">
        <w:rPr>
          <w:rFonts w:asciiTheme="majorHAnsi" w:hAnsiTheme="majorHAnsi"/>
          <w:i/>
          <w:lang w:val="en-US"/>
        </w:rPr>
        <w:tab/>
      </w:r>
      <w:r w:rsidRPr="001C0EB2">
        <w:rPr>
          <w:rFonts w:asciiTheme="majorHAnsi" w:hAnsiTheme="majorHAnsi"/>
          <w:i/>
          <w:lang w:val="en-US"/>
        </w:rPr>
        <w:tab/>
      </w:r>
      <w:r w:rsidRPr="001C0EB2">
        <w:rPr>
          <w:rFonts w:asciiTheme="majorHAnsi" w:hAnsiTheme="majorHAnsi"/>
          <w:i/>
          <w:lang w:val="en-US"/>
        </w:rPr>
        <w:tab/>
        <w:t>Escherichia coli</w:t>
      </w:r>
    </w:p>
    <w:p w:rsidR="000C26B2" w:rsidRPr="001C0EB2" w:rsidRDefault="000C26B2" w:rsidP="000C26B2">
      <w:pPr>
        <w:spacing w:line="276" w:lineRule="auto"/>
        <w:rPr>
          <w:rFonts w:asciiTheme="majorHAnsi" w:hAnsiTheme="majorHAnsi"/>
          <w:szCs w:val="25"/>
          <w:lang w:val="en-US"/>
        </w:rPr>
      </w:pPr>
      <w:r w:rsidRPr="001C0EB2">
        <w:rPr>
          <w:rFonts w:asciiTheme="majorHAnsi" w:hAnsiTheme="majorHAnsi"/>
          <w:lang w:val="en-US"/>
        </w:rPr>
        <w:t>ECL</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szCs w:val="25"/>
          <w:lang w:val="en-US"/>
        </w:rPr>
        <w:t xml:space="preserve">Enhanced chemiluminescence </w:t>
      </w:r>
    </w:p>
    <w:p w:rsidR="000C26B2" w:rsidRPr="001C0EB2" w:rsidRDefault="000C26B2" w:rsidP="000C26B2">
      <w:pPr>
        <w:spacing w:line="276" w:lineRule="auto"/>
        <w:rPr>
          <w:rFonts w:asciiTheme="majorHAnsi" w:hAnsiTheme="majorHAnsi"/>
          <w:szCs w:val="25"/>
          <w:lang w:val="en-US"/>
        </w:rPr>
      </w:pPr>
      <w:bookmarkStart w:id="7" w:name="OLE_LINK29"/>
      <w:bookmarkStart w:id="8" w:name="OLE_LINK30"/>
      <w:r w:rsidRPr="001C0EB2">
        <w:rPr>
          <w:rFonts w:asciiTheme="majorHAnsi" w:hAnsiTheme="majorHAnsi"/>
          <w:szCs w:val="25"/>
          <w:lang w:val="en-US"/>
        </w:rPr>
        <w:t>EDTA</w:t>
      </w:r>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cs="Helvetica-Bold"/>
          <w:bCs/>
          <w:szCs w:val="26"/>
          <w:lang w:val="en-US" w:bidi="en-US"/>
        </w:rPr>
        <w:t>ethylenediaminetetraacetic acid</w:t>
      </w:r>
    </w:p>
    <w:bookmarkEnd w:id="7"/>
    <w:bookmarkEnd w:id="8"/>
    <w:p w:rsidR="000C26B2" w:rsidRPr="001C0EB2" w:rsidRDefault="000C26B2" w:rsidP="000C26B2">
      <w:pPr>
        <w:spacing w:line="276" w:lineRule="auto"/>
        <w:rPr>
          <w:rFonts w:asciiTheme="majorHAnsi" w:hAnsiTheme="majorHAnsi"/>
          <w:b/>
          <w:szCs w:val="25"/>
          <w:lang w:val="en-US"/>
        </w:rPr>
      </w:pPr>
      <w:r w:rsidRPr="001C0EB2">
        <w:rPr>
          <w:rFonts w:asciiTheme="majorHAnsi" w:hAnsiTheme="majorHAnsi"/>
          <w:szCs w:val="25"/>
          <w:lang w:val="en-US"/>
        </w:rPr>
        <w:t>ER</w:t>
      </w:r>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t>Endoplasmic reticulum</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lastRenderedPageBreak/>
        <w:t>GFP</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Green fluorescent protein</w:t>
      </w:r>
    </w:p>
    <w:p w:rsidR="000C26B2" w:rsidRPr="001C0EB2" w:rsidRDefault="000C26B2" w:rsidP="000C26B2">
      <w:pPr>
        <w:spacing w:line="276" w:lineRule="auto"/>
        <w:rPr>
          <w:rFonts w:asciiTheme="majorHAnsi" w:hAnsiTheme="majorHAnsi"/>
          <w:szCs w:val="32"/>
          <w:lang w:val="en-US"/>
        </w:rPr>
      </w:pPr>
      <w:r w:rsidRPr="001C0EB2">
        <w:rPr>
          <w:rFonts w:asciiTheme="majorHAnsi" w:hAnsiTheme="majorHAnsi"/>
          <w:i/>
          <w:lang w:val="en-US"/>
        </w:rPr>
        <w:t>H. polymorpha</w:t>
      </w:r>
      <w:r w:rsidRPr="001C0EB2">
        <w:rPr>
          <w:rFonts w:asciiTheme="majorHAnsi" w:hAnsiTheme="majorHAnsi"/>
          <w:i/>
          <w:lang w:val="en-US"/>
        </w:rPr>
        <w:tab/>
      </w:r>
      <w:r w:rsidRPr="001C0EB2">
        <w:rPr>
          <w:rFonts w:asciiTheme="majorHAnsi" w:hAnsiTheme="majorHAnsi"/>
          <w:i/>
          <w:lang w:val="en-US"/>
        </w:rPr>
        <w:tab/>
      </w:r>
      <w:r w:rsidRPr="001C0EB2">
        <w:rPr>
          <w:rFonts w:asciiTheme="majorHAnsi" w:hAnsiTheme="majorHAnsi"/>
          <w:i/>
          <w:szCs w:val="32"/>
          <w:lang w:val="en-US"/>
        </w:rPr>
        <w:t>Hansenula polymorpha</w:t>
      </w:r>
      <w:r w:rsidRPr="001C0EB2">
        <w:rPr>
          <w:rFonts w:asciiTheme="majorHAnsi" w:hAnsiTheme="majorHAnsi"/>
          <w:szCs w:val="32"/>
          <w:lang w:val="en-US"/>
        </w:rPr>
        <w:t xml:space="preserve"> </w:t>
      </w:r>
    </w:p>
    <w:p w:rsidR="000C26B2" w:rsidRPr="001C0EB2" w:rsidRDefault="000C26B2" w:rsidP="000C26B2">
      <w:pPr>
        <w:spacing w:line="276" w:lineRule="auto"/>
        <w:rPr>
          <w:rFonts w:asciiTheme="majorHAnsi" w:hAnsiTheme="majorHAnsi"/>
          <w:lang w:val="en-US"/>
        </w:rPr>
      </w:pPr>
      <w:proofErr w:type="gramStart"/>
      <w:r w:rsidRPr="001C0EB2">
        <w:rPr>
          <w:rFonts w:asciiTheme="majorHAnsi" w:hAnsiTheme="majorHAnsi"/>
          <w:szCs w:val="32"/>
          <w:lang w:val="en-US"/>
        </w:rPr>
        <w:t>hr</w:t>
      </w:r>
      <w:proofErr w:type="gramEnd"/>
      <w:r w:rsidRPr="001C0EB2">
        <w:rPr>
          <w:rFonts w:asciiTheme="majorHAnsi" w:hAnsiTheme="majorHAnsi"/>
          <w:szCs w:val="32"/>
          <w:lang w:val="en-US"/>
        </w:rPr>
        <w:tab/>
      </w:r>
      <w:r w:rsidRPr="001C0EB2">
        <w:rPr>
          <w:rFonts w:asciiTheme="majorHAnsi" w:hAnsiTheme="majorHAnsi"/>
          <w:szCs w:val="32"/>
          <w:lang w:val="en-US"/>
        </w:rPr>
        <w:tab/>
      </w:r>
      <w:r w:rsidRPr="001C0EB2">
        <w:rPr>
          <w:rFonts w:asciiTheme="majorHAnsi" w:hAnsiTheme="majorHAnsi"/>
          <w:szCs w:val="32"/>
          <w:lang w:val="en-US"/>
        </w:rPr>
        <w:tab/>
        <w:t>Hour(s)</w:t>
      </w:r>
    </w:p>
    <w:p w:rsidR="000C26B2" w:rsidRPr="001C0EB2" w:rsidRDefault="000C26B2" w:rsidP="000C26B2">
      <w:pPr>
        <w:spacing w:line="276" w:lineRule="auto"/>
        <w:rPr>
          <w:rFonts w:asciiTheme="majorHAnsi" w:hAnsiTheme="majorHAnsi"/>
          <w:szCs w:val="25"/>
          <w:lang w:val="en-US"/>
        </w:rPr>
      </w:pPr>
      <w:bookmarkStart w:id="9" w:name="OLE_LINK13"/>
      <w:r w:rsidRPr="001C0EB2">
        <w:rPr>
          <w:rFonts w:asciiTheme="majorHAnsi" w:hAnsiTheme="majorHAnsi"/>
          <w:szCs w:val="25"/>
          <w:lang w:val="en-US"/>
        </w:rPr>
        <w:t>HRP</w:t>
      </w:r>
      <w:bookmarkEnd w:id="9"/>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t>Horseradish peroxidase</w:t>
      </w:r>
    </w:p>
    <w:p w:rsidR="000C26B2" w:rsidRPr="001C0EB2" w:rsidRDefault="000C26B2" w:rsidP="000C26B2">
      <w:pPr>
        <w:spacing w:line="276" w:lineRule="auto"/>
        <w:rPr>
          <w:rFonts w:asciiTheme="majorHAnsi" w:hAnsiTheme="majorHAnsi" w:cs="Helvetica-Bold"/>
          <w:bCs/>
          <w:szCs w:val="26"/>
          <w:lang w:val="en-US" w:bidi="en-US"/>
        </w:rPr>
      </w:pPr>
      <w:bookmarkStart w:id="10" w:name="OLE_LINK31"/>
      <w:bookmarkStart w:id="11" w:name="OLE_LINK32"/>
      <w:r w:rsidRPr="001C0EB2">
        <w:rPr>
          <w:rFonts w:asciiTheme="majorHAnsi" w:hAnsiTheme="majorHAnsi"/>
          <w:szCs w:val="25"/>
          <w:lang w:val="en-US"/>
        </w:rPr>
        <w:t>IgG</w:t>
      </w:r>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t>I</w:t>
      </w:r>
      <w:r w:rsidRPr="001C0EB2">
        <w:rPr>
          <w:rFonts w:asciiTheme="majorHAnsi" w:hAnsiTheme="majorHAnsi" w:cs="Helvetica-Bold"/>
          <w:bCs/>
          <w:szCs w:val="26"/>
          <w:lang w:val="en-US" w:bidi="en-US"/>
        </w:rPr>
        <w:t>mmunoglobulin G</w:t>
      </w:r>
    </w:p>
    <w:bookmarkEnd w:id="10"/>
    <w:bookmarkEnd w:id="11"/>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IRD</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Infantile Refsum disease</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KD</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Knock-down</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MDC</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Mouse dendritic cell</w:t>
      </w:r>
    </w:p>
    <w:p w:rsidR="000C26B2" w:rsidRPr="001C0EB2" w:rsidRDefault="000C26B2" w:rsidP="000C26B2">
      <w:pPr>
        <w:spacing w:line="276" w:lineRule="auto"/>
        <w:rPr>
          <w:rFonts w:asciiTheme="majorHAnsi" w:hAnsiTheme="majorHAnsi"/>
          <w:szCs w:val="25"/>
          <w:lang w:val="en-US"/>
        </w:rPr>
      </w:pPr>
      <w:proofErr w:type="gramStart"/>
      <w:r w:rsidRPr="001C0EB2">
        <w:rPr>
          <w:rFonts w:asciiTheme="majorHAnsi" w:hAnsiTheme="majorHAnsi"/>
          <w:lang w:val="en-US"/>
        </w:rPr>
        <w:t>mPTS</w:t>
      </w:r>
      <w:proofErr w:type="gramEnd"/>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Peroxisomal membrane protein targeting signal</w:t>
      </w:r>
      <w:r w:rsidRPr="001C0EB2">
        <w:rPr>
          <w:rFonts w:asciiTheme="majorHAnsi" w:hAnsiTheme="majorHAnsi"/>
          <w:szCs w:val="25"/>
          <w:lang w:val="en-US"/>
        </w:rPr>
        <w:tab/>
      </w:r>
    </w:p>
    <w:p w:rsidR="000C26B2" w:rsidRPr="001C0EB2" w:rsidRDefault="000C26B2" w:rsidP="000C26B2">
      <w:pPr>
        <w:spacing w:line="276" w:lineRule="auto"/>
        <w:rPr>
          <w:rFonts w:asciiTheme="majorHAnsi" w:hAnsiTheme="majorHAnsi"/>
          <w:lang w:val="en-US"/>
        </w:rPr>
      </w:pPr>
      <w:proofErr w:type="gramStart"/>
      <w:r w:rsidRPr="001C0EB2">
        <w:rPr>
          <w:rFonts w:asciiTheme="majorHAnsi" w:hAnsiTheme="majorHAnsi"/>
          <w:lang w:val="en-US"/>
        </w:rPr>
        <w:t>mRNA</w:t>
      </w:r>
      <w:proofErr w:type="gramEnd"/>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Messenger RNA</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MVB</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 xml:space="preserve">Multivesicular body </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NALD</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Neonatal adrenoleukodystrophy</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N-terminal</w:t>
      </w:r>
      <w:r w:rsidRPr="001C0EB2">
        <w:rPr>
          <w:rFonts w:asciiTheme="majorHAnsi" w:hAnsiTheme="majorHAnsi"/>
          <w:lang w:val="en-US"/>
        </w:rPr>
        <w:tab/>
      </w:r>
      <w:r w:rsidRPr="001C0EB2">
        <w:rPr>
          <w:rFonts w:asciiTheme="majorHAnsi" w:hAnsiTheme="majorHAnsi"/>
          <w:lang w:val="en-US"/>
        </w:rPr>
        <w:tab/>
        <w:t>Amino-terminal</w:t>
      </w:r>
    </w:p>
    <w:p w:rsidR="000C26B2" w:rsidRPr="001C0EB2" w:rsidRDefault="000C26B2" w:rsidP="000C26B2">
      <w:pPr>
        <w:spacing w:line="276" w:lineRule="auto"/>
        <w:rPr>
          <w:rFonts w:asciiTheme="majorHAnsi" w:hAnsiTheme="majorHAnsi"/>
          <w:szCs w:val="25"/>
          <w:lang w:val="en-US"/>
        </w:rPr>
      </w:pPr>
      <w:proofErr w:type="gramStart"/>
      <w:r w:rsidRPr="001C0EB2">
        <w:rPr>
          <w:rFonts w:asciiTheme="majorHAnsi" w:hAnsiTheme="majorHAnsi"/>
          <w:szCs w:val="25"/>
          <w:lang w:val="en-US"/>
        </w:rPr>
        <w:t>nt</w:t>
      </w:r>
      <w:proofErr w:type="gramEnd"/>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t>Nucleotides</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OD</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Optical density</w:t>
      </w:r>
    </w:p>
    <w:p w:rsidR="000C26B2" w:rsidRPr="001C0EB2" w:rsidRDefault="000C26B2" w:rsidP="000C26B2">
      <w:pPr>
        <w:spacing w:line="276" w:lineRule="auto"/>
        <w:rPr>
          <w:rFonts w:asciiTheme="majorHAnsi" w:hAnsiTheme="majorHAnsi"/>
          <w:szCs w:val="25"/>
          <w:lang w:val="en-US"/>
        </w:rPr>
      </w:pPr>
      <w:r w:rsidRPr="001C0EB2">
        <w:rPr>
          <w:rFonts w:asciiTheme="majorHAnsi" w:hAnsiTheme="majorHAnsi"/>
          <w:szCs w:val="25"/>
          <w:lang w:val="en-US"/>
        </w:rPr>
        <w:t>ORF</w:t>
      </w:r>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t>Open reading frame</w:t>
      </w:r>
    </w:p>
    <w:p w:rsidR="000C26B2" w:rsidRPr="001C0EB2" w:rsidRDefault="000C26B2" w:rsidP="000C26B2">
      <w:pPr>
        <w:spacing w:line="276" w:lineRule="auto"/>
        <w:rPr>
          <w:rFonts w:asciiTheme="majorHAnsi" w:hAnsiTheme="majorHAnsi"/>
          <w:szCs w:val="25"/>
          <w:lang w:val="en-US"/>
        </w:rPr>
      </w:pPr>
      <w:r w:rsidRPr="001C0EB2">
        <w:rPr>
          <w:rFonts w:asciiTheme="majorHAnsi" w:hAnsiTheme="majorHAnsi"/>
          <w:szCs w:val="25"/>
          <w:lang w:val="en-US"/>
        </w:rPr>
        <w:t>PEG</w:t>
      </w:r>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szCs w:val="25"/>
          <w:lang w:val="en-US"/>
        </w:rPr>
        <w:tab/>
      </w:r>
      <w:r w:rsidRPr="001C0EB2">
        <w:rPr>
          <w:rFonts w:asciiTheme="majorHAnsi" w:hAnsiTheme="majorHAnsi" w:cs="Helvetica-Bold"/>
          <w:bCs/>
          <w:szCs w:val="26"/>
          <w:lang w:val="en-US" w:bidi="en-US"/>
        </w:rPr>
        <w:t>Polyethylene glycol</w:t>
      </w:r>
    </w:p>
    <w:p w:rsidR="000C26B2" w:rsidRPr="001C0EB2" w:rsidRDefault="000C26B2" w:rsidP="000C26B2">
      <w:pPr>
        <w:spacing w:line="276" w:lineRule="auto"/>
        <w:rPr>
          <w:rFonts w:asciiTheme="majorHAnsi" w:hAnsiTheme="majorHAnsi"/>
          <w:i/>
          <w:szCs w:val="25"/>
          <w:lang w:val="en-US"/>
        </w:rPr>
      </w:pPr>
      <w:r w:rsidRPr="001C0EB2">
        <w:rPr>
          <w:rFonts w:asciiTheme="majorHAnsi" w:hAnsiTheme="majorHAnsi"/>
          <w:i/>
          <w:szCs w:val="25"/>
          <w:lang w:val="en-US"/>
        </w:rPr>
        <w:t>P.pastoris</w:t>
      </w:r>
      <w:r w:rsidRPr="001C0EB2">
        <w:rPr>
          <w:rFonts w:asciiTheme="majorHAnsi" w:hAnsiTheme="majorHAnsi"/>
          <w:i/>
          <w:szCs w:val="25"/>
          <w:lang w:val="en-US"/>
        </w:rPr>
        <w:tab/>
      </w:r>
      <w:r w:rsidRPr="001C0EB2">
        <w:rPr>
          <w:rFonts w:asciiTheme="majorHAnsi" w:hAnsiTheme="majorHAnsi"/>
          <w:i/>
          <w:szCs w:val="25"/>
          <w:lang w:val="en-US"/>
        </w:rPr>
        <w:tab/>
        <w:t>Pichia pastoris</w:t>
      </w:r>
    </w:p>
    <w:p w:rsidR="00F57D69" w:rsidRDefault="00F57D69" w:rsidP="000C26B2">
      <w:pPr>
        <w:spacing w:line="276" w:lineRule="auto"/>
        <w:rPr>
          <w:rFonts w:asciiTheme="majorHAnsi" w:hAnsiTheme="majorHAnsi"/>
          <w:lang w:val="en-US"/>
        </w:rPr>
      </w:pPr>
      <w:proofErr w:type="gramStart"/>
      <w:r>
        <w:rPr>
          <w:rFonts w:asciiTheme="majorHAnsi" w:hAnsiTheme="majorHAnsi"/>
          <w:lang w:val="en-US"/>
        </w:rPr>
        <w:t>pAc</w:t>
      </w:r>
      <w:proofErr w:type="gramEnd"/>
      <w:r>
        <w:rPr>
          <w:rFonts w:asciiTheme="majorHAnsi" w:hAnsiTheme="majorHAnsi"/>
          <w:lang w:val="en-US"/>
        </w:rPr>
        <w:tab/>
      </w:r>
      <w:r>
        <w:rPr>
          <w:rFonts w:asciiTheme="majorHAnsi" w:hAnsiTheme="majorHAnsi"/>
          <w:lang w:val="en-US"/>
        </w:rPr>
        <w:tab/>
      </w:r>
      <w:r>
        <w:rPr>
          <w:rFonts w:asciiTheme="majorHAnsi" w:hAnsiTheme="majorHAnsi"/>
          <w:lang w:val="en-US"/>
        </w:rPr>
        <w:tab/>
        <w:t>Actin 5 promoter/ Actin 5.1 plasmid</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PBD</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Peroxisome biogenesis disorder</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PCR</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Polymerase chain reaction</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PED</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Single peroxisomal enzyme deficiency</w:t>
      </w:r>
    </w:p>
    <w:p w:rsidR="000C26B2" w:rsidRPr="001C0EB2" w:rsidRDefault="000C26B2" w:rsidP="000C26B2">
      <w:pPr>
        <w:spacing w:line="276" w:lineRule="auto"/>
        <w:rPr>
          <w:rFonts w:asciiTheme="majorHAnsi" w:hAnsiTheme="majorHAnsi"/>
          <w:lang w:val="en-US"/>
        </w:rPr>
      </w:pPr>
      <w:proofErr w:type="gramStart"/>
      <w:r w:rsidRPr="001C0EB2">
        <w:rPr>
          <w:rFonts w:asciiTheme="majorHAnsi" w:hAnsiTheme="majorHAnsi"/>
          <w:lang w:val="en-US"/>
        </w:rPr>
        <w:t>pER</w:t>
      </w:r>
      <w:proofErr w:type="gramEnd"/>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peroxisomal ER</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PMP</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Peroxisomal membrane protein</w:t>
      </w:r>
    </w:p>
    <w:p w:rsidR="00661A7C" w:rsidRDefault="00661A7C" w:rsidP="000C26B2">
      <w:pPr>
        <w:spacing w:line="276" w:lineRule="auto"/>
        <w:rPr>
          <w:rFonts w:asciiTheme="majorHAnsi" w:hAnsiTheme="majorHAnsi"/>
          <w:lang w:val="en-US"/>
        </w:rPr>
      </w:pPr>
      <w:proofErr w:type="gramStart"/>
      <w:r>
        <w:rPr>
          <w:rFonts w:asciiTheme="majorHAnsi" w:hAnsiTheme="majorHAnsi"/>
          <w:lang w:val="en-US"/>
        </w:rPr>
        <w:t>pM</w:t>
      </w:r>
      <w:r w:rsidR="00F57D69">
        <w:rPr>
          <w:rFonts w:asciiTheme="majorHAnsi" w:hAnsiTheme="majorHAnsi"/>
          <w:lang w:val="en-US"/>
        </w:rPr>
        <w:t>t</w:t>
      </w:r>
      <w:proofErr w:type="gramEnd"/>
      <w:r>
        <w:rPr>
          <w:rFonts w:asciiTheme="majorHAnsi" w:hAnsiTheme="majorHAnsi"/>
          <w:lang w:val="en-US"/>
        </w:rPr>
        <w:tab/>
      </w:r>
      <w:r>
        <w:rPr>
          <w:rFonts w:asciiTheme="majorHAnsi" w:hAnsiTheme="majorHAnsi"/>
          <w:lang w:val="en-US"/>
        </w:rPr>
        <w:tab/>
      </w:r>
      <w:r>
        <w:rPr>
          <w:rFonts w:asciiTheme="majorHAnsi" w:hAnsiTheme="majorHAnsi"/>
          <w:lang w:val="en-US"/>
        </w:rPr>
        <w:tab/>
        <w:t>Metallothionein promoter</w:t>
      </w:r>
      <w:r w:rsidR="00F57D69">
        <w:rPr>
          <w:rFonts w:asciiTheme="majorHAnsi" w:hAnsiTheme="majorHAnsi"/>
          <w:lang w:val="en-US"/>
        </w:rPr>
        <w:t>/plasmid</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PTS</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Peroxisomal targeting signal</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RCDP</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Rhizomelic chondrodysplasia punctata</w:t>
      </w:r>
    </w:p>
    <w:p w:rsidR="000C26B2" w:rsidRPr="001A17FA" w:rsidRDefault="000C26B2" w:rsidP="000C26B2">
      <w:pPr>
        <w:spacing w:line="276" w:lineRule="auto"/>
        <w:rPr>
          <w:rFonts w:asciiTheme="majorHAnsi" w:hAnsiTheme="majorHAnsi"/>
        </w:rPr>
      </w:pPr>
      <w:r w:rsidRPr="001A17FA">
        <w:rPr>
          <w:rFonts w:asciiTheme="majorHAnsi" w:hAnsiTheme="majorHAnsi"/>
        </w:rPr>
        <w:t>RNAi</w:t>
      </w:r>
      <w:r w:rsidRPr="001A17FA">
        <w:rPr>
          <w:rFonts w:asciiTheme="majorHAnsi" w:hAnsiTheme="majorHAnsi"/>
        </w:rPr>
        <w:tab/>
      </w:r>
      <w:r w:rsidRPr="001A17FA">
        <w:rPr>
          <w:rFonts w:asciiTheme="majorHAnsi" w:hAnsiTheme="majorHAnsi"/>
        </w:rPr>
        <w:tab/>
      </w:r>
      <w:r w:rsidRPr="001A17FA">
        <w:rPr>
          <w:rFonts w:asciiTheme="majorHAnsi" w:hAnsiTheme="majorHAnsi"/>
        </w:rPr>
        <w:tab/>
      </w:r>
      <w:r w:rsidR="00227EC4" w:rsidRPr="001A17FA">
        <w:rPr>
          <w:rFonts w:asciiTheme="majorHAnsi" w:hAnsiTheme="majorHAnsi"/>
        </w:rPr>
        <w:t>interfering RNA</w:t>
      </w:r>
    </w:p>
    <w:p w:rsidR="000C26B2" w:rsidRPr="001A17FA" w:rsidRDefault="000C26B2" w:rsidP="000C26B2">
      <w:pPr>
        <w:spacing w:line="276" w:lineRule="auto"/>
        <w:rPr>
          <w:rFonts w:asciiTheme="majorHAnsi" w:hAnsiTheme="majorHAnsi"/>
        </w:rPr>
      </w:pPr>
      <w:r w:rsidRPr="001A17FA">
        <w:rPr>
          <w:rFonts w:asciiTheme="majorHAnsi" w:hAnsiTheme="majorHAnsi"/>
        </w:rPr>
        <w:lastRenderedPageBreak/>
        <w:t>RFP</w:t>
      </w:r>
      <w:r w:rsidRPr="001A17FA">
        <w:rPr>
          <w:rFonts w:asciiTheme="majorHAnsi" w:hAnsiTheme="majorHAnsi"/>
        </w:rPr>
        <w:tab/>
      </w:r>
      <w:r w:rsidRPr="001A17FA">
        <w:rPr>
          <w:rFonts w:asciiTheme="majorHAnsi" w:hAnsiTheme="majorHAnsi"/>
        </w:rPr>
        <w:tab/>
      </w:r>
      <w:r w:rsidRPr="001A17FA">
        <w:rPr>
          <w:rFonts w:asciiTheme="majorHAnsi" w:hAnsiTheme="majorHAnsi"/>
        </w:rPr>
        <w:tab/>
        <w:t>Red fluorescent protein</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ROS</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Reactive oxygen species</w:t>
      </w:r>
    </w:p>
    <w:p w:rsidR="000C26B2" w:rsidRPr="001C0EB2" w:rsidRDefault="006C771D" w:rsidP="000C26B2">
      <w:pPr>
        <w:spacing w:line="276" w:lineRule="auto"/>
        <w:rPr>
          <w:rFonts w:asciiTheme="majorHAnsi" w:hAnsiTheme="majorHAnsi" w:cs="Arial"/>
          <w:szCs w:val="32"/>
          <w:lang w:val="en-US"/>
        </w:rPr>
      </w:pPr>
      <w:r w:rsidRPr="001C0EB2">
        <w:rPr>
          <w:rFonts w:asciiTheme="majorHAnsi" w:hAnsiTheme="majorHAnsi" w:cs="Arial"/>
          <w:i/>
          <w:szCs w:val="32"/>
          <w:lang w:val="en-US"/>
        </w:rPr>
        <w:t>S.</w:t>
      </w:r>
      <w:r>
        <w:rPr>
          <w:rFonts w:asciiTheme="majorHAnsi" w:hAnsiTheme="majorHAnsi" w:cs="Arial"/>
          <w:i/>
          <w:szCs w:val="32"/>
          <w:lang w:val="en-US"/>
        </w:rPr>
        <w:t xml:space="preserve"> </w:t>
      </w:r>
      <w:r w:rsidRPr="001C0EB2">
        <w:rPr>
          <w:rFonts w:asciiTheme="majorHAnsi" w:hAnsiTheme="majorHAnsi" w:cs="Arial"/>
          <w:i/>
          <w:szCs w:val="32"/>
          <w:lang w:val="en-US"/>
        </w:rPr>
        <w:t>cerevisiae</w:t>
      </w:r>
      <w:r w:rsidR="000C26B2" w:rsidRPr="001C0EB2">
        <w:rPr>
          <w:rFonts w:asciiTheme="majorHAnsi" w:hAnsiTheme="majorHAnsi" w:cs="Arial"/>
          <w:i/>
          <w:szCs w:val="32"/>
          <w:lang w:val="en-US"/>
        </w:rPr>
        <w:tab/>
      </w:r>
      <w:r w:rsidR="000C26B2" w:rsidRPr="001C0EB2">
        <w:rPr>
          <w:rFonts w:asciiTheme="majorHAnsi" w:hAnsiTheme="majorHAnsi" w:cs="Arial"/>
          <w:i/>
          <w:szCs w:val="32"/>
          <w:lang w:val="en-US"/>
        </w:rPr>
        <w:tab/>
        <w:t>Saccharomyces cerevisiae</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SDS</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 xml:space="preserve">Sodium </w:t>
      </w:r>
      <w:r w:rsidR="006C771D" w:rsidRPr="001C0EB2">
        <w:rPr>
          <w:rFonts w:asciiTheme="majorHAnsi" w:hAnsiTheme="majorHAnsi"/>
          <w:lang w:val="en-US"/>
        </w:rPr>
        <w:t>codicil</w:t>
      </w:r>
      <w:r w:rsidRPr="001C0EB2">
        <w:rPr>
          <w:rFonts w:asciiTheme="majorHAnsi" w:hAnsiTheme="majorHAnsi"/>
          <w:lang w:val="en-US"/>
        </w:rPr>
        <w:t xml:space="preserve"> sulphate</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SDS-PAGE</w:t>
      </w:r>
      <w:r w:rsidRPr="001C0EB2">
        <w:rPr>
          <w:rFonts w:asciiTheme="majorHAnsi" w:hAnsiTheme="majorHAnsi"/>
          <w:lang w:val="en-US"/>
        </w:rPr>
        <w:tab/>
      </w:r>
      <w:r w:rsidRPr="001C0EB2">
        <w:rPr>
          <w:rFonts w:asciiTheme="majorHAnsi" w:hAnsiTheme="majorHAnsi"/>
          <w:lang w:val="en-US"/>
        </w:rPr>
        <w:tab/>
        <w:t>Sodium dodecyl sulphate-polyacrylamide gel electrophoresis</w:t>
      </w:r>
    </w:p>
    <w:p w:rsidR="000C26B2" w:rsidRPr="001C0EB2" w:rsidRDefault="000C26B2" w:rsidP="000C26B2">
      <w:pPr>
        <w:spacing w:line="276" w:lineRule="auto"/>
        <w:rPr>
          <w:rFonts w:asciiTheme="majorHAnsi" w:hAnsiTheme="majorHAnsi"/>
          <w:lang w:val="en-US"/>
        </w:rPr>
      </w:pPr>
      <w:proofErr w:type="gramStart"/>
      <w:r w:rsidRPr="001C0EB2">
        <w:rPr>
          <w:rFonts w:asciiTheme="majorHAnsi" w:hAnsiTheme="majorHAnsi"/>
          <w:lang w:val="en-US"/>
        </w:rPr>
        <w:t>siRNA</w:t>
      </w:r>
      <w:proofErr w:type="gramEnd"/>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small inhibitory Ribonucleic Acid</w:t>
      </w:r>
    </w:p>
    <w:p w:rsidR="000C26B2" w:rsidRPr="001C0EB2" w:rsidRDefault="000C26B2" w:rsidP="000C26B2">
      <w:pPr>
        <w:spacing w:line="276" w:lineRule="auto"/>
        <w:rPr>
          <w:rFonts w:asciiTheme="majorHAnsi" w:hAnsiTheme="majorHAnsi"/>
          <w:lang w:val="en-US"/>
        </w:rPr>
      </w:pPr>
      <w:proofErr w:type="gramStart"/>
      <w:r w:rsidRPr="001C0EB2">
        <w:rPr>
          <w:rFonts w:asciiTheme="majorHAnsi" w:hAnsiTheme="majorHAnsi"/>
          <w:lang w:val="en-US"/>
        </w:rPr>
        <w:t>ssRNA</w:t>
      </w:r>
      <w:proofErr w:type="gramEnd"/>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single-stranded Ribonucleic Acid</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TEMED</w:t>
      </w:r>
      <w:r w:rsidRPr="001C0EB2">
        <w:rPr>
          <w:rFonts w:asciiTheme="majorHAnsi" w:hAnsiTheme="majorHAnsi"/>
          <w:lang w:val="en-US"/>
        </w:rPr>
        <w:tab/>
      </w:r>
      <w:r w:rsidRPr="001C0EB2">
        <w:rPr>
          <w:rFonts w:asciiTheme="majorHAnsi" w:hAnsiTheme="majorHAnsi"/>
          <w:lang w:val="en-US"/>
        </w:rPr>
        <w:tab/>
      </w:r>
      <w:r w:rsidR="00764ABA">
        <w:rPr>
          <w:rFonts w:asciiTheme="majorHAnsi" w:hAnsiTheme="majorHAnsi"/>
          <w:lang w:val="en-US"/>
        </w:rPr>
        <w:tab/>
        <w:t xml:space="preserve">N, </w:t>
      </w:r>
      <w:r w:rsidRPr="001C0EB2">
        <w:rPr>
          <w:rFonts w:asciiTheme="majorHAnsi" w:hAnsiTheme="majorHAnsi"/>
          <w:lang w:val="en-US"/>
        </w:rPr>
        <w:t>N, N, N-Tetramethyleth</w:t>
      </w:r>
      <w:r w:rsidR="00115B33">
        <w:rPr>
          <w:rFonts w:asciiTheme="majorHAnsi" w:hAnsiTheme="majorHAnsi"/>
          <w:lang w:val="en-US"/>
        </w:rPr>
        <w:t>y</w:t>
      </w:r>
      <w:r w:rsidRPr="001C0EB2">
        <w:rPr>
          <w:rFonts w:asciiTheme="majorHAnsi" w:hAnsiTheme="majorHAnsi"/>
          <w:lang w:val="en-US"/>
        </w:rPr>
        <w:t>lenediamine</w:t>
      </w:r>
    </w:p>
    <w:p w:rsidR="00764ABA" w:rsidRDefault="00764ABA" w:rsidP="000C26B2">
      <w:pPr>
        <w:spacing w:line="276" w:lineRule="auto"/>
        <w:rPr>
          <w:rFonts w:asciiTheme="majorHAnsi" w:hAnsiTheme="majorHAnsi"/>
          <w:lang w:val="en-US"/>
        </w:rPr>
      </w:pPr>
      <w:r>
        <w:rPr>
          <w:rFonts w:asciiTheme="majorHAnsi" w:hAnsiTheme="majorHAnsi"/>
          <w:lang w:val="en-US"/>
        </w:rPr>
        <w:t>UAS</w:t>
      </w:r>
      <w:r w:rsidR="00264968" w:rsidRPr="00264968">
        <w:rPr>
          <w:rFonts w:asciiTheme="majorHAnsi" w:hAnsiTheme="majorHAnsi"/>
          <w:lang w:val="en-US"/>
        </w:rPr>
        <w:t xml:space="preserve"> </w:t>
      </w:r>
      <w:r w:rsidR="00264968">
        <w:rPr>
          <w:rFonts w:asciiTheme="majorHAnsi" w:hAnsiTheme="majorHAnsi"/>
          <w:lang w:val="en-US"/>
        </w:rPr>
        <w:tab/>
      </w:r>
      <w:r w:rsidR="00264968">
        <w:rPr>
          <w:rFonts w:asciiTheme="majorHAnsi" w:hAnsiTheme="majorHAnsi"/>
          <w:lang w:val="en-US"/>
        </w:rPr>
        <w:tab/>
      </w:r>
      <w:r w:rsidR="00264968">
        <w:rPr>
          <w:rFonts w:asciiTheme="majorHAnsi" w:hAnsiTheme="majorHAnsi"/>
          <w:lang w:val="en-US"/>
        </w:rPr>
        <w:tab/>
      </w:r>
      <w:r w:rsidR="00264968" w:rsidRPr="001C0EB2">
        <w:rPr>
          <w:rFonts w:asciiTheme="majorHAnsi" w:hAnsiTheme="majorHAnsi"/>
          <w:lang w:val="en-US"/>
        </w:rPr>
        <w:t>upstream activation signal</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UASG</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GAL upstream activation signal</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YFP</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Yellow fluorescent protein</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WB</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Woronin body</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WSC</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Woronin sorting complex</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WT</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Wild type</w:t>
      </w:r>
    </w:p>
    <w:p w:rsidR="000C26B2" w:rsidRPr="001C0EB2" w:rsidRDefault="000C26B2" w:rsidP="000C26B2">
      <w:pPr>
        <w:spacing w:line="276" w:lineRule="auto"/>
        <w:rPr>
          <w:rFonts w:asciiTheme="majorHAnsi" w:hAnsiTheme="majorHAnsi"/>
          <w:szCs w:val="32"/>
          <w:lang w:val="en-US"/>
        </w:rPr>
      </w:pPr>
      <w:r w:rsidRPr="001C0EB2">
        <w:rPr>
          <w:rFonts w:asciiTheme="majorHAnsi" w:hAnsiTheme="majorHAnsi"/>
          <w:szCs w:val="32"/>
          <w:lang w:val="en-US"/>
        </w:rPr>
        <w:t>X-gal</w:t>
      </w:r>
      <w:r w:rsidRPr="001C0EB2">
        <w:rPr>
          <w:rFonts w:asciiTheme="majorHAnsi" w:hAnsiTheme="majorHAnsi"/>
          <w:szCs w:val="32"/>
          <w:lang w:val="en-US"/>
        </w:rPr>
        <w:tab/>
      </w:r>
      <w:r w:rsidRPr="001C0EB2">
        <w:rPr>
          <w:rFonts w:asciiTheme="majorHAnsi" w:hAnsiTheme="majorHAnsi"/>
          <w:szCs w:val="32"/>
          <w:lang w:val="en-US"/>
        </w:rPr>
        <w:tab/>
      </w:r>
      <w:r w:rsidRPr="001C0EB2">
        <w:rPr>
          <w:rFonts w:asciiTheme="majorHAnsi" w:hAnsiTheme="majorHAnsi"/>
          <w:szCs w:val="32"/>
          <w:lang w:val="en-US"/>
        </w:rPr>
        <w:tab/>
      </w:r>
      <w:r w:rsidRPr="001C0EB2">
        <w:rPr>
          <w:rFonts w:asciiTheme="majorHAnsi" w:hAnsiTheme="majorHAnsi"/>
          <w:lang w:val="en-US"/>
        </w:rPr>
        <w:t>5-Bromo-4-chloro-3-inolyl-</w:t>
      </w:r>
      <w:r w:rsidRPr="001C0EB2">
        <w:rPr>
          <w:rFonts w:asciiTheme="majorHAnsi" w:hAnsiTheme="majorHAnsi"/>
        </w:rPr>
        <w:sym w:font="Symbol" w:char="F062"/>
      </w:r>
      <w:r w:rsidRPr="001C0EB2">
        <w:rPr>
          <w:rFonts w:asciiTheme="majorHAnsi" w:hAnsiTheme="majorHAnsi"/>
          <w:lang w:val="en-US"/>
        </w:rPr>
        <w:t>-D-galactosidase</w:t>
      </w:r>
    </w:p>
    <w:p w:rsidR="000C26B2" w:rsidRPr="001C0EB2" w:rsidRDefault="000C26B2" w:rsidP="000C26B2">
      <w:pPr>
        <w:spacing w:line="276" w:lineRule="auto"/>
        <w:rPr>
          <w:rFonts w:asciiTheme="majorHAnsi" w:hAnsiTheme="majorHAnsi"/>
          <w:lang w:val="en-US"/>
        </w:rPr>
      </w:pPr>
      <w:r w:rsidRPr="001C0EB2">
        <w:rPr>
          <w:rFonts w:asciiTheme="majorHAnsi" w:hAnsiTheme="majorHAnsi"/>
          <w:lang w:val="en-US"/>
        </w:rPr>
        <w:t>ZS</w:t>
      </w:r>
      <w:r w:rsidRPr="001C0EB2">
        <w:rPr>
          <w:rFonts w:asciiTheme="majorHAnsi" w:hAnsiTheme="majorHAnsi"/>
          <w:lang w:val="en-US"/>
        </w:rPr>
        <w:tab/>
      </w:r>
      <w:r w:rsidRPr="001C0EB2">
        <w:rPr>
          <w:rFonts w:asciiTheme="majorHAnsi" w:hAnsiTheme="majorHAnsi"/>
          <w:lang w:val="en-US"/>
        </w:rPr>
        <w:tab/>
      </w:r>
      <w:r w:rsidRPr="001C0EB2">
        <w:rPr>
          <w:rFonts w:asciiTheme="majorHAnsi" w:hAnsiTheme="majorHAnsi"/>
          <w:lang w:val="en-US"/>
        </w:rPr>
        <w:tab/>
        <w:t>Zellweger syndrome</w:t>
      </w:r>
    </w:p>
    <w:p w:rsidR="000C26B2" w:rsidRPr="001C0EB2" w:rsidRDefault="000C26B2" w:rsidP="000C26B2">
      <w:pPr>
        <w:spacing w:line="276" w:lineRule="auto"/>
        <w:rPr>
          <w:rFonts w:asciiTheme="majorHAnsi" w:hAnsiTheme="majorHAnsi"/>
          <w:i/>
          <w:lang w:val="en-US"/>
        </w:rPr>
      </w:pPr>
      <w:r w:rsidRPr="001C0EB2">
        <w:rPr>
          <w:rFonts w:asciiTheme="majorHAnsi" w:hAnsiTheme="majorHAnsi"/>
          <w:i/>
          <w:lang w:val="en-US"/>
        </w:rPr>
        <w:t>Y.lipolytica</w:t>
      </w:r>
      <w:r w:rsidRPr="001C0EB2">
        <w:rPr>
          <w:rFonts w:asciiTheme="majorHAnsi" w:hAnsiTheme="majorHAnsi"/>
          <w:i/>
          <w:lang w:val="en-US"/>
        </w:rPr>
        <w:tab/>
      </w:r>
      <w:r w:rsidRPr="001C0EB2">
        <w:rPr>
          <w:rFonts w:asciiTheme="majorHAnsi" w:hAnsiTheme="majorHAnsi"/>
          <w:i/>
          <w:lang w:val="en-US"/>
        </w:rPr>
        <w:tab/>
        <w:t>Yarrowia lioplytica</w:t>
      </w:r>
    </w:p>
    <w:p w:rsidR="00AC0519" w:rsidRDefault="00AC0519" w:rsidP="000C26B2">
      <w:pPr>
        <w:spacing w:line="276" w:lineRule="auto"/>
        <w:jc w:val="center"/>
        <w:rPr>
          <w:rFonts w:asciiTheme="majorHAnsi" w:hAnsiTheme="majorHAnsi"/>
          <w:b/>
        </w:rPr>
      </w:pPr>
    </w:p>
    <w:p w:rsidR="00AC0519" w:rsidRDefault="00AC0519" w:rsidP="000C26B2">
      <w:pPr>
        <w:spacing w:line="276" w:lineRule="auto"/>
        <w:jc w:val="center"/>
        <w:rPr>
          <w:rFonts w:asciiTheme="majorHAnsi" w:hAnsiTheme="majorHAnsi"/>
          <w:b/>
        </w:rPr>
      </w:pPr>
    </w:p>
    <w:p w:rsidR="00AC0519" w:rsidRDefault="00AC0519" w:rsidP="000C26B2">
      <w:pPr>
        <w:spacing w:line="276" w:lineRule="auto"/>
        <w:jc w:val="center"/>
        <w:rPr>
          <w:rFonts w:asciiTheme="majorHAnsi" w:hAnsiTheme="majorHAnsi"/>
          <w:b/>
        </w:rPr>
      </w:pPr>
    </w:p>
    <w:p w:rsidR="00AC0519" w:rsidRDefault="00AC0519" w:rsidP="000C26B2">
      <w:pPr>
        <w:spacing w:line="276" w:lineRule="auto"/>
        <w:jc w:val="center"/>
        <w:rPr>
          <w:rFonts w:asciiTheme="majorHAnsi" w:hAnsiTheme="majorHAnsi"/>
          <w:b/>
        </w:rPr>
      </w:pPr>
    </w:p>
    <w:p w:rsidR="00E62E54" w:rsidRDefault="00E62E54" w:rsidP="000C26B2">
      <w:pPr>
        <w:spacing w:line="276" w:lineRule="auto"/>
        <w:jc w:val="center"/>
        <w:rPr>
          <w:rFonts w:asciiTheme="majorHAnsi" w:hAnsiTheme="majorHAnsi"/>
          <w:b/>
        </w:rPr>
      </w:pPr>
    </w:p>
    <w:p w:rsidR="00E62E54" w:rsidRDefault="00E62E54" w:rsidP="000C26B2">
      <w:pPr>
        <w:spacing w:line="276" w:lineRule="auto"/>
        <w:jc w:val="center"/>
        <w:rPr>
          <w:rFonts w:asciiTheme="majorHAnsi" w:hAnsiTheme="majorHAnsi"/>
          <w:b/>
        </w:rPr>
      </w:pPr>
    </w:p>
    <w:p w:rsidR="00E62E54" w:rsidRDefault="00E62E54" w:rsidP="000C26B2">
      <w:pPr>
        <w:spacing w:line="276" w:lineRule="auto"/>
        <w:jc w:val="center"/>
        <w:rPr>
          <w:rFonts w:asciiTheme="majorHAnsi" w:hAnsiTheme="majorHAnsi"/>
          <w:b/>
        </w:rPr>
      </w:pPr>
    </w:p>
    <w:p w:rsidR="00E62E54" w:rsidRDefault="00E62E54" w:rsidP="000C26B2">
      <w:pPr>
        <w:spacing w:line="276" w:lineRule="auto"/>
        <w:jc w:val="center"/>
        <w:rPr>
          <w:rFonts w:asciiTheme="majorHAnsi" w:hAnsiTheme="majorHAnsi"/>
          <w:b/>
        </w:rPr>
      </w:pPr>
    </w:p>
    <w:p w:rsidR="00E62E54" w:rsidRDefault="00E62E54" w:rsidP="000C26B2">
      <w:pPr>
        <w:spacing w:line="276" w:lineRule="auto"/>
        <w:jc w:val="center"/>
        <w:rPr>
          <w:rFonts w:asciiTheme="majorHAnsi" w:hAnsiTheme="majorHAnsi"/>
          <w:b/>
        </w:rPr>
      </w:pPr>
    </w:p>
    <w:p w:rsidR="00AC0519" w:rsidRDefault="00AC0519" w:rsidP="000C26B2">
      <w:pPr>
        <w:spacing w:line="276" w:lineRule="auto"/>
        <w:jc w:val="center"/>
        <w:rPr>
          <w:rFonts w:asciiTheme="majorHAnsi" w:hAnsiTheme="majorHAnsi"/>
          <w:b/>
        </w:rPr>
      </w:pPr>
    </w:p>
    <w:p w:rsidR="00AC0519" w:rsidRDefault="00AC0519" w:rsidP="000C26B2">
      <w:pPr>
        <w:spacing w:line="276" w:lineRule="auto"/>
        <w:jc w:val="center"/>
        <w:rPr>
          <w:rFonts w:asciiTheme="majorHAnsi" w:hAnsiTheme="majorHAnsi"/>
          <w:b/>
        </w:rPr>
      </w:pPr>
    </w:p>
    <w:p w:rsidR="000C26B2" w:rsidRPr="00D00B71" w:rsidRDefault="000C26B2" w:rsidP="000C26B2">
      <w:pPr>
        <w:spacing w:line="276" w:lineRule="auto"/>
        <w:jc w:val="center"/>
        <w:rPr>
          <w:rFonts w:asciiTheme="majorHAnsi" w:hAnsiTheme="majorHAnsi"/>
          <w:b/>
        </w:rPr>
      </w:pPr>
      <w:r w:rsidRPr="00D00B71">
        <w:rPr>
          <w:rFonts w:asciiTheme="majorHAnsi" w:hAnsiTheme="majorHAnsi"/>
          <w:b/>
        </w:rPr>
        <w:lastRenderedPageBreak/>
        <w:t>List of Figures</w:t>
      </w:r>
    </w:p>
    <w:p w:rsidR="000C26B2" w:rsidRPr="00D00B71" w:rsidRDefault="000C26B2" w:rsidP="000C26B2">
      <w:pPr>
        <w:spacing w:line="276" w:lineRule="auto"/>
        <w:jc w:val="both"/>
        <w:rPr>
          <w:rFonts w:asciiTheme="majorHAnsi" w:hAnsiTheme="majorHAnsi"/>
          <w:b/>
        </w:rPr>
      </w:pPr>
      <w:proofErr w:type="gramStart"/>
      <w:r w:rsidRPr="00D00B71">
        <w:rPr>
          <w:rFonts w:asciiTheme="majorHAnsi" w:hAnsiTheme="majorHAnsi"/>
          <w:b/>
        </w:rPr>
        <w:t>Figure 1.1.</w:t>
      </w:r>
      <w:proofErr w:type="gramEnd"/>
      <w:r w:rsidRPr="00D00B71">
        <w:rPr>
          <w:rFonts w:asciiTheme="majorHAnsi" w:hAnsiTheme="majorHAnsi"/>
          <w:b/>
        </w:rPr>
        <w:t xml:space="preserve"> </w:t>
      </w:r>
      <w:r w:rsidR="00B83D9B">
        <w:rPr>
          <w:rFonts w:asciiTheme="majorHAnsi" w:hAnsiTheme="majorHAnsi"/>
        </w:rPr>
        <w:t>Proposed models of peroxisome formation</w:t>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B83D9B">
        <w:rPr>
          <w:rFonts w:asciiTheme="majorHAnsi" w:hAnsiTheme="majorHAnsi"/>
        </w:rPr>
        <w:t>10</w:t>
      </w:r>
    </w:p>
    <w:p w:rsidR="000C26B2" w:rsidRPr="00D00B71" w:rsidRDefault="000C26B2" w:rsidP="000C26B2">
      <w:pPr>
        <w:spacing w:after="120" w:line="276" w:lineRule="auto"/>
        <w:rPr>
          <w:rFonts w:asciiTheme="majorHAnsi" w:hAnsiTheme="majorHAnsi"/>
          <w:b/>
        </w:rPr>
      </w:pPr>
      <w:proofErr w:type="gramStart"/>
      <w:r w:rsidRPr="00D00B71">
        <w:rPr>
          <w:rFonts w:asciiTheme="majorHAnsi" w:hAnsiTheme="majorHAnsi"/>
          <w:b/>
        </w:rPr>
        <w:t>Figure 1.2.</w:t>
      </w:r>
      <w:proofErr w:type="gramEnd"/>
      <w:r w:rsidRPr="00D00B71">
        <w:rPr>
          <w:rFonts w:asciiTheme="majorHAnsi" w:hAnsiTheme="majorHAnsi"/>
          <w:b/>
        </w:rPr>
        <w:t xml:space="preserve"> </w:t>
      </w:r>
      <w:proofErr w:type="gramStart"/>
      <w:r w:rsidR="00EA0E71" w:rsidRPr="00EA0E71">
        <w:rPr>
          <w:rFonts w:asciiTheme="majorHAnsi" w:hAnsiTheme="majorHAnsi"/>
        </w:rPr>
        <w:t xml:space="preserve">A Schematic diagram showing peroxin biogenesis in </w:t>
      </w:r>
      <w:r w:rsidR="00EA0E71" w:rsidRPr="00EA0E71">
        <w:rPr>
          <w:rFonts w:asciiTheme="majorHAnsi" w:hAnsiTheme="majorHAnsi"/>
          <w:i/>
        </w:rPr>
        <w:t>S. cerevisiae</w:t>
      </w:r>
      <w:r w:rsidR="00EA0E71" w:rsidRPr="00EA0E71">
        <w:rPr>
          <w:rFonts w:asciiTheme="majorHAnsi" w:hAnsiTheme="majorHAnsi"/>
        </w:rPr>
        <w:t xml:space="preserve"> and </w:t>
      </w:r>
      <w:r w:rsidR="00EA0E71" w:rsidRPr="00EA0E71">
        <w:rPr>
          <w:rFonts w:asciiTheme="majorHAnsi" w:hAnsiTheme="majorHAnsi"/>
          <w:i/>
        </w:rPr>
        <w:t>Metazoa</w:t>
      </w:r>
      <w:r w:rsidR="00EA0E71">
        <w:rPr>
          <w:rFonts w:asciiTheme="majorHAnsi" w:hAnsiTheme="majorHAnsi"/>
        </w:rPr>
        <w:t>.</w:t>
      </w:r>
      <w:proofErr w:type="gramEnd"/>
      <w:r>
        <w:rPr>
          <w:rFonts w:asciiTheme="majorHAnsi" w:hAnsiTheme="majorHAnsi"/>
        </w:rPr>
        <w:tab/>
      </w:r>
      <w:r>
        <w:rPr>
          <w:rFonts w:asciiTheme="majorHAnsi" w:hAnsiTheme="majorHAnsi"/>
        </w:rPr>
        <w:tab/>
      </w:r>
      <w:r w:rsidRPr="00D00B71">
        <w:rPr>
          <w:rFonts w:asciiTheme="majorHAnsi" w:hAnsiTheme="majorHAnsi"/>
        </w:rPr>
        <w:tab/>
      </w:r>
      <w:r w:rsidR="00EA0E71">
        <w:rPr>
          <w:rFonts w:asciiTheme="majorHAnsi" w:hAnsiTheme="majorHAnsi"/>
        </w:rPr>
        <w:tab/>
      </w:r>
      <w:r w:rsidR="00EA0E71">
        <w:rPr>
          <w:rFonts w:asciiTheme="majorHAnsi" w:hAnsiTheme="majorHAnsi"/>
        </w:rPr>
        <w:tab/>
      </w:r>
      <w:r w:rsidR="00EA0E71">
        <w:rPr>
          <w:rFonts w:asciiTheme="majorHAnsi" w:hAnsiTheme="majorHAnsi"/>
        </w:rPr>
        <w:tab/>
      </w:r>
      <w:r w:rsidR="00EA0E71">
        <w:rPr>
          <w:rFonts w:asciiTheme="majorHAnsi" w:hAnsiTheme="majorHAnsi"/>
        </w:rPr>
        <w:tab/>
      </w:r>
      <w:r w:rsidR="00EA0E71">
        <w:rPr>
          <w:rFonts w:asciiTheme="majorHAnsi" w:hAnsiTheme="majorHAnsi"/>
        </w:rPr>
        <w:tab/>
      </w:r>
      <w:r w:rsidR="00EA0E71">
        <w:rPr>
          <w:rFonts w:asciiTheme="majorHAnsi" w:hAnsiTheme="majorHAnsi"/>
        </w:rPr>
        <w:tab/>
        <w:t xml:space="preserve"> </w:t>
      </w:r>
      <w:r w:rsidR="00F616FC">
        <w:rPr>
          <w:rFonts w:asciiTheme="majorHAnsi" w:hAnsiTheme="majorHAnsi"/>
        </w:rPr>
        <w:t>13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1.3.</w:t>
      </w:r>
      <w:proofErr w:type="gramEnd"/>
      <w:r w:rsidRPr="00D00B71">
        <w:rPr>
          <w:rFonts w:asciiTheme="majorHAnsi" w:hAnsiTheme="majorHAnsi"/>
          <w:b/>
        </w:rPr>
        <w:t xml:space="preserve"> </w:t>
      </w:r>
      <w:r w:rsidR="00F616FC" w:rsidRPr="00F616FC">
        <w:rPr>
          <w:rFonts w:asciiTheme="majorHAnsi" w:hAnsiTheme="majorHAnsi"/>
        </w:rPr>
        <w:t>A schematic diagram of Class I peroxin-mediated PTS1 matrix protein translocation</w:t>
      </w:r>
      <w:r w:rsidRPr="00D00B71">
        <w:rPr>
          <w:rFonts w:asciiTheme="majorHAnsi" w:hAnsiTheme="majorHAnsi"/>
          <w:b/>
          <w:i/>
        </w:rPr>
        <w:t>.</w:t>
      </w:r>
      <w:r w:rsidRPr="00D00B71">
        <w:rPr>
          <w:rFonts w:asciiTheme="majorHAnsi" w:hAnsiTheme="majorHAnsi"/>
          <w:b/>
        </w:rPr>
        <w:tab/>
      </w:r>
      <w:r>
        <w:rPr>
          <w:rFonts w:asciiTheme="majorHAnsi" w:hAnsiTheme="majorHAnsi"/>
          <w:b/>
        </w:rPr>
        <w:tab/>
      </w:r>
      <w:r>
        <w:rPr>
          <w:rFonts w:asciiTheme="majorHAnsi" w:hAnsiTheme="majorHAnsi"/>
          <w:b/>
        </w:rPr>
        <w:tab/>
      </w:r>
      <w:r>
        <w:rPr>
          <w:rFonts w:asciiTheme="majorHAnsi" w:hAnsiTheme="majorHAnsi"/>
          <w:b/>
        </w:rPr>
        <w:tab/>
      </w:r>
      <w:r>
        <w:rPr>
          <w:rFonts w:asciiTheme="majorHAnsi" w:hAnsiTheme="majorHAnsi"/>
          <w:b/>
        </w:rPr>
        <w:tab/>
      </w:r>
      <w:r>
        <w:rPr>
          <w:rFonts w:asciiTheme="majorHAnsi" w:hAnsiTheme="majorHAnsi"/>
          <w:b/>
        </w:rPr>
        <w:tab/>
      </w:r>
      <w:r>
        <w:rPr>
          <w:rFonts w:asciiTheme="majorHAnsi" w:hAnsiTheme="majorHAnsi"/>
          <w:b/>
        </w:rPr>
        <w:tab/>
      </w:r>
      <w:r>
        <w:rPr>
          <w:rFonts w:asciiTheme="majorHAnsi" w:hAnsiTheme="majorHAnsi"/>
          <w:b/>
        </w:rPr>
        <w:tab/>
      </w:r>
      <w:r>
        <w:rPr>
          <w:rFonts w:asciiTheme="majorHAnsi" w:hAnsiTheme="majorHAnsi"/>
          <w:b/>
        </w:rPr>
        <w:tab/>
      </w:r>
      <w:r w:rsidR="00CE7478">
        <w:rPr>
          <w:rFonts w:asciiTheme="majorHAnsi" w:hAnsiTheme="majorHAnsi"/>
        </w:rPr>
        <w:t>18</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2.1</w:t>
      </w:r>
      <w:r w:rsidRPr="007B2309">
        <w:rPr>
          <w:rFonts w:asciiTheme="majorHAnsi" w:hAnsiTheme="majorHAnsi"/>
        </w:rPr>
        <w:t>.</w:t>
      </w:r>
      <w:proofErr w:type="gramEnd"/>
      <w:r w:rsidRPr="007B2309">
        <w:rPr>
          <w:rFonts w:asciiTheme="majorHAnsi" w:hAnsiTheme="majorHAnsi"/>
        </w:rPr>
        <w:t xml:space="preserve"> </w:t>
      </w:r>
      <w:proofErr w:type="gramStart"/>
      <w:r w:rsidR="007B2309">
        <w:rPr>
          <w:rFonts w:asciiTheme="majorHAnsi" w:hAnsiTheme="majorHAnsi"/>
        </w:rPr>
        <w:t xml:space="preserve">The </w:t>
      </w:r>
      <w:r w:rsidR="007B2309" w:rsidRPr="007B2309">
        <w:rPr>
          <w:rFonts w:asciiTheme="majorHAnsi" w:hAnsiTheme="majorHAnsi"/>
        </w:rPr>
        <w:t>plasmid map of pMt/V5-HisA</w:t>
      </w:r>
      <w:r w:rsidRPr="00D00B71">
        <w:rPr>
          <w:rFonts w:asciiTheme="majorHAnsi" w:hAnsiTheme="majorHAnsi"/>
          <w:b/>
        </w:rPr>
        <w:t>.</w:t>
      </w:r>
      <w:proofErr w:type="gramEnd"/>
      <w:r w:rsidRPr="00D00B71">
        <w:rPr>
          <w:rFonts w:asciiTheme="majorHAnsi" w:hAnsiTheme="majorHAnsi"/>
          <w:b/>
        </w:rPr>
        <w:t xml:space="preserve">  </w:t>
      </w:r>
      <w:r w:rsidRPr="00D00B71">
        <w:rPr>
          <w:rFonts w:asciiTheme="majorHAnsi" w:hAnsiTheme="majorHAnsi"/>
          <w:b/>
        </w:rPr>
        <w:tab/>
      </w:r>
      <w:r>
        <w:rPr>
          <w:rFonts w:asciiTheme="majorHAnsi" w:hAnsiTheme="majorHAnsi"/>
          <w:b/>
        </w:rPr>
        <w:tab/>
      </w:r>
      <w:r>
        <w:rPr>
          <w:rFonts w:asciiTheme="majorHAnsi" w:hAnsiTheme="majorHAnsi"/>
          <w:b/>
        </w:rPr>
        <w:tab/>
      </w:r>
      <w:r>
        <w:rPr>
          <w:rFonts w:asciiTheme="majorHAnsi" w:hAnsiTheme="majorHAnsi"/>
          <w:b/>
        </w:rPr>
        <w:tab/>
      </w:r>
      <w:r w:rsidR="007B2309">
        <w:rPr>
          <w:rFonts w:asciiTheme="majorHAnsi" w:hAnsiTheme="majorHAnsi"/>
        </w:rPr>
        <w:t>29</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2.2.</w:t>
      </w:r>
      <w:proofErr w:type="gramEnd"/>
      <w:r w:rsidRPr="00D00B71">
        <w:rPr>
          <w:rFonts w:asciiTheme="majorHAnsi" w:hAnsiTheme="majorHAnsi"/>
          <w:b/>
        </w:rPr>
        <w:t xml:space="preserve"> </w:t>
      </w:r>
      <w:proofErr w:type="gramStart"/>
      <w:r w:rsidR="007B2309" w:rsidRPr="007B2309">
        <w:rPr>
          <w:rFonts w:asciiTheme="majorHAnsi" w:hAnsiTheme="majorHAnsi"/>
        </w:rPr>
        <w:t>The plasmid map for pAc5.1/V5-HisA</w:t>
      </w:r>
      <w:r w:rsidRPr="00D00B71">
        <w:rPr>
          <w:rFonts w:asciiTheme="majorHAnsi" w:hAnsiTheme="majorHAnsi"/>
        </w:rPr>
        <w:t>.</w:t>
      </w:r>
      <w:proofErr w:type="gramEnd"/>
      <w:r w:rsidRPr="00D00B71">
        <w:rPr>
          <w:rFonts w:asciiTheme="majorHAnsi" w:hAnsiTheme="majorHAnsi"/>
        </w:rPr>
        <w:tab/>
      </w:r>
      <w:r w:rsidRPr="00D00B71">
        <w:rPr>
          <w:rFonts w:asciiTheme="majorHAnsi" w:hAnsiTheme="majorHAnsi"/>
        </w:rPr>
        <w:tab/>
      </w:r>
      <w:r>
        <w:rPr>
          <w:rFonts w:asciiTheme="majorHAnsi" w:hAnsiTheme="majorHAnsi"/>
        </w:rPr>
        <w:tab/>
      </w:r>
      <w:r>
        <w:rPr>
          <w:rFonts w:asciiTheme="majorHAnsi" w:hAnsiTheme="majorHAnsi"/>
        </w:rPr>
        <w:tab/>
      </w:r>
      <w:r w:rsidR="007B2309">
        <w:rPr>
          <w:rFonts w:asciiTheme="majorHAnsi" w:hAnsiTheme="majorHAnsi"/>
        </w:rPr>
        <w:t>29</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2.3.</w:t>
      </w:r>
      <w:proofErr w:type="gramEnd"/>
      <w:r w:rsidRPr="00D00B71">
        <w:rPr>
          <w:rFonts w:asciiTheme="majorHAnsi" w:hAnsiTheme="majorHAnsi"/>
          <w:b/>
        </w:rPr>
        <w:t xml:space="preserve"> </w:t>
      </w:r>
      <w:proofErr w:type="gramStart"/>
      <w:r w:rsidR="007B2309" w:rsidRPr="007B2309">
        <w:rPr>
          <w:rFonts w:asciiTheme="majorHAnsi" w:hAnsiTheme="majorHAnsi"/>
        </w:rPr>
        <w:t>Multiple cloning site of the ycplac33 yeast expression vector</w:t>
      </w:r>
      <w:r w:rsidRPr="00D00B71">
        <w:rPr>
          <w:rFonts w:asciiTheme="majorHAnsi" w:hAnsiTheme="majorHAnsi"/>
        </w:rPr>
        <w:t>.</w:t>
      </w:r>
      <w:proofErr w:type="gramEnd"/>
      <w:r w:rsidRPr="00D00B71">
        <w:rPr>
          <w:rFonts w:asciiTheme="majorHAnsi" w:hAnsiTheme="majorHAnsi"/>
        </w:rPr>
        <w:tab/>
      </w:r>
      <w:r w:rsidR="00375EB5">
        <w:rPr>
          <w:rFonts w:asciiTheme="majorHAnsi" w:hAnsiTheme="majorHAnsi"/>
        </w:rPr>
        <w:t>33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2.4.</w:t>
      </w:r>
      <w:proofErr w:type="gramEnd"/>
      <w:r w:rsidRPr="00D00B71">
        <w:rPr>
          <w:rFonts w:asciiTheme="majorHAnsi" w:hAnsiTheme="majorHAnsi"/>
        </w:rPr>
        <w:t xml:space="preserve"> </w:t>
      </w:r>
      <w:proofErr w:type="gramStart"/>
      <w:r w:rsidR="00375EB5" w:rsidRPr="00375EB5">
        <w:rPr>
          <w:rFonts w:asciiTheme="majorHAnsi" w:hAnsiTheme="majorHAnsi"/>
        </w:rPr>
        <w:t>Stepwise cloning of the four shuttle vectors by homologous recombination</w:t>
      </w:r>
      <w:r w:rsidR="00375EB5">
        <w:rPr>
          <w:rFonts w:asciiTheme="majorHAnsi" w:hAnsiTheme="majorHAnsi"/>
        </w:rPr>
        <w:t xml:space="preserve"> in </w:t>
      </w:r>
      <w:r w:rsidR="00375EB5" w:rsidRPr="00375EB5">
        <w:rPr>
          <w:rFonts w:asciiTheme="majorHAnsi" w:hAnsiTheme="majorHAnsi"/>
          <w:i/>
        </w:rPr>
        <w:t>S. cerevisiae</w:t>
      </w:r>
      <w:r w:rsidRPr="00375EB5">
        <w:rPr>
          <w:rFonts w:asciiTheme="majorHAnsi" w:hAnsiTheme="majorHAnsi"/>
        </w:rPr>
        <w:t>.</w:t>
      </w:r>
      <w:proofErr w:type="gramEnd"/>
      <w:r w:rsidRPr="00D00B71">
        <w:rPr>
          <w:rFonts w:asciiTheme="majorHAnsi" w:hAnsiTheme="majorHAnsi"/>
        </w:rPr>
        <w:tab/>
      </w:r>
      <w:r w:rsidRPr="00D00B71">
        <w:rPr>
          <w:rFonts w:asciiTheme="majorHAnsi" w:hAnsiTheme="majorHAnsi"/>
        </w:rPr>
        <w:tab/>
      </w:r>
      <w:r>
        <w:rPr>
          <w:rFonts w:asciiTheme="majorHAnsi" w:hAnsiTheme="majorHAnsi"/>
        </w:rPr>
        <w:tab/>
      </w:r>
      <w:r w:rsidR="00375EB5">
        <w:rPr>
          <w:rFonts w:asciiTheme="majorHAnsi" w:hAnsiTheme="majorHAnsi"/>
        </w:rPr>
        <w:tab/>
      </w:r>
      <w:r w:rsidR="00375EB5">
        <w:rPr>
          <w:rFonts w:asciiTheme="majorHAnsi" w:hAnsiTheme="majorHAnsi"/>
        </w:rPr>
        <w:tab/>
      </w:r>
      <w:r w:rsidR="00375EB5">
        <w:rPr>
          <w:rFonts w:asciiTheme="majorHAnsi" w:hAnsiTheme="majorHAnsi"/>
        </w:rPr>
        <w:tab/>
      </w:r>
      <w:r w:rsidR="00375EB5">
        <w:rPr>
          <w:rFonts w:asciiTheme="majorHAnsi" w:hAnsiTheme="majorHAnsi"/>
        </w:rPr>
        <w:tab/>
      </w:r>
      <w:r w:rsidR="00375EB5">
        <w:rPr>
          <w:rFonts w:asciiTheme="majorHAnsi" w:hAnsiTheme="majorHAnsi"/>
        </w:rPr>
        <w:tab/>
      </w:r>
      <w:r w:rsidR="00375EB5">
        <w:rPr>
          <w:rFonts w:asciiTheme="majorHAnsi" w:hAnsiTheme="majorHAnsi"/>
        </w:rPr>
        <w:tab/>
        <w:t>33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2.5.</w:t>
      </w:r>
      <w:proofErr w:type="gramEnd"/>
      <w:r w:rsidRPr="00D00B71">
        <w:rPr>
          <w:rFonts w:asciiTheme="majorHAnsi" w:hAnsiTheme="majorHAnsi"/>
          <w:b/>
        </w:rPr>
        <w:t xml:space="preserve"> </w:t>
      </w:r>
      <w:proofErr w:type="gramStart"/>
      <w:r w:rsidR="00E03CD0" w:rsidRPr="00E03CD0">
        <w:rPr>
          <w:rFonts w:asciiTheme="majorHAnsi" w:hAnsiTheme="majorHAnsi"/>
        </w:rPr>
        <w:t>Homologous recombination in yeast expression vector ycplac33</w:t>
      </w:r>
      <w:r w:rsidRPr="00D00B71">
        <w:rPr>
          <w:rFonts w:asciiTheme="majorHAnsi" w:hAnsiTheme="majorHAnsi"/>
        </w:rPr>
        <w:t>.</w:t>
      </w:r>
      <w:proofErr w:type="gramEnd"/>
      <w:r w:rsidRPr="00D00B71">
        <w:rPr>
          <w:rFonts w:asciiTheme="majorHAnsi" w:hAnsiTheme="majorHAnsi"/>
        </w:rPr>
        <w:tab/>
        <w:t>3</w:t>
      </w:r>
      <w:r w:rsidR="00E03CD0">
        <w:rPr>
          <w:rFonts w:asciiTheme="majorHAnsi" w:hAnsiTheme="majorHAnsi"/>
        </w:rPr>
        <w:t>4</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2.6.</w:t>
      </w:r>
      <w:proofErr w:type="gramEnd"/>
      <w:r w:rsidRPr="00D00B71">
        <w:rPr>
          <w:rFonts w:asciiTheme="majorHAnsi" w:hAnsiTheme="majorHAnsi"/>
        </w:rPr>
        <w:t xml:space="preserve"> </w:t>
      </w:r>
      <w:r w:rsidR="00E03CD0" w:rsidRPr="00E03CD0">
        <w:rPr>
          <w:rFonts w:asciiTheme="majorHAnsi" w:hAnsiTheme="majorHAnsi"/>
        </w:rPr>
        <w:t>E-RNAi target-gene input</w:t>
      </w:r>
      <w:r w:rsidRPr="00D00B71">
        <w:rPr>
          <w:rFonts w:asciiTheme="majorHAnsi" w:hAnsiTheme="majorHAnsi"/>
        </w:rPr>
        <w:t>.</w:t>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Pr>
          <w:rFonts w:asciiTheme="majorHAnsi" w:hAnsiTheme="majorHAnsi"/>
        </w:rPr>
        <w:tab/>
      </w:r>
      <w:r w:rsidR="00E03CD0">
        <w:rPr>
          <w:rFonts w:asciiTheme="majorHAnsi" w:hAnsiTheme="majorHAnsi"/>
        </w:rPr>
        <w:t>41</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2.7.</w:t>
      </w:r>
      <w:proofErr w:type="gramEnd"/>
      <w:r w:rsidRPr="00D00B71">
        <w:rPr>
          <w:rFonts w:asciiTheme="majorHAnsi" w:hAnsiTheme="majorHAnsi"/>
          <w:b/>
        </w:rPr>
        <w:t xml:space="preserve"> </w:t>
      </w:r>
      <w:r w:rsidR="00280D02" w:rsidRPr="00280D02">
        <w:rPr>
          <w:rFonts w:asciiTheme="majorHAnsi" w:hAnsiTheme="majorHAnsi"/>
        </w:rPr>
        <w:t>E-RNAi GeneBrowse target selection</w:t>
      </w:r>
      <w:r w:rsidRPr="00D00B71">
        <w:rPr>
          <w:rFonts w:asciiTheme="majorHAnsi" w:hAnsiTheme="majorHAnsi"/>
        </w:rPr>
        <w:t>.</w:t>
      </w:r>
      <w:r w:rsidRPr="00D00B71">
        <w:rPr>
          <w:rFonts w:asciiTheme="majorHAnsi" w:hAnsiTheme="majorHAnsi"/>
        </w:rPr>
        <w:tab/>
      </w:r>
      <w:r w:rsidRPr="00D00B71">
        <w:rPr>
          <w:rFonts w:asciiTheme="majorHAnsi" w:hAnsiTheme="majorHAnsi"/>
        </w:rPr>
        <w:tab/>
      </w:r>
      <w:r w:rsidRPr="00D00B71">
        <w:rPr>
          <w:rFonts w:asciiTheme="majorHAnsi" w:hAnsiTheme="majorHAnsi"/>
        </w:rPr>
        <w:tab/>
      </w:r>
      <w:r>
        <w:rPr>
          <w:rFonts w:asciiTheme="majorHAnsi" w:hAnsiTheme="majorHAnsi"/>
        </w:rPr>
        <w:tab/>
      </w:r>
      <w:r w:rsidR="00280D02">
        <w:rPr>
          <w:rFonts w:asciiTheme="majorHAnsi" w:hAnsiTheme="majorHAnsi"/>
        </w:rPr>
        <w:t>42</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2.8.</w:t>
      </w:r>
      <w:proofErr w:type="gramEnd"/>
      <w:r w:rsidRPr="00D00B71">
        <w:rPr>
          <w:rFonts w:asciiTheme="majorHAnsi" w:hAnsiTheme="majorHAnsi"/>
        </w:rPr>
        <w:t xml:space="preserve"> </w:t>
      </w:r>
      <w:proofErr w:type="gramStart"/>
      <w:r w:rsidR="00280D02" w:rsidRPr="00280D02">
        <w:rPr>
          <w:rFonts w:asciiTheme="majorHAnsi" w:hAnsiTheme="majorHAnsi"/>
        </w:rPr>
        <w:t>E-RNAi reagent design</w:t>
      </w:r>
      <w:r w:rsidRPr="00D00B71">
        <w:rPr>
          <w:rFonts w:asciiTheme="majorHAnsi" w:hAnsiTheme="majorHAnsi"/>
        </w:rPr>
        <w:t>.</w:t>
      </w:r>
      <w:proofErr w:type="gramEnd"/>
      <w:r w:rsidRPr="00D00B71">
        <w:rPr>
          <w:rFonts w:asciiTheme="majorHAnsi" w:hAnsiTheme="majorHAnsi"/>
        </w:rPr>
        <w:tab/>
      </w:r>
      <w:r w:rsidR="00280D02">
        <w:rPr>
          <w:rFonts w:asciiTheme="majorHAnsi" w:hAnsiTheme="majorHAnsi"/>
        </w:rPr>
        <w:tab/>
      </w:r>
      <w:r w:rsidR="00280D02">
        <w:rPr>
          <w:rFonts w:asciiTheme="majorHAnsi" w:hAnsiTheme="majorHAnsi"/>
        </w:rPr>
        <w:tab/>
      </w:r>
      <w:r w:rsidRPr="00D00B71">
        <w:rPr>
          <w:rFonts w:asciiTheme="majorHAnsi" w:hAnsiTheme="majorHAnsi"/>
        </w:rPr>
        <w:tab/>
      </w:r>
      <w:r>
        <w:rPr>
          <w:rFonts w:asciiTheme="majorHAnsi" w:hAnsiTheme="majorHAnsi"/>
        </w:rPr>
        <w:tab/>
      </w:r>
      <w:r w:rsidR="006A531D">
        <w:rPr>
          <w:rFonts w:asciiTheme="majorHAnsi" w:hAnsiTheme="majorHAnsi"/>
        </w:rPr>
        <w:tab/>
      </w:r>
      <w:r w:rsidR="00280D02">
        <w:rPr>
          <w:rFonts w:asciiTheme="majorHAnsi" w:hAnsiTheme="majorHAnsi"/>
        </w:rPr>
        <w:t>42</w:t>
      </w:r>
    </w:p>
    <w:p w:rsidR="000C26B2" w:rsidRPr="00D00B71" w:rsidRDefault="00A47DBA" w:rsidP="000C26B2">
      <w:pPr>
        <w:spacing w:after="120" w:line="276" w:lineRule="auto"/>
        <w:rPr>
          <w:rFonts w:asciiTheme="majorHAnsi" w:hAnsiTheme="majorHAnsi"/>
        </w:rPr>
      </w:pPr>
      <w:proofErr w:type="gramStart"/>
      <w:r>
        <w:rPr>
          <w:rFonts w:asciiTheme="majorHAnsi" w:hAnsiTheme="majorHAnsi"/>
          <w:b/>
        </w:rPr>
        <w:t>Figure 2.9</w:t>
      </w:r>
      <w:r w:rsidR="000C26B2" w:rsidRPr="00D00B71">
        <w:rPr>
          <w:rFonts w:asciiTheme="majorHAnsi" w:hAnsiTheme="majorHAnsi"/>
          <w:b/>
        </w:rPr>
        <w:t>.</w:t>
      </w:r>
      <w:proofErr w:type="gramEnd"/>
      <w:r w:rsidR="000C26B2" w:rsidRPr="00D00B71">
        <w:rPr>
          <w:rFonts w:asciiTheme="majorHAnsi" w:hAnsiTheme="majorHAnsi"/>
          <w:b/>
        </w:rPr>
        <w:t xml:space="preserve"> </w:t>
      </w:r>
      <w:proofErr w:type="gramStart"/>
      <w:r w:rsidR="00280D02" w:rsidRPr="00280D02">
        <w:rPr>
          <w:rFonts w:asciiTheme="majorHAnsi" w:hAnsiTheme="majorHAnsi"/>
        </w:rPr>
        <w:t>E-RNAi primer design</w:t>
      </w:r>
      <w:r w:rsidR="000C26B2">
        <w:rPr>
          <w:rFonts w:asciiTheme="majorHAnsi" w:hAnsiTheme="majorHAnsi"/>
        </w:rPr>
        <w:t>.</w:t>
      </w:r>
      <w:proofErr w:type="gramEnd"/>
      <w:r w:rsidR="000C26B2">
        <w:rPr>
          <w:rFonts w:asciiTheme="majorHAnsi" w:hAnsiTheme="majorHAnsi"/>
        </w:rPr>
        <w:tab/>
      </w:r>
      <w:r w:rsidR="000C26B2">
        <w:rPr>
          <w:rFonts w:asciiTheme="majorHAnsi" w:hAnsiTheme="majorHAnsi"/>
        </w:rPr>
        <w:tab/>
      </w:r>
      <w:r w:rsidR="000C26B2">
        <w:rPr>
          <w:rFonts w:asciiTheme="majorHAnsi" w:hAnsiTheme="majorHAnsi"/>
        </w:rPr>
        <w:tab/>
      </w:r>
      <w:r w:rsidR="000C26B2">
        <w:rPr>
          <w:rFonts w:asciiTheme="majorHAnsi" w:hAnsiTheme="majorHAnsi"/>
        </w:rPr>
        <w:tab/>
      </w:r>
      <w:r w:rsidR="006A531D">
        <w:rPr>
          <w:rFonts w:asciiTheme="majorHAnsi" w:hAnsiTheme="majorHAnsi"/>
        </w:rPr>
        <w:tab/>
      </w:r>
      <w:r w:rsidR="006A531D">
        <w:rPr>
          <w:rFonts w:asciiTheme="majorHAnsi" w:hAnsiTheme="majorHAnsi"/>
        </w:rPr>
        <w:tab/>
      </w:r>
      <w:r w:rsidR="00280D02">
        <w:rPr>
          <w:rFonts w:asciiTheme="majorHAnsi" w:hAnsiTheme="majorHAnsi"/>
        </w:rPr>
        <w:t>43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w:t>
      </w:r>
      <w:r w:rsidR="00A47DBA">
        <w:rPr>
          <w:rFonts w:asciiTheme="majorHAnsi" w:hAnsiTheme="majorHAnsi"/>
          <w:b/>
        </w:rPr>
        <w:t>10</w:t>
      </w:r>
      <w:r w:rsidRPr="00D00B71">
        <w:rPr>
          <w:rFonts w:asciiTheme="majorHAnsi" w:hAnsiTheme="majorHAnsi"/>
          <w:b/>
        </w:rPr>
        <w:t>.</w:t>
      </w:r>
      <w:proofErr w:type="gramEnd"/>
      <w:r w:rsidRPr="00D00B71">
        <w:rPr>
          <w:rFonts w:asciiTheme="majorHAnsi" w:hAnsiTheme="majorHAnsi"/>
          <w:b/>
        </w:rPr>
        <w:t xml:space="preserve"> </w:t>
      </w:r>
      <w:r w:rsidR="00A47DBA" w:rsidRPr="00A47DBA">
        <w:rPr>
          <w:rFonts w:asciiTheme="majorHAnsi" w:hAnsiTheme="majorHAnsi"/>
        </w:rPr>
        <w:t>E-RNAi reagent output page</w:t>
      </w:r>
      <w:r w:rsidRPr="00D00B71">
        <w:rPr>
          <w:rFonts w:asciiTheme="majorHAnsi" w:hAnsiTheme="majorHAnsi"/>
        </w:rPr>
        <w:t>.</w:t>
      </w:r>
      <w:r w:rsidRPr="00D00B71">
        <w:rPr>
          <w:rFonts w:asciiTheme="majorHAnsi" w:hAnsiTheme="majorHAnsi"/>
        </w:rPr>
        <w:tab/>
      </w:r>
      <w:r w:rsidR="00A47DBA">
        <w:rPr>
          <w:rFonts w:asciiTheme="majorHAnsi" w:hAnsiTheme="majorHAnsi"/>
        </w:rPr>
        <w:tab/>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Pr="00D00B71">
        <w:rPr>
          <w:rFonts w:asciiTheme="majorHAnsi" w:hAnsiTheme="majorHAnsi"/>
        </w:rPr>
        <w:t>44</w:t>
      </w:r>
    </w:p>
    <w:p w:rsidR="000C26B2" w:rsidRPr="00D00B71" w:rsidRDefault="00A47DBA" w:rsidP="000C26B2">
      <w:pPr>
        <w:spacing w:after="120" w:line="276" w:lineRule="auto"/>
        <w:rPr>
          <w:rFonts w:asciiTheme="majorHAnsi" w:hAnsiTheme="majorHAnsi"/>
        </w:rPr>
      </w:pPr>
      <w:proofErr w:type="gramStart"/>
      <w:r>
        <w:rPr>
          <w:rFonts w:asciiTheme="majorHAnsi" w:hAnsiTheme="majorHAnsi"/>
          <w:b/>
        </w:rPr>
        <w:t>Figure 2.11</w:t>
      </w:r>
      <w:r w:rsidR="000C26B2" w:rsidRPr="00D00B71">
        <w:rPr>
          <w:rFonts w:asciiTheme="majorHAnsi" w:hAnsiTheme="majorHAnsi"/>
          <w:b/>
        </w:rPr>
        <w:t>.</w:t>
      </w:r>
      <w:proofErr w:type="gramEnd"/>
      <w:r w:rsidR="000C26B2" w:rsidRPr="00D00B71">
        <w:rPr>
          <w:rFonts w:asciiTheme="majorHAnsi" w:hAnsiTheme="majorHAnsi"/>
          <w:b/>
        </w:rPr>
        <w:t xml:space="preserve"> </w:t>
      </w:r>
      <w:proofErr w:type="gramStart"/>
      <w:r w:rsidRPr="00A47DBA">
        <w:rPr>
          <w:rFonts w:asciiTheme="majorHAnsi" w:hAnsiTheme="majorHAnsi"/>
        </w:rPr>
        <w:t>E-RNAi Reagent location in GeneBrowse</w:t>
      </w:r>
      <w:r w:rsidR="000C26B2">
        <w:rPr>
          <w:rFonts w:asciiTheme="majorHAnsi" w:hAnsiTheme="majorHAnsi"/>
        </w:rPr>
        <w:t>.</w:t>
      </w:r>
      <w:proofErr w:type="gramEnd"/>
      <w:r w:rsidR="000C26B2">
        <w:rPr>
          <w:rFonts w:asciiTheme="majorHAnsi" w:hAnsiTheme="majorHAnsi"/>
        </w:rPr>
        <w:tab/>
      </w:r>
      <w:r w:rsidR="000C26B2">
        <w:rPr>
          <w:rFonts w:asciiTheme="majorHAnsi" w:hAnsiTheme="majorHAnsi"/>
        </w:rPr>
        <w:tab/>
      </w:r>
      <w:r w:rsidR="006A531D">
        <w:rPr>
          <w:rFonts w:asciiTheme="majorHAnsi" w:hAnsiTheme="majorHAnsi"/>
        </w:rPr>
        <w:tab/>
      </w:r>
      <w:r w:rsidR="000C26B2" w:rsidRPr="00D00B71">
        <w:rPr>
          <w:rFonts w:asciiTheme="majorHAnsi" w:hAnsiTheme="majorHAnsi"/>
        </w:rPr>
        <w:t>4</w:t>
      </w:r>
      <w:r>
        <w:rPr>
          <w:rFonts w:asciiTheme="majorHAnsi" w:hAnsiTheme="majorHAnsi"/>
        </w:rPr>
        <w:t>5</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2.1</w:t>
      </w:r>
      <w:r w:rsidR="004E0FB4">
        <w:rPr>
          <w:rFonts w:asciiTheme="majorHAnsi" w:hAnsiTheme="majorHAnsi"/>
          <w:b/>
        </w:rPr>
        <w:t>2</w:t>
      </w:r>
      <w:r w:rsidRPr="00D00B71">
        <w:rPr>
          <w:rFonts w:asciiTheme="majorHAnsi" w:hAnsiTheme="majorHAnsi"/>
          <w:b/>
        </w:rPr>
        <w:t>.</w:t>
      </w:r>
      <w:proofErr w:type="gramEnd"/>
      <w:r w:rsidR="004E0FB4" w:rsidRPr="004E0FB4">
        <w:rPr>
          <w:rFonts w:asciiTheme="majorHAnsi" w:hAnsiTheme="majorHAnsi"/>
          <w:b/>
        </w:rPr>
        <w:t xml:space="preserve"> </w:t>
      </w:r>
      <w:proofErr w:type="gramStart"/>
      <w:r w:rsidR="004E0FB4" w:rsidRPr="004E0FB4">
        <w:rPr>
          <w:rFonts w:asciiTheme="majorHAnsi" w:hAnsiTheme="majorHAnsi"/>
        </w:rPr>
        <w:t>Thermo Multidrop Plate-loader Schematic</w:t>
      </w:r>
      <w:r w:rsidRPr="00D00B71">
        <w:rPr>
          <w:rFonts w:asciiTheme="majorHAnsi" w:hAnsiTheme="majorHAnsi"/>
        </w:rPr>
        <w:t>.</w:t>
      </w:r>
      <w:proofErr w:type="gramEnd"/>
      <w:r w:rsidRPr="00D00B71">
        <w:rPr>
          <w:rFonts w:asciiTheme="majorHAnsi" w:hAnsiTheme="majorHAnsi"/>
        </w:rPr>
        <w:tab/>
      </w:r>
      <w:r w:rsidRPr="00D00B71">
        <w:rPr>
          <w:rFonts w:asciiTheme="majorHAnsi" w:hAnsiTheme="majorHAnsi"/>
        </w:rPr>
        <w:tab/>
      </w:r>
      <w:r w:rsidRPr="00D00B71">
        <w:rPr>
          <w:rFonts w:asciiTheme="majorHAnsi" w:hAnsiTheme="majorHAnsi"/>
        </w:rPr>
        <w:tab/>
        <w:t>4</w:t>
      </w:r>
      <w:r w:rsidR="004E0FB4">
        <w:rPr>
          <w:rFonts w:asciiTheme="majorHAnsi" w:hAnsiTheme="majorHAnsi"/>
        </w:rPr>
        <w:t>8</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2.1</w:t>
      </w:r>
      <w:r w:rsidR="004E0FB4">
        <w:rPr>
          <w:rFonts w:asciiTheme="majorHAnsi" w:hAnsiTheme="majorHAnsi"/>
          <w:b/>
        </w:rPr>
        <w:t>3</w:t>
      </w:r>
      <w:r w:rsidRPr="00D00B71">
        <w:rPr>
          <w:rFonts w:asciiTheme="majorHAnsi" w:hAnsiTheme="majorHAnsi"/>
          <w:b/>
        </w:rPr>
        <w:t>.</w:t>
      </w:r>
      <w:proofErr w:type="gramEnd"/>
      <w:r w:rsidRPr="00D00B71">
        <w:rPr>
          <w:rFonts w:asciiTheme="majorHAnsi" w:hAnsiTheme="majorHAnsi"/>
          <w:b/>
        </w:rPr>
        <w:t xml:space="preserve"> </w:t>
      </w:r>
      <w:proofErr w:type="gramStart"/>
      <w:r w:rsidR="004E0FB4" w:rsidRPr="004E0FB4">
        <w:rPr>
          <w:rFonts w:asciiTheme="majorHAnsi" w:hAnsiTheme="majorHAnsi"/>
        </w:rPr>
        <w:t>ELx405 Select CW Plate washer aspiration and fixative dispensation schematic</w:t>
      </w:r>
      <w:r w:rsidRPr="00D00B71">
        <w:rPr>
          <w:rFonts w:asciiTheme="majorHAnsi" w:hAnsiTheme="majorHAnsi"/>
        </w:rPr>
        <w:t>.</w:t>
      </w:r>
      <w:proofErr w:type="gramEnd"/>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4E0FB4">
        <w:rPr>
          <w:rFonts w:asciiTheme="majorHAnsi" w:hAnsiTheme="majorHAnsi"/>
        </w:rPr>
        <w:tab/>
      </w:r>
      <w:r w:rsidR="004E0FB4">
        <w:rPr>
          <w:rFonts w:asciiTheme="majorHAnsi" w:hAnsiTheme="majorHAnsi"/>
        </w:rPr>
        <w:tab/>
      </w:r>
      <w:r w:rsidR="004E0FB4">
        <w:rPr>
          <w:rFonts w:asciiTheme="majorHAnsi" w:hAnsiTheme="majorHAnsi"/>
        </w:rPr>
        <w:tab/>
      </w:r>
      <w:r w:rsidR="004E0FB4">
        <w:rPr>
          <w:rFonts w:asciiTheme="majorHAnsi" w:hAnsiTheme="majorHAnsi"/>
        </w:rPr>
        <w:tab/>
      </w:r>
      <w:r w:rsidR="004E0FB4">
        <w:rPr>
          <w:rFonts w:asciiTheme="majorHAnsi" w:hAnsiTheme="majorHAnsi"/>
        </w:rPr>
        <w:tab/>
      </w:r>
      <w:r w:rsidRPr="00D00B71">
        <w:rPr>
          <w:rFonts w:asciiTheme="majorHAnsi" w:hAnsiTheme="majorHAnsi"/>
        </w:rPr>
        <w:tab/>
      </w:r>
      <w:r w:rsidR="00854389">
        <w:rPr>
          <w:rFonts w:asciiTheme="majorHAnsi" w:hAnsiTheme="majorHAnsi"/>
        </w:rPr>
        <w:t>50</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2.1</w:t>
      </w:r>
      <w:r w:rsidR="004E0FB4">
        <w:rPr>
          <w:rFonts w:asciiTheme="majorHAnsi" w:hAnsiTheme="majorHAnsi"/>
          <w:b/>
        </w:rPr>
        <w:t>4</w:t>
      </w:r>
      <w:r w:rsidRPr="00D00B71">
        <w:rPr>
          <w:rFonts w:asciiTheme="majorHAnsi" w:hAnsiTheme="majorHAnsi"/>
          <w:b/>
        </w:rPr>
        <w:t>.</w:t>
      </w:r>
      <w:proofErr w:type="gramEnd"/>
      <w:r w:rsidRPr="00D00B71">
        <w:rPr>
          <w:rFonts w:asciiTheme="majorHAnsi" w:hAnsiTheme="majorHAnsi"/>
        </w:rPr>
        <w:t xml:space="preserve"> </w:t>
      </w:r>
      <w:r w:rsidR="004E0FB4" w:rsidRPr="004E0FB4">
        <w:rPr>
          <w:rFonts w:asciiTheme="majorHAnsi" w:hAnsiTheme="majorHAnsi"/>
        </w:rPr>
        <w:t>ImageXpress Objective and Camera tab</w:t>
      </w:r>
      <w:r w:rsidRPr="00D00B71">
        <w:rPr>
          <w:rFonts w:asciiTheme="majorHAnsi" w:hAnsiTheme="majorHAnsi"/>
        </w:rPr>
        <w:t>.</w:t>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854389">
        <w:rPr>
          <w:rFonts w:asciiTheme="majorHAnsi" w:hAnsiTheme="majorHAnsi"/>
        </w:rPr>
        <w:t>52</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w:t>
      </w:r>
      <w:r w:rsidR="00B14F7A">
        <w:rPr>
          <w:rFonts w:asciiTheme="majorHAnsi" w:hAnsiTheme="majorHAnsi"/>
          <w:b/>
        </w:rPr>
        <w:t>15</w:t>
      </w:r>
      <w:r w:rsidRPr="00D00B71">
        <w:rPr>
          <w:rFonts w:asciiTheme="majorHAnsi" w:hAnsiTheme="majorHAnsi"/>
          <w:b/>
        </w:rPr>
        <w:t>.</w:t>
      </w:r>
      <w:proofErr w:type="gramEnd"/>
      <w:r w:rsidRPr="00D00B71">
        <w:rPr>
          <w:rFonts w:asciiTheme="majorHAnsi" w:hAnsiTheme="majorHAnsi"/>
          <w:b/>
        </w:rPr>
        <w:t xml:space="preserve"> </w:t>
      </w:r>
      <w:proofErr w:type="gramStart"/>
      <w:r w:rsidR="00B14F7A" w:rsidRPr="00B14F7A">
        <w:rPr>
          <w:rFonts w:asciiTheme="majorHAnsi" w:hAnsiTheme="majorHAnsi"/>
        </w:rPr>
        <w:t>ImageXpress Sites to Visit tab</w:t>
      </w:r>
      <w:r w:rsidRPr="00D00B71">
        <w:rPr>
          <w:rFonts w:asciiTheme="majorHAnsi" w:hAnsiTheme="majorHAnsi"/>
        </w:rPr>
        <w:t>.</w:t>
      </w:r>
      <w:proofErr w:type="gramEnd"/>
      <w:r w:rsidRPr="00D00B71">
        <w:rPr>
          <w:rFonts w:asciiTheme="majorHAnsi" w:hAnsiTheme="majorHAnsi"/>
        </w:rPr>
        <w:tab/>
      </w:r>
      <w:r w:rsidRPr="00D00B71">
        <w:rPr>
          <w:rFonts w:asciiTheme="majorHAnsi" w:hAnsiTheme="majorHAnsi"/>
        </w:rPr>
        <w:tab/>
      </w:r>
      <w:r w:rsidRPr="00D00B71">
        <w:rPr>
          <w:rFonts w:asciiTheme="majorHAnsi" w:hAnsiTheme="majorHAnsi"/>
        </w:rPr>
        <w:tab/>
      </w:r>
      <w:r>
        <w:rPr>
          <w:rFonts w:asciiTheme="majorHAnsi" w:hAnsiTheme="majorHAnsi"/>
        </w:rPr>
        <w:tab/>
      </w:r>
      <w:r w:rsidR="006A531D">
        <w:rPr>
          <w:rFonts w:asciiTheme="majorHAnsi" w:hAnsiTheme="majorHAnsi"/>
        </w:rPr>
        <w:tab/>
      </w:r>
      <w:r w:rsidR="00B14F7A">
        <w:rPr>
          <w:rFonts w:asciiTheme="majorHAnsi" w:hAnsiTheme="majorHAnsi"/>
        </w:rPr>
        <w:t>53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2.1</w:t>
      </w:r>
      <w:r w:rsidR="00B14F7A">
        <w:rPr>
          <w:rFonts w:asciiTheme="majorHAnsi" w:hAnsiTheme="majorHAnsi"/>
          <w:b/>
        </w:rPr>
        <w:t>6</w:t>
      </w:r>
      <w:r w:rsidRPr="00D00B71">
        <w:rPr>
          <w:rFonts w:asciiTheme="majorHAnsi" w:hAnsiTheme="majorHAnsi"/>
          <w:b/>
        </w:rPr>
        <w:t>.</w:t>
      </w:r>
      <w:proofErr w:type="gramEnd"/>
      <w:r w:rsidRPr="00D00B71">
        <w:rPr>
          <w:rFonts w:asciiTheme="majorHAnsi" w:hAnsiTheme="majorHAnsi"/>
          <w:b/>
        </w:rPr>
        <w:t xml:space="preserve"> </w:t>
      </w:r>
      <w:proofErr w:type="gramStart"/>
      <w:r w:rsidR="00B14F7A" w:rsidRPr="00B14F7A">
        <w:rPr>
          <w:rFonts w:asciiTheme="majorHAnsi" w:hAnsiTheme="majorHAnsi"/>
        </w:rPr>
        <w:t>ImageXpress Time-lapse tab</w:t>
      </w:r>
      <w:r w:rsidRPr="00D00B71">
        <w:rPr>
          <w:rFonts w:asciiTheme="majorHAnsi" w:hAnsiTheme="majorHAnsi"/>
        </w:rPr>
        <w:t>.</w:t>
      </w:r>
      <w:proofErr w:type="gramEnd"/>
      <w:r w:rsidRPr="00D00B71">
        <w:rPr>
          <w:rFonts w:asciiTheme="majorHAnsi" w:hAnsiTheme="majorHAnsi"/>
        </w:rPr>
        <w:tab/>
      </w:r>
      <w:r w:rsidRPr="00D00B71">
        <w:rPr>
          <w:rFonts w:asciiTheme="majorHAnsi" w:hAnsiTheme="majorHAnsi"/>
        </w:rPr>
        <w:tab/>
      </w:r>
      <w:r w:rsidRPr="00D00B71">
        <w:rPr>
          <w:rFonts w:asciiTheme="majorHAnsi" w:hAnsiTheme="majorHAnsi"/>
        </w:rPr>
        <w:tab/>
      </w:r>
      <w:r>
        <w:rPr>
          <w:rFonts w:asciiTheme="majorHAnsi" w:hAnsiTheme="majorHAnsi"/>
        </w:rPr>
        <w:tab/>
      </w:r>
      <w:r w:rsidR="00B14F7A">
        <w:rPr>
          <w:rFonts w:asciiTheme="majorHAnsi" w:hAnsiTheme="majorHAnsi"/>
        </w:rPr>
        <w:tab/>
        <w:t>53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2.1</w:t>
      </w:r>
      <w:r w:rsidR="00B14F7A">
        <w:rPr>
          <w:rFonts w:asciiTheme="majorHAnsi" w:hAnsiTheme="majorHAnsi"/>
          <w:b/>
        </w:rPr>
        <w:t>7</w:t>
      </w:r>
      <w:r w:rsidRPr="00D00B71">
        <w:rPr>
          <w:rFonts w:asciiTheme="majorHAnsi" w:hAnsiTheme="majorHAnsi"/>
          <w:b/>
        </w:rPr>
        <w:t>.</w:t>
      </w:r>
      <w:proofErr w:type="gramEnd"/>
      <w:r w:rsidRPr="00D00B71">
        <w:rPr>
          <w:rFonts w:asciiTheme="majorHAnsi" w:hAnsiTheme="majorHAnsi"/>
        </w:rPr>
        <w:t xml:space="preserve"> </w:t>
      </w:r>
      <w:r w:rsidR="00B14F7A" w:rsidRPr="00B14F7A">
        <w:rPr>
          <w:rFonts w:asciiTheme="majorHAnsi" w:hAnsiTheme="majorHAnsi"/>
        </w:rPr>
        <w:t>ImageXpress Acquisition loop tab</w:t>
      </w:r>
      <w:r w:rsidRPr="00D00B71">
        <w:rPr>
          <w:rFonts w:asciiTheme="majorHAnsi" w:hAnsiTheme="majorHAnsi"/>
        </w:rPr>
        <w:t>.</w:t>
      </w:r>
      <w:r w:rsidRPr="00D00B71">
        <w:rPr>
          <w:rFonts w:asciiTheme="majorHAnsi" w:hAnsiTheme="majorHAnsi"/>
        </w:rPr>
        <w:tab/>
      </w:r>
      <w:r w:rsidRPr="00D00B71">
        <w:rPr>
          <w:rFonts w:asciiTheme="majorHAnsi" w:hAnsiTheme="majorHAnsi"/>
        </w:rPr>
        <w:tab/>
      </w:r>
      <w:r>
        <w:rPr>
          <w:rFonts w:asciiTheme="majorHAnsi" w:hAnsiTheme="majorHAnsi"/>
        </w:rPr>
        <w:tab/>
      </w:r>
      <w:r w:rsidR="006A531D">
        <w:rPr>
          <w:rFonts w:asciiTheme="majorHAnsi" w:hAnsiTheme="majorHAnsi"/>
        </w:rPr>
        <w:tab/>
      </w:r>
      <w:r w:rsidR="00B14F7A">
        <w:rPr>
          <w:rFonts w:asciiTheme="majorHAnsi" w:hAnsiTheme="majorHAnsi"/>
        </w:rPr>
        <w:t>54</w:t>
      </w:r>
    </w:p>
    <w:p w:rsidR="000C26B2" w:rsidRDefault="000C26B2" w:rsidP="000C26B2">
      <w:pPr>
        <w:spacing w:after="120" w:line="276" w:lineRule="auto"/>
        <w:rPr>
          <w:rFonts w:asciiTheme="majorHAnsi" w:hAnsiTheme="majorHAnsi"/>
        </w:rPr>
      </w:pPr>
      <w:proofErr w:type="gramStart"/>
      <w:r w:rsidRPr="00D00B71">
        <w:rPr>
          <w:rFonts w:asciiTheme="majorHAnsi" w:hAnsiTheme="majorHAnsi"/>
          <w:b/>
        </w:rPr>
        <w:t>Figure 2.1</w:t>
      </w:r>
      <w:r w:rsidR="00B14F7A">
        <w:rPr>
          <w:rFonts w:asciiTheme="majorHAnsi" w:hAnsiTheme="majorHAnsi"/>
          <w:b/>
        </w:rPr>
        <w:t>8</w:t>
      </w:r>
      <w:r w:rsidRPr="00D00B71">
        <w:rPr>
          <w:rFonts w:asciiTheme="majorHAnsi" w:hAnsiTheme="majorHAnsi"/>
          <w:b/>
        </w:rPr>
        <w:t>.</w:t>
      </w:r>
      <w:proofErr w:type="gramEnd"/>
      <w:r w:rsidRPr="00D00B71">
        <w:rPr>
          <w:rFonts w:asciiTheme="majorHAnsi" w:hAnsiTheme="majorHAnsi"/>
          <w:b/>
        </w:rPr>
        <w:t xml:space="preserve"> </w:t>
      </w:r>
      <w:proofErr w:type="gramStart"/>
      <w:r w:rsidR="00B14F7A" w:rsidRPr="00B14F7A">
        <w:rPr>
          <w:rFonts w:asciiTheme="majorHAnsi" w:hAnsiTheme="majorHAnsi"/>
        </w:rPr>
        <w:t>ImageXpress Wavelength 1 tab</w:t>
      </w:r>
      <w:r w:rsidRPr="00D00B71">
        <w:rPr>
          <w:rFonts w:asciiTheme="majorHAnsi" w:hAnsiTheme="majorHAnsi"/>
        </w:rPr>
        <w:t>.</w:t>
      </w:r>
      <w:proofErr w:type="gramEnd"/>
      <w:r w:rsidRPr="00D00B71">
        <w:rPr>
          <w:rFonts w:asciiTheme="majorHAnsi" w:hAnsiTheme="majorHAnsi"/>
        </w:rPr>
        <w:tab/>
      </w:r>
      <w:r w:rsidRPr="00D00B71">
        <w:rPr>
          <w:rFonts w:asciiTheme="majorHAnsi" w:hAnsiTheme="majorHAnsi"/>
        </w:rPr>
        <w:tab/>
      </w:r>
      <w:r w:rsidRPr="00D00B71">
        <w:rPr>
          <w:rFonts w:asciiTheme="majorHAnsi" w:hAnsiTheme="majorHAnsi"/>
        </w:rPr>
        <w:tab/>
      </w:r>
      <w:r>
        <w:rPr>
          <w:rFonts w:asciiTheme="majorHAnsi" w:hAnsiTheme="majorHAnsi"/>
        </w:rPr>
        <w:tab/>
      </w:r>
      <w:r w:rsidR="00FC57CC">
        <w:rPr>
          <w:rFonts w:asciiTheme="majorHAnsi" w:hAnsiTheme="majorHAnsi"/>
        </w:rPr>
        <w:tab/>
        <w:t>55</w:t>
      </w:r>
    </w:p>
    <w:p w:rsidR="000C26B2" w:rsidRDefault="000C26B2" w:rsidP="000C26B2">
      <w:pPr>
        <w:spacing w:after="120" w:line="276" w:lineRule="auto"/>
        <w:rPr>
          <w:rFonts w:asciiTheme="majorHAnsi" w:hAnsiTheme="majorHAnsi"/>
        </w:rPr>
      </w:pPr>
      <w:proofErr w:type="gramStart"/>
      <w:r w:rsidRPr="00D00B71">
        <w:rPr>
          <w:rFonts w:asciiTheme="majorHAnsi" w:hAnsiTheme="majorHAnsi"/>
          <w:b/>
        </w:rPr>
        <w:t>Figure 2.</w:t>
      </w:r>
      <w:r w:rsidR="00FC57CC">
        <w:rPr>
          <w:rFonts w:asciiTheme="majorHAnsi" w:hAnsiTheme="majorHAnsi"/>
          <w:b/>
        </w:rPr>
        <w:t>19</w:t>
      </w:r>
      <w:r w:rsidRPr="00D00B71">
        <w:rPr>
          <w:rFonts w:asciiTheme="majorHAnsi" w:hAnsiTheme="majorHAnsi"/>
          <w:b/>
        </w:rPr>
        <w:t>.</w:t>
      </w:r>
      <w:proofErr w:type="gramEnd"/>
      <w:r w:rsidR="00FC57CC" w:rsidRPr="00FC57CC">
        <w:rPr>
          <w:rFonts w:asciiTheme="majorHAnsi" w:hAnsiTheme="majorHAnsi"/>
          <w:b/>
        </w:rPr>
        <w:t xml:space="preserve"> </w:t>
      </w:r>
      <w:proofErr w:type="gramStart"/>
      <w:r w:rsidR="00FC57CC" w:rsidRPr="00FC57CC">
        <w:rPr>
          <w:rFonts w:asciiTheme="majorHAnsi" w:hAnsiTheme="majorHAnsi"/>
        </w:rPr>
        <w:t>ImageXpress Wavelength 2 tab</w:t>
      </w:r>
      <w:r w:rsidRPr="00D00B71">
        <w:rPr>
          <w:rFonts w:asciiTheme="majorHAnsi" w:hAnsiTheme="majorHAnsi"/>
        </w:rPr>
        <w:t>.</w:t>
      </w:r>
      <w:proofErr w:type="gramEnd"/>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FC57CC">
        <w:rPr>
          <w:rFonts w:asciiTheme="majorHAnsi" w:hAnsiTheme="majorHAnsi"/>
        </w:rPr>
        <w:tab/>
      </w:r>
      <w:r w:rsidR="00FC57CC">
        <w:rPr>
          <w:rFonts w:asciiTheme="majorHAnsi" w:hAnsiTheme="majorHAnsi"/>
        </w:rPr>
        <w:tab/>
        <w:t>55</w:t>
      </w:r>
    </w:p>
    <w:p w:rsidR="00FC57CC" w:rsidRDefault="00FC57CC" w:rsidP="000C26B2">
      <w:pPr>
        <w:spacing w:after="120" w:line="276" w:lineRule="auto"/>
        <w:rPr>
          <w:rFonts w:asciiTheme="majorHAnsi" w:hAnsiTheme="majorHAnsi"/>
        </w:rPr>
      </w:pPr>
      <w:proofErr w:type="gramStart"/>
      <w:r>
        <w:rPr>
          <w:rFonts w:asciiTheme="majorHAnsi" w:hAnsiTheme="majorHAnsi"/>
          <w:b/>
        </w:rPr>
        <w:t>Figure 2.20.</w:t>
      </w:r>
      <w:proofErr w:type="gramEnd"/>
      <w:r>
        <w:rPr>
          <w:rFonts w:asciiTheme="majorHAnsi" w:hAnsiTheme="majorHAnsi"/>
          <w:b/>
        </w:rPr>
        <w:t xml:space="preserve"> </w:t>
      </w:r>
      <w:proofErr w:type="gramStart"/>
      <w:r w:rsidRPr="00FC57CC">
        <w:rPr>
          <w:rFonts w:asciiTheme="majorHAnsi" w:hAnsiTheme="majorHAnsi"/>
        </w:rPr>
        <w:t>ImageXpress Post Acquisition tab</w:t>
      </w:r>
      <w:r w:rsidR="00730137">
        <w:rPr>
          <w:rFonts w:asciiTheme="majorHAnsi" w:hAnsiTheme="majorHAnsi"/>
        </w:rPr>
        <w:t>.</w:t>
      </w:r>
      <w:proofErr w:type="gramEnd"/>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sidR="00730137">
        <w:rPr>
          <w:rFonts w:asciiTheme="majorHAnsi" w:hAnsiTheme="majorHAnsi"/>
        </w:rPr>
        <w:t>56</w:t>
      </w:r>
    </w:p>
    <w:p w:rsidR="00730137" w:rsidRDefault="00730137" w:rsidP="000C26B2">
      <w:pPr>
        <w:spacing w:after="120" w:line="276" w:lineRule="auto"/>
        <w:rPr>
          <w:rFonts w:asciiTheme="majorHAnsi" w:hAnsiTheme="majorHAnsi"/>
        </w:rPr>
      </w:pPr>
      <w:proofErr w:type="gramStart"/>
      <w:r w:rsidRPr="00730137">
        <w:rPr>
          <w:rFonts w:asciiTheme="majorHAnsi" w:hAnsiTheme="majorHAnsi"/>
          <w:b/>
        </w:rPr>
        <w:t>Figure 2.21.</w:t>
      </w:r>
      <w:proofErr w:type="gramEnd"/>
      <w:r>
        <w:rPr>
          <w:rFonts w:asciiTheme="majorHAnsi" w:hAnsiTheme="majorHAnsi"/>
          <w:b/>
        </w:rPr>
        <w:t xml:space="preserve"> </w:t>
      </w:r>
      <w:r w:rsidRPr="00730137">
        <w:rPr>
          <w:rFonts w:asciiTheme="majorHAnsi" w:hAnsiTheme="majorHAnsi"/>
        </w:rPr>
        <w:t>40X Objective tab</w:t>
      </w:r>
      <w:r>
        <w:rPr>
          <w:rFonts w:asciiTheme="majorHAnsi" w:hAnsiTheme="majorHAnsi"/>
        </w:rPr>
        <w:t>.</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56</w:t>
      </w:r>
    </w:p>
    <w:p w:rsidR="00730137" w:rsidRDefault="00730137" w:rsidP="000C26B2">
      <w:pPr>
        <w:spacing w:after="120" w:line="276" w:lineRule="auto"/>
        <w:rPr>
          <w:rFonts w:asciiTheme="majorHAnsi" w:hAnsiTheme="majorHAnsi"/>
        </w:rPr>
      </w:pPr>
      <w:proofErr w:type="gramStart"/>
      <w:r>
        <w:rPr>
          <w:rFonts w:asciiTheme="majorHAnsi" w:hAnsiTheme="majorHAnsi"/>
          <w:b/>
        </w:rPr>
        <w:t>Figure 2.22.</w:t>
      </w:r>
      <w:proofErr w:type="gramEnd"/>
      <w:r>
        <w:rPr>
          <w:rFonts w:asciiTheme="majorHAnsi" w:hAnsiTheme="majorHAnsi"/>
          <w:b/>
        </w:rPr>
        <w:t xml:space="preserve"> </w:t>
      </w:r>
      <w:r w:rsidRPr="00730137">
        <w:rPr>
          <w:rFonts w:asciiTheme="majorHAnsi" w:hAnsiTheme="majorHAnsi"/>
        </w:rPr>
        <w:t>ImageXpress 2</w:t>
      </w:r>
      <w:r w:rsidRPr="00730137">
        <w:rPr>
          <w:rFonts w:asciiTheme="majorHAnsi" w:hAnsiTheme="majorHAnsi"/>
          <w:vertAlign w:val="superscript"/>
        </w:rPr>
        <w:t>nd</w:t>
      </w:r>
      <w:r w:rsidRPr="00730137">
        <w:rPr>
          <w:rFonts w:asciiTheme="majorHAnsi" w:hAnsiTheme="majorHAnsi"/>
        </w:rPr>
        <w:t xml:space="preserve"> Sites to Visit tab</w:t>
      </w:r>
      <w:r>
        <w:rPr>
          <w:rFonts w:asciiTheme="majorHAnsi" w:hAnsiTheme="majorHAnsi"/>
        </w:rPr>
        <w:t>.</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57</w:t>
      </w:r>
    </w:p>
    <w:p w:rsidR="00730137" w:rsidRPr="00730137" w:rsidRDefault="00730137" w:rsidP="000C26B2">
      <w:pPr>
        <w:spacing w:after="120" w:line="276" w:lineRule="auto"/>
        <w:rPr>
          <w:rFonts w:asciiTheme="majorHAnsi" w:hAnsiTheme="majorHAnsi"/>
          <w:b/>
        </w:rPr>
      </w:pPr>
      <w:proofErr w:type="gramStart"/>
      <w:r>
        <w:rPr>
          <w:rFonts w:asciiTheme="majorHAnsi" w:hAnsiTheme="majorHAnsi"/>
          <w:b/>
        </w:rPr>
        <w:t>Figure 2.23.</w:t>
      </w:r>
      <w:proofErr w:type="gramEnd"/>
      <w:r>
        <w:rPr>
          <w:rFonts w:asciiTheme="majorHAnsi" w:hAnsiTheme="majorHAnsi"/>
          <w:b/>
        </w:rPr>
        <w:t xml:space="preserve"> </w:t>
      </w:r>
      <w:r w:rsidR="00336CB9" w:rsidRPr="00336CB9">
        <w:rPr>
          <w:rFonts w:asciiTheme="majorHAnsi" w:hAnsiTheme="majorHAnsi"/>
        </w:rPr>
        <w:t>ImageXpress new wavelength settings tab</w:t>
      </w:r>
      <w:r w:rsidR="00336CB9">
        <w:rPr>
          <w:rFonts w:asciiTheme="majorHAnsi" w:hAnsiTheme="majorHAnsi"/>
        </w:rPr>
        <w:t>.</w:t>
      </w:r>
      <w:r w:rsidR="00336CB9">
        <w:rPr>
          <w:rFonts w:asciiTheme="majorHAnsi" w:hAnsiTheme="majorHAnsi"/>
        </w:rPr>
        <w:tab/>
      </w:r>
      <w:r w:rsidR="00336CB9">
        <w:rPr>
          <w:rFonts w:asciiTheme="majorHAnsi" w:hAnsiTheme="majorHAnsi"/>
        </w:rPr>
        <w:tab/>
      </w:r>
      <w:r w:rsidR="00336CB9">
        <w:rPr>
          <w:rFonts w:asciiTheme="majorHAnsi" w:hAnsiTheme="majorHAnsi"/>
        </w:rPr>
        <w:tab/>
        <w:t>57</w:t>
      </w:r>
    </w:p>
    <w:p w:rsidR="000C26B2" w:rsidRPr="00D00B71" w:rsidRDefault="00336CB9" w:rsidP="000C26B2">
      <w:pPr>
        <w:spacing w:after="120" w:line="276" w:lineRule="auto"/>
        <w:rPr>
          <w:rFonts w:asciiTheme="majorHAnsi" w:hAnsiTheme="majorHAnsi"/>
        </w:rPr>
      </w:pPr>
      <w:proofErr w:type="gramStart"/>
      <w:r>
        <w:rPr>
          <w:rFonts w:asciiTheme="majorHAnsi" w:hAnsiTheme="majorHAnsi"/>
          <w:b/>
        </w:rPr>
        <w:t>Figure</w:t>
      </w:r>
      <w:r w:rsidRPr="0013327C">
        <w:rPr>
          <w:rFonts w:asciiTheme="majorHAnsi" w:hAnsiTheme="majorHAnsi"/>
          <w:b/>
        </w:rPr>
        <w:t xml:space="preserve"> 3.</w:t>
      </w:r>
      <w:r>
        <w:rPr>
          <w:rFonts w:asciiTheme="majorHAnsi" w:hAnsiTheme="majorHAnsi"/>
          <w:b/>
        </w:rPr>
        <w:t>1</w:t>
      </w:r>
      <w:r w:rsidRPr="0013327C">
        <w:rPr>
          <w:rFonts w:asciiTheme="majorHAnsi" w:hAnsiTheme="majorHAnsi"/>
          <w:b/>
        </w:rPr>
        <w:t>.</w:t>
      </w:r>
      <w:proofErr w:type="gramEnd"/>
      <w:r w:rsidRPr="0013327C">
        <w:rPr>
          <w:rFonts w:asciiTheme="majorHAnsi" w:hAnsiTheme="majorHAnsi"/>
          <w:b/>
        </w:rPr>
        <w:t xml:space="preserve"> </w:t>
      </w:r>
      <w:proofErr w:type="gramStart"/>
      <w:r w:rsidRPr="00336CB9">
        <w:rPr>
          <w:rFonts w:asciiTheme="majorHAnsi" w:hAnsiTheme="majorHAnsi"/>
        </w:rPr>
        <w:t>Stages of development schematic 1.</w:t>
      </w:r>
      <w:proofErr w:type="gramEnd"/>
      <w:r w:rsidR="000C26B2" w:rsidRPr="00D00B71">
        <w:rPr>
          <w:rFonts w:asciiTheme="majorHAnsi" w:hAnsiTheme="majorHAnsi"/>
        </w:rPr>
        <w:tab/>
      </w:r>
      <w:r w:rsidR="000C26B2">
        <w:rPr>
          <w:rFonts w:asciiTheme="majorHAnsi" w:hAnsiTheme="majorHAnsi"/>
        </w:rPr>
        <w:tab/>
      </w:r>
      <w:r w:rsidR="006A531D">
        <w:rPr>
          <w:rFonts w:asciiTheme="majorHAnsi" w:hAnsiTheme="majorHAnsi"/>
        </w:rPr>
        <w:tab/>
      </w:r>
      <w:r w:rsidR="006A531D">
        <w:rPr>
          <w:rFonts w:asciiTheme="majorHAnsi" w:hAnsiTheme="majorHAnsi"/>
        </w:rPr>
        <w:tab/>
      </w:r>
      <w:r>
        <w:rPr>
          <w:rFonts w:asciiTheme="majorHAnsi" w:hAnsiTheme="majorHAnsi"/>
        </w:rPr>
        <w:t>62</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w:t>
      </w:r>
      <w:proofErr w:type="gramEnd"/>
      <w:r w:rsidRPr="00D00B71">
        <w:rPr>
          <w:rFonts w:asciiTheme="majorHAnsi" w:hAnsiTheme="majorHAnsi"/>
          <w:b/>
        </w:rPr>
        <w:t xml:space="preserve"> 3.2. </w:t>
      </w:r>
      <w:r w:rsidR="00336CB9" w:rsidRPr="00336CB9">
        <w:rPr>
          <w:rFonts w:asciiTheme="majorHAnsi" w:hAnsiTheme="majorHAnsi"/>
        </w:rPr>
        <w:t>eGFP-PTS1 cloning schematic.</w:t>
      </w:r>
      <w:r w:rsidRPr="00D00B71">
        <w:rPr>
          <w:rFonts w:asciiTheme="majorHAnsi" w:hAnsiTheme="majorHAnsi"/>
        </w:rPr>
        <w:tab/>
      </w:r>
      <w:r w:rsidR="00336CB9">
        <w:rPr>
          <w:rFonts w:asciiTheme="majorHAnsi" w:hAnsiTheme="majorHAnsi"/>
        </w:rPr>
        <w:tab/>
      </w:r>
      <w:r w:rsidRPr="00D00B71">
        <w:rPr>
          <w:rFonts w:asciiTheme="majorHAnsi" w:hAnsiTheme="majorHAnsi"/>
        </w:rPr>
        <w:tab/>
      </w:r>
      <w:r w:rsidRPr="00D00B71">
        <w:rPr>
          <w:rFonts w:asciiTheme="majorHAnsi" w:hAnsiTheme="majorHAnsi"/>
        </w:rPr>
        <w:tab/>
      </w:r>
      <w:r>
        <w:rPr>
          <w:rFonts w:asciiTheme="majorHAnsi" w:hAnsiTheme="majorHAnsi"/>
        </w:rPr>
        <w:tab/>
      </w:r>
      <w:r w:rsidR="00C7131B">
        <w:rPr>
          <w:rFonts w:asciiTheme="majorHAnsi" w:hAnsiTheme="majorHAnsi"/>
        </w:rPr>
        <w:t>63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3.3.</w:t>
      </w:r>
      <w:proofErr w:type="gramEnd"/>
      <w:r w:rsidRPr="00D00B71">
        <w:rPr>
          <w:rFonts w:asciiTheme="majorHAnsi" w:hAnsiTheme="majorHAnsi"/>
          <w:b/>
        </w:rPr>
        <w:t xml:space="preserve"> </w:t>
      </w:r>
      <w:proofErr w:type="gramStart"/>
      <w:r w:rsidR="00C7131B" w:rsidRPr="00D00B71">
        <w:rPr>
          <w:rFonts w:asciiTheme="majorHAnsi" w:hAnsiTheme="majorHAnsi"/>
        </w:rPr>
        <w:t>Cell-line and plasmid comparison.</w:t>
      </w:r>
      <w:proofErr w:type="gramEnd"/>
      <w:r w:rsidR="00C7131B"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Pr>
          <w:rFonts w:asciiTheme="majorHAnsi" w:hAnsiTheme="majorHAnsi"/>
        </w:rPr>
        <w:tab/>
      </w:r>
      <w:r w:rsidR="00C7131B">
        <w:rPr>
          <w:rFonts w:asciiTheme="majorHAnsi" w:hAnsiTheme="majorHAnsi"/>
        </w:rPr>
        <w:t>64</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lastRenderedPageBreak/>
        <w:t>Figure 3.4.</w:t>
      </w:r>
      <w:proofErr w:type="gramEnd"/>
      <w:r w:rsidRPr="00D00B71">
        <w:rPr>
          <w:rFonts w:asciiTheme="majorHAnsi" w:hAnsiTheme="majorHAnsi"/>
          <w:b/>
        </w:rPr>
        <w:t xml:space="preserve"> </w:t>
      </w:r>
      <w:r w:rsidR="00C7131B" w:rsidRPr="00D00B71">
        <w:rPr>
          <w:rFonts w:asciiTheme="majorHAnsi" w:hAnsiTheme="majorHAnsi"/>
        </w:rPr>
        <w:t xml:space="preserve">Cross-section of S2R+ and </w:t>
      </w:r>
      <w:r w:rsidR="00C7131B">
        <w:rPr>
          <w:rFonts w:asciiTheme="majorHAnsi" w:hAnsiTheme="majorHAnsi"/>
        </w:rPr>
        <w:t>Kc167 cells with pMt-eGFP-PTS1.</w:t>
      </w:r>
      <w:r w:rsidR="00C7131B" w:rsidRPr="00D00B71">
        <w:rPr>
          <w:rFonts w:asciiTheme="majorHAnsi" w:hAnsiTheme="majorHAnsi"/>
        </w:rPr>
        <w:t>57</w:t>
      </w:r>
      <w:r w:rsidRPr="00D00B71">
        <w:rPr>
          <w:rFonts w:asciiTheme="majorHAnsi" w:hAnsiTheme="majorHAnsi"/>
        </w:rPr>
        <w:t>.</w:t>
      </w:r>
      <w:r w:rsidR="006A531D">
        <w:rPr>
          <w:rFonts w:asciiTheme="majorHAnsi" w:hAnsiTheme="majorHAnsi"/>
        </w:rPr>
        <w:tab/>
      </w:r>
      <w:r w:rsidR="00C7131B">
        <w:rPr>
          <w:rFonts w:asciiTheme="majorHAnsi" w:hAnsiTheme="majorHAnsi"/>
        </w:rPr>
        <w:t>66</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3.5.</w:t>
      </w:r>
      <w:proofErr w:type="gramEnd"/>
      <w:r w:rsidRPr="00D00B71">
        <w:rPr>
          <w:rFonts w:asciiTheme="majorHAnsi" w:hAnsiTheme="majorHAnsi"/>
          <w:b/>
        </w:rPr>
        <w:t xml:space="preserve"> </w:t>
      </w:r>
      <w:proofErr w:type="gramStart"/>
      <w:r w:rsidR="00A944F3" w:rsidRPr="00D00B71">
        <w:rPr>
          <w:rFonts w:asciiTheme="majorHAnsi" w:hAnsiTheme="majorHAnsi"/>
        </w:rPr>
        <w:t>Timeline for 4-day KD.</w:t>
      </w:r>
      <w:proofErr w:type="gramEnd"/>
      <w:r w:rsidR="00A944F3">
        <w:rPr>
          <w:rFonts w:asciiTheme="majorHAnsi" w:hAnsiTheme="majorHAnsi"/>
        </w:rPr>
        <w:tab/>
      </w:r>
      <w:r w:rsidR="00A944F3">
        <w:rPr>
          <w:rFonts w:asciiTheme="majorHAnsi" w:hAnsiTheme="majorHAnsi"/>
        </w:rPr>
        <w:tab/>
      </w:r>
      <w:r w:rsidR="00A944F3">
        <w:rPr>
          <w:rFonts w:asciiTheme="majorHAnsi" w:hAnsiTheme="majorHAnsi"/>
        </w:rPr>
        <w:tab/>
      </w:r>
      <w:r w:rsidR="00A944F3">
        <w:rPr>
          <w:rFonts w:asciiTheme="majorHAnsi" w:hAnsiTheme="majorHAnsi"/>
        </w:rPr>
        <w:tab/>
      </w:r>
      <w:r w:rsidR="00A944F3">
        <w:rPr>
          <w:rFonts w:asciiTheme="majorHAnsi" w:hAnsiTheme="majorHAnsi"/>
        </w:rPr>
        <w:tab/>
      </w:r>
      <w:r w:rsidR="00A944F3">
        <w:rPr>
          <w:rFonts w:asciiTheme="majorHAnsi" w:hAnsiTheme="majorHAnsi"/>
        </w:rPr>
        <w:tab/>
        <w:t>67</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3.6.</w:t>
      </w:r>
      <w:proofErr w:type="gramEnd"/>
      <w:r w:rsidR="00A944F3">
        <w:rPr>
          <w:rFonts w:asciiTheme="majorHAnsi" w:hAnsiTheme="majorHAnsi"/>
        </w:rPr>
        <w:t xml:space="preserve"> </w:t>
      </w:r>
      <w:proofErr w:type="gramStart"/>
      <w:r w:rsidR="00A944F3" w:rsidRPr="00D00B71">
        <w:rPr>
          <w:rFonts w:asciiTheme="majorHAnsi" w:hAnsiTheme="majorHAnsi"/>
        </w:rPr>
        <w:t>Timeline for 6-day KD.</w:t>
      </w:r>
      <w:proofErr w:type="gramEnd"/>
      <w:r w:rsidR="00A944F3">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A944F3">
        <w:rPr>
          <w:rFonts w:asciiTheme="majorHAnsi" w:hAnsiTheme="majorHAnsi"/>
        </w:rPr>
        <w:t>68</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3.7.</w:t>
      </w:r>
      <w:proofErr w:type="gramEnd"/>
      <w:r w:rsidR="00A944F3">
        <w:rPr>
          <w:rFonts w:asciiTheme="majorHAnsi" w:hAnsiTheme="majorHAnsi"/>
        </w:rPr>
        <w:t xml:space="preserve"> </w:t>
      </w:r>
      <w:proofErr w:type="gramStart"/>
      <w:r w:rsidR="00A944F3" w:rsidRPr="00D00B71">
        <w:rPr>
          <w:rFonts w:asciiTheme="majorHAnsi" w:hAnsiTheme="majorHAnsi"/>
        </w:rPr>
        <w:t>Images of 4-day and 6-day KDs</w:t>
      </w:r>
      <w:r w:rsidR="00A944F3" w:rsidRPr="00D00B71">
        <w:rPr>
          <w:rFonts w:asciiTheme="majorHAnsi" w:hAnsiTheme="majorHAnsi"/>
          <w:b/>
        </w:rPr>
        <w:t>.</w:t>
      </w:r>
      <w:proofErr w:type="gramEnd"/>
      <w:r w:rsidR="006149E0">
        <w:rPr>
          <w:rFonts w:asciiTheme="majorHAnsi" w:hAnsiTheme="majorHAnsi"/>
        </w:rPr>
        <w:tab/>
      </w:r>
      <w:r w:rsidR="006149E0">
        <w:rPr>
          <w:rFonts w:asciiTheme="majorHAnsi" w:hAnsiTheme="majorHAnsi"/>
        </w:rPr>
        <w:tab/>
      </w:r>
      <w:r w:rsidR="006149E0">
        <w:rPr>
          <w:rFonts w:asciiTheme="majorHAnsi" w:hAnsiTheme="majorHAnsi"/>
        </w:rPr>
        <w:tab/>
      </w:r>
      <w:r w:rsidR="006149E0">
        <w:rPr>
          <w:rFonts w:asciiTheme="majorHAnsi" w:hAnsiTheme="majorHAnsi"/>
        </w:rPr>
        <w:tab/>
      </w:r>
      <w:r w:rsidR="006149E0">
        <w:rPr>
          <w:rFonts w:asciiTheme="majorHAnsi" w:hAnsiTheme="majorHAnsi"/>
        </w:rPr>
        <w:tab/>
        <w:t>69</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3.8.</w:t>
      </w:r>
      <w:proofErr w:type="gramEnd"/>
      <w:r w:rsidR="006149E0">
        <w:rPr>
          <w:rFonts w:asciiTheme="majorHAnsi" w:hAnsiTheme="majorHAnsi"/>
          <w:b/>
        </w:rPr>
        <w:t xml:space="preserve"> </w:t>
      </w:r>
      <w:proofErr w:type="gramStart"/>
      <w:r w:rsidR="006149E0" w:rsidRPr="00D00B71">
        <w:rPr>
          <w:rFonts w:asciiTheme="majorHAnsi" w:hAnsiTheme="majorHAnsi"/>
        </w:rPr>
        <w:t>DNA amplicon templates and long dsRNAs.</w:t>
      </w:r>
      <w:proofErr w:type="gramEnd"/>
      <w:r w:rsidRPr="00D00B71">
        <w:rPr>
          <w:rFonts w:asciiTheme="majorHAnsi" w:hAnsiTheme="majorHAnsi"/>
          <w:b/>
        </w:rPr>
        <w:tab/>
      </w:r>
      <w:r w:rsidRPr="00D00B71">
        <w:rPr>
          <w:rFonts w:asciiTheme="majorHAnsi" w:hAnsiTheme="majorHAnsi"/>
          <w:b/>
        </w:rPr>
        <w:tab/>
      </w:r>
      <w:r w:rsidR="006A531D">
        <w:rPr>
          <w:rFonts w:asciiTheme="majorHAnsi" w:hAnsiTheme="majorHAnsi"/>
          <w:b/>
        </w:rPr>
        <w:tab/>
      </w:r>
      <w:r w:rsidR="006149E0">
        <w:rPr>
          <w:rFonts w:asciiTheme="majorHAnsi" w:hAnsiTheme="majorHAnsi"/>
        </w:rPr>
        <w:t>71</w:t>
      </w:r>
    </w:p>
    <w:p w:rsidR="000C26B2" w:rsidRPr="00D00B71" w:rsidRDefault="00AA797A" w:rsidP="000C26B2">
      <w:pPr>
        <w:spacing w:after="120" w:line="276" w:lineRule="auto"/>
        <w:rPr>
          <w:rFonts w:asciiTheme="majorHAnsi" w:hAnsiTheme="majorHAnsi"/>
        </w:rPr>
      </w:pPr>
      <w:proofErr w:type="gramStart"/>
      <w:r w:rsidRPr="00D00B71">
        <w:rPr>
          <w:rFonts w:asciiTheme="majorHAnsi" w:hAnsiTheme="majorHAnsi"/>
          <w:b/>
        </w:rPr>
        <w:t>Figure</w:t>
      </w:r>
      <w:r>
        <w:rPr>
          <w:rFonts w:asciiTheme="majorHAnsi" w:hAnsiTheme="majorHAnsi"/>
          <w:b/>
        </w:rPr>
        <w:t xml:space="preserve"> </w:t>
      </w:r>
      <w:r w:rsidRPr="00D00B71">
        <w:rPr>
          <w:rFonts w:asciiTheme="majorHAnsi" w:hAnsiTheme="majorHAnsi"/>
          <w:b/>
        </w:rPr>
        <w:t>3.9</w:t>
      </w:r>
      <w:r w:rsidR="000C26B2" w:rsidRPr="00D00B71">
        <w:rPr>
          <w:rFonts w:asciiTheme="majorHAnsi" w:hAnsiTheme="majorHAnsi"/>
          <w:b/>
        </w:rPr>
        <w:t>.</w:t>
      </w:r>
      <w:proofErr w:type="gramEnd"/>
      <w:r w:rsidR="006149E0">
        <w:rPr>
          <w:rFonts w:asciiTheme="majorHAnsi" w:hAnsiTheme="majorHAnsi"/>
        </w:rPr>
        <w:t xml:space="preserve"> </w:t>
      </w:r>
      <w:proofErr w:type="gramStart"/>
      <w:r w:rsidR="006149E0" w:rsidRPr="00D00B71">
        <w:rPr>
          <w:rFonts w:asciiTheme="majorHAnsi" w:hAnsiTheme="majorHAnsi"/>
        </w:rPr>
        <w:t xml:space="preserve">6-day KDs of </w:t>
      </w:r>
      <w:r w:rsidR="00D93535" w:rsidRPr="00D93535">
        <w:rPr>
          <w:rFonts w:asciiTheme="majorHAnsi" w:hAnsiTheme="majorHAnsi"/>
          <w:i/>
        </w:rPr>
        <w:t>PEX</w:t>
      </w:r>
      <w:r w:rsidR="006149E0" w:rsidRPr="00D00B71">
        <w:rPr>
          <w:rFonts w:asciiTheme="majorHAnsi" w:hAnsiTheme="majorHAnsi"/>
        </w:rPr>
        <w:t xml:space="preserve">3, </w:t>
      </w:r>
      <w:r w:rsidR="00D93535" w:rsidRPr="00D93535">
        <w:rPr>
          <w:rFonts w:asciiTheme="majorHAnsi" w:hAnsiTheme="majorHAnsi"/>
          <w:i/>
        </w:rPr>
        <w:t>PEX</w:t>
      </w:r>
      <w:r w:rsidR="006149E0" w:rsidRPr="00D00B71">
        <w:rPr>
          <w:rFonts w:asciiTheme="majorHAnsi" w:hAnsiTheme="majorHAnsi"/>
        </w:rPr>
        <w:t xml:space="preserve">16 and </w:t>
      </w:r>
      <w:r w:rsidR="00D93535" w:rsidRPr="00D93535">
        <w:rPr>
          <w:rFonts w:asciiTheme="majorHAnsi" w:hAnsiTheme="majorHAnsi"/>
          <w:i/>
        </w:rPr>
        <w:t>PEX</w:t>
      </w:r>
      <w:r w:rsidR="006149E0" w:rsidRPr="00D00B71">
        <w:rPr>
          <w:rFonts w:asciiTheme="majorHAnsi" w:hAnsiTheme="majorHAnsi"/>
        </w:rPr>
        <w:t>19 in S2R+ cells.</w:t>
      </w:r>
      <w:proofErr w:type="gramEnd"/>
      <w:r w:rsidR="000C26B2" w:rsidRPr="00D00B71">
        <w:rPr>
          <w:rFonts w:asciiTheme="majorHAnsi" w:hAnsiTheme="majorHAnsi"/>
        </w:rPr>
        <w:tab/>
      </w:r>
      <w:r w:rsidR="000C26B2">
        <w:rPr>
          <w:rFonts w:asciiTheme="majorHAnsi" w:hAnsiTheme="majorHAnsi"/>
        </w:rPr>
        <w:tab/>
      </w:r>
      <w:r w:rsidR="006149E0">
        <w:rPr>
          <w:rFonts w:asciiTheme="majorHAnsi" w:hAnsiTheme="majorHAnsi"/>
        </w:rPr>
        <w:t>73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3.10.</w:t>
      </w:r>
      <w:proofErr w:type="gramEnd"/>
      <w:r w:rsidR="00D64FA4">
        <w:rPr>
          <w:rFonts w:asciiTheme="majorHAnsi" w:hAnsiTheme="majorHAnsi"/>
        </w:rPr>
        <w:t xml:space="preserve"> </w:t>
      </w:r>
      <w:proofErr w:type="gramStart"/>
      <w:r w:rsidR="00D64FA4" w:rsidRPr="00D00B71">
        <w:rPr>
          <w:rFonts w:asciiTheme="majorHAnsi" w:hAnsiTheme="majorHAnsi"/>
        </w:rPr>
        <w:t>A schematic of the layout of the assay plate.</w:t>
      </w:r>
      <w:proofErr w:type="gramEnd"/>
      <w:r w:rsidR="00D64FA4">
        <w:rPr>
          <w:rFonts w:asciiTheme="majorHAnsi" w:hAnsiTheme="majorHAnsi"/>
        </w:rPr>
        <w:tab/>
      </w:r>
      <w:r w:rsidR="00D64FA4">
        <w:rPr>
          <w:rFonts w:asciiTheme="majorHAnsi" w:hAnsiTheme="majorHAnsi"/>
        </w:rPr>
        <w:tab/>
      </w:r>
      <w:r w:rsidR="006A531D">
        <w:rPr>
          <w:rFonts w:asciiTheme="majorHAnsi" w:hAnsiTheme="majorHAnsi"/>
        </w:rPr>
        <w:tab/>
      </w:r>
      <w:r w:rsidR="00D64FA4">
        <w:rPr>
          <w:rFonts w:asciiTheme="majorHAnsi" w:hAnsiTheme="majorHAnsi"/>
        </w:rPr>
        <w:t>74</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3.11.</w:t>
      </w:r>
      <w:proofErr w:type="gramEnd"/>
      <w:r w:rsidR="00D64FA4">
        <w:rPr>
          <w:rFonts w:asciiTheme="majorHAnsi" w:hAnsiTheme="majorHAnsi"/>
        </w:rPr>
        <w:t xml:space="preserve"> </w:t>
      </w:r>
      <w:proofErr w:type="gramStart"/>
      <w:r w:rsidR="00D64FA4" w:rsidRPr="00D00B71">
        <w:rPr>
          <w:rFonts w:asciiTheme="majorHAnsi" w:hAnsiTheme="majorHAnsi"/>
        </w:rPr>
        <w:t>Stages of development schematic 2.</w:t>
      </w:r>
      <w:proofErr w:type="gramEnd"/>
      <w:r w:rsidR="00D64FA4">
        <w:rPr>
          <w:rFonts w:asciiTheme="majorHAnsi" w:hAnsiTheme="majorHAnsi"/>
        </w:rPr>
        <w:tab/>
      </w:r>
      <w:r w:rsidR="00D64FA4">
        <w:rPr>
          <w:rFonts w:asciiTheme="majorHAnsi" w:hAnsiTheme="majorHAnsi"/>
        </w:rPr>
        <w:tab/>
      </w:r>
      <w:r w:rsidR="00D64FA4">
        <w:rPr>
          <w:rFonts w:asciiTheme="majorHAnsi" w:hAnsiTheme="majorHAnsi"/>
        </w:rPr>
        <w:tab/>
      </w:r>
      <w:r w:rsidR="006A531D">
        <w:rPr>
          <w:rFonts w:asciiTheme="majorHAnsi" w:hAnsiTheme="majorHAnsi"/>
        </w:rPr>
        <w:tab/>
      </w:r>
      <w:r w:rsidR="00D64FA4">
        <w:rPr>
          <w:rFonts w:asciiTheme="majorHAnsi" w:hAnsiTheme="majorHAnsi"/>
        </w:rPr>
        <w:t>75</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3.12.</w:t>
      </w:r>
      <w:proofErr w:type="gramEnd"/>
      <w:r w:rsidR="00D64FA4">
        <w:rPr>
          <w:rFonts w:asciiTheme="majorHAnsi" w:hAnsiTheme="majorHAnsi"/>
          <w:b/>
        </w:rPr>
        <w:t xml:space="preserve"> </w:t>
      </w:r>
      <w:r w:rsidR="00D64FA4" w:rsidRPr="00D00B71">
        <w:rPr>
          <w:rFonts w:asciiTheme="majorHAnsi" w:hAnsiTheme="majorHAnsi"/>
        </w:rPr>
        <w:t>A schematic diagram showing how each seeding density was achieved.</w:t>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D64FA4">
        <w:rPr>
          <w:rFonts w:asciiTheme="majorHAnsi" w:hAnsiTheme="majorHAnsi"/>
        </w:rPr>
        <w:tab/>
      </w:r>
      <w:r w:rsidR="00D64FA4">
        <w:rPr>
          <w:rFonts w:asciiTheme="majorHAnsi" w:hAnsiTheme="majorHAnsi"/>
        </w:rPr>
        <w:tab/>
      </w:r>
      <w:r w:rsidR="00D64FA4">
        <w:rPr>
          <w:rFonts w:asciiTheme="majorHAnsi" w:hAnsiTheme="majorHAnsi"/>
        </w:rPr>
        <w:tab/>
      </w:r>
      <w:r w:rsidR="00D64FA4">
        <w:rPr>
          <w:rFonts w:asciiTheme="majorHAnsi" w:hAnsiTheme="majorHAnsi"/>
        </w:rPr>
        <w:tab/>
      </w:r>
      <w:r w:rsidR="00D64FA4">
        <w:rPr>
          <w:rFonts w:asciiTheme="majorHAnsi" w:hAnsiTheme="majorHAnsi"/>
        </w:rPr>
        <w:tab/>
      </w:r>
      <w:r w:rsidR="00D64FA4">
        <w:rPr>
          <w:rFonts w:asciiTheme="majorHAnsi" w:hAnsiTheme="majorHAnsi"/>
        </w:rPr>
        <w:tab/>
      </w:r>
      <w:r w:rsidR="00D64FA4">
        <w:rPr>
          <w:rFonts w:asciiTheme="majorHAnsi" w:hAnsiTheme="majorHAnsi"/>
        </w:rPr>
        <w:tab/>
        <w:t>77</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3.13.</w:t>
      </w:r>
      <w:proofErr w:type="gramEnd"/>
      <w:r w:rsidR="001D7B15">
        <w:rPr>
          <w:rFonts w:asciiTheme="majorHAnsi" w:hAnsiTheme="majorHAnsi"/>
        </w:rPr>
        <w:t xml:space="preserve"> </w:t>
      </w:r>
      <w:proofErr w:type="gramStart"/>
      <w:r w:rsidR="001D7B15" w:rsidRPr="00D00B71">
        <w:rPr>
          <w:rFonts w:asciiTheme="majorHAnsi" w:hAnsiTheme="majorHAnsi"/>
        </w:rPr>
        <w:t>Optimisation of cell-seeding density.</w:t>
      </w:r>
      <w:proofErr w:type="gramEnd"/>
      <w:r w:rsidR="001D7B15" w:rsidRPr="00D00B71">
        <w:rPr>
          <w:rFonts w:asciiTheme="majorHAnsi" w:hAnsiTheme="majorHAnsi"/>
        </w:rPr>
        <w:t xml:space="preserve">  </w:t>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6A531D">
        <w:rPr>
          <w:rFonts w:asciiTheme="majorHAnsi" w:hAnsiTheme="majorHAnsi"/>
        </w:rPr>
        <w:tab/>
      </w:r>
      <w:r w:rsidR="001D7B15">
        <w:rPr>
          <w:rFonts w:asciiTheme="majorHAnsi" w:hAnsiTheme="majorHAnsi"/>
        </w:rPr>
        <w:t>79</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3.14.</w:t>
      </w:r>
      <w:proofErr w:type="gramEnd"/>
      <w:r w:rsidR="00895C21">
        <w:rPr>
          <w:rFonts w:asciiTheme="majorHAnsi" w:hAnsiTheme="majorHAnsi"/>
        </w:rPr>
        <w:t xml:space="preserve"> </w:t>
      </w:r>
      <w:proofErr w:type="gramStart"/>
      <w:r w:rsidR="00895C21" w:rsidRPr="00D00B71">
        <w:rPr>
          <w:rFonts w:asciiTheme="majorHAnsi" w:hAnsiTheme="majorHAnsi"/>
        </w:rPr>
        <w:t>Stages of development schematic 3.</w:t>
      </w:r>
      <w:proofErr w:type="gramEnd"/>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895C21">
        <w:rPr>
          <w:rFonts w:asciiTheme="majorHAnsi" w:hAnsiTheme="majorHAnsi"/>
        </w:rPr>
        <w:tab/>
        <w:t>81</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3.15.</w:t>
      </w:r>
      <w:proofErr w:type="gramEnd"/>
      <w:r w:rsidR="00895C21">
        <w:rPr>
          <w:rFonts w:asciiTheme="majorHAnsi" w:hAnsiTheme="majorHAnsi"/>
        </w:rPr>
        <w:t xml:space="preserve"> </w:t>
      </w:r>
      <w:proofErr w:type="gramStart"/>
      <w:r w:rsidR="00895C21" w:rsidRPr="00D00B71">
        <w:rPr>
          <w:rFonts w:asciiTheme="majorHAnsi" w:hAnsiTheme="majorHAnsi"/>
        </w:rPr>
        <w:t>Stages of development schematic 4.</w:t>
      </w:r>
      <w:proofErr w:type="gramEnd"/>
      <w:r w:rsidR="00895C21">
        <w:rPr>
          <w:rFonts w:asciiTheme="majorHAnsi" w:hAnsiTheme="majorHAnsi"/>
        </w:rPr>
        <w:tab/>
      </w:r>
      <w:r w:rsidR="00895C21">
        <w:rPr>
          <w:rFonts w:asciiTheme="majorHAnsi" w:hAnsiTheme="majorHAnsi"/>
        </w:rPr>
        <w:tab/>
      </w:r>
      <w:r w:rsidRPr="00D00B71">
        <w:rPr>
          <w:rFonts w:asciiTheme="majorHAnsi" w:hAnsiTheme="majorHAnsi"/>
        </w:rPr>
        <w:tab/>
      </w:r>
      <w:r w:rsidRPr="00D00B71">
        <w:rPr>
          <w:rFonts w:asciiTheme="majorHAnsi" w:hAnsiTheme="majorHAnsi"/>
        </w:rPr>
        <w:tab/>
      </w:r>
      <w:r w:rsidR="00895C21">
        <w:rPr>
          <w:rFonts w:asciiTheme="majorHAnsi" w:hAnsiTheme="majorHAnsi"/>
        </w:rPr>
        <w:t>82</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3.16.</w:t>
      </w:r>
      <w:proofErr w:type="gramEnd"/>
      <w:r w:rsidR="00895C21">
        <w:rPr>
          <w:rFonts w:asciiTheme="majorHAnsi" w:hAnsiTheme="majorHAnsi"/>
        </w:rPr>
        <w:t xml:space="preserve"> </w:t>
      </w:r>
      <w:r w:rsidR="00895C21" w:rsidRPr="00D00B71">
        <w:rPr>
          <w:rFonts w:asciiTheme="majorHAnsi" w:hAnsiTheme="majorHAnsi"/>
        </w:rPr>
        <w:t>GFP segmentation of WT cells using Multi Wavelength Cell Scoring.</w:t>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895C21">
        <w:rPr>
          <w:rFonts w:asciiTheme="majorHAnsi" w:hAnsiTheme="majorHAnsi"/>
        </w:rPr>
        <w:tab/>
      </w:r>
      <w:r w:rsidR="00895C21">
        <w:rPr>
          <w:rFonts w:asciiTheme="majorHAnsi" w:hAnsiTheme="majorHAnsi"/>
        </w:rPr>
        <w:tab/>
      </w:r>
      <w:r w:rsidR="00895C21">
        <w:rPr>
          <w:rFonts w:asciiTheme="majorHAnsi" w:hAnsiTheme="majorHAnsi"/>
        </w:rPr>
        <w:tab/>
      </w:r>
      <w:r w:rsidR="00895C21">
        <w:rPr>
          <w:rFonts w:asciiTheme="majorHAnsi" w:hAnsiTheme="majorHAnsi"/>
        </w:rPr>
        <w:tab/>
      </w:r>
      <w:r w:rsidR="00895C21">
        <w:rPr>
          <w:rFonts w:asciiTheme="majorHAnsi" w:hAnsiTheme="majorHAnsi"/>
        </w:rPr>
        <w:tab/>
      </w:r>
      <w:r w:rsidR="00895C21">
        <w:rPr>
          <w:rFonts w:asciiTheme="majorHAnsi" w:hAnsiTheme="majorHAnsi"/>
        </w:rPr>
        <w:tab/>
      </w:r>
      <w:r w:rsidR="00895C21">
        <w:rPr>
          <w:rFonts w:asciiTheme="majorHAnsi" w:hAnsiTheme="majorHAnsi"/>
        </w:rPr>
        <w:tab/>
      </w:r>
      <w:r w:rsidR="00895C21">
        <w:rPr>
          <w:rFonts w:asciiTheme="majorHAnsi" w:hAnsiTheme="majorHAnsi"/>
        </w:rPr>
        <w:tab/>
      </w:r>
      <w:r w:rsidR="00312027">
        <w:rPr>
          <w:rFonts w:asciiTheme="majorHAnsi" w:hAnsiTheme="majorHAnsi"/>
        </w:rPr>
        <w:t>84</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3.17.</w:t>
      </w:r>
      <w:proofErr w:type="gramEnd"/>
      <w:r w:rsidR="00312027">
        <w:rPr>
          <w:rFonts w:asciiTheme="majorHAnsi" w:hAnsiTheme="majorHAnsi"/>
          <w:b/>
        </w:rPr>
        <w:t xml:space="preserve"> </w:t>
      </w:r>
      <w:r w:rsidR="00312027" w:rsidRPr="00D00B71">
        <w:rPr>
          <w:rFonts w:asciiTheme="majorHAnsi" w:hAnsiTheme="majorHAnsi"/>
        </w:rPr>
        <w:t>Nuclear segmentation of WT cells using Multi Wavelength Cell Scoring.</w:t>
      </w:r>
      <w:r w:rsidRPr="00D00B71">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sidR="006A531D">
        <w:rPr>
          <w:rFonts w:asciiTheme="majorHAnsi" w:hAnsiTheme="majorHAnsi"/>
        </w:rPr>
        <w:tab/>
      </w:r>
      <w:r w:rsidR="006A531D">
        <w:rPr>
          <w:rFonts w:asciiTheme="majorHAnsi" w:hAnsiTheme="majorHAnsi"/>
        </w:rPr>
        <w:tab/>
      </w:r>
      <w:r w:rsidR="00312027">
        <w:rPr>
          <w:rFonts w:asciiTheme="majorHAnsi" w:hAnsiTheme="majorHAnsi"/>
        </w:rPr>
        <w:t>84</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3.18.</w:t>
      </w:r>
      <w:proofErr w:type="gramEnd"/>
      <w:r w:rsidR="00312027">
        <w:rPr>
          <w:rFonts w:asciiTheme="majorHAnsi" w:hAnsiTheme="majorHAnsi"/>
        </w:rPr>
        <w:t xml:space="preserve"> </w:t>
      </w:r>
      <w:proofErr w:type="gramStart"/>
      <w:r w:rsidR="00312027" w:rsidRPr="00D00B71">
        <w:rPr>
          <w:rFonts w:asciiTheme="majorHAnsi" w:hAnsiTheme="majorHAnsi"/>
        </w:rPr>
        <w:t>The combined MCWS segmentations of WT cells.</w:t>
      </w:r>
      <w:proofErr w:type="gramEnd"/>
      <w:r w:rsidR="006A531D">
        <w:rPr>
          <w:rFonts w:asciiTheme="majorHAnsi" w:hAnsiTheme="majorHAnsi"/>
        </w:rPr>
        <w:tab/>
      </w:r>
      <w:r w:rsidR="006A531D">
        <w:rPr>
          <w:rFonts w:asciiTheme="majorHAnsi" w:hAnsiTheme="majorHAnsi"/>
        </w:rPr>
        <w:tab/>
      </w:r>
      <w:r w:rsidR="00312027">
        <w:rPr>
          <w:rFonts w:asciiTheme="majorHAnsi" w:hAnsiTheme="majorHAnsi"/>
        </w:rPr>
        <w:t>85</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3.19.</w:t>
      </w:r>
      <w:proofErr w:type="gramEnd"/>
      <w:r w:rsidR="0024632A">
        <w:rPr>
          <w:rFonts w:asciiTheme="majorHAnsi" w:hAnsiTheme="majorHAnsi"/>
        </w:rPr>
        <w:t xml:space="preserve"> </w:t>
      </w:r>
      <w:proofErr w:type="gramStart"/>
      <w:r w:rsidR="0024632A" w:rsidRPr="00D00B71">
        <w:rPr>
          <w:rFonts w:asciiTheme="majorHAnsi" w:hAnsiTheme="majorHAnsi"/>
        </w:rPr>
        <w:t>Binary Settings.</w:t>
      </w:r>
      <w:proofErr w:type="gramEnd"/>
      <w:r w:rsidRPr="00D00B71">
        <w:rPr>
          <w:rFonts w:asciiTheme="majorHAnsi" w:hAnsiTheme="majorHAnsi"/>
        </w:rPr>
        <w:tab/>
      </w:r>
      <w:r w:rsidR="0024632A">
        <w:rPr>
          <w:rFonts w:asciiTheme="majorHAnsi" w:hAnsiTheme="majorHAnsi"/>
        </w:rPr>
        <w:tab/>
      </w:r>
      <w:r w:rsidR="0024632A">
        <w:rPr>
          <w:rFonts w:asciiTheme="majorHAnsi" w:hAnsiTheme="majorHAnsi"/>
        </w:rPr>
        <w:tab/>
      </w:r>
      <w:r w:rsidR="0024632A">
        <w:rPr>
          <w:rFonts w:asciiTheme="majorHAnsi" w:hAnsiTheme="majorHAnsi"/>
        </w:rPr>
        <w:tab/>
      </w:r>
      <w:r w:rsidR="0024632A">
        <w:rPr>
          <w:rFonts w:asciiTheme="majorHAnsi" w:hAnsiTheme="majorHAnsi"/>
        </w:rPr>
        <w:tab/>
      </w:r>
      <w:r w:rsidR="0024632A">
        <w:rPr>
          <w:rFonts w:asciiTheme="majorHAnsi" w:hAnsiTheme="majorHAnsi"/>
        </w:rPr>
        <w:tab/>
      </w:r>
      <w:r w:rsidR="0024632A">
        <w:rPr>
          <w:rFonts w:asciiTheme="majorHAnsi" w:hAnsiTheme="majorHAnsi"/>
        </w:rPr>
        <w:tab/>
        <w:t>86</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3.20.</w:t>
      </w:r>
      <w:proofErr w:type="gramEnd"/>
      <w:r w:rsidR="0024632A">
        <w:rPr>
          <w:rFonts w:asciiTheme="majorHAnsi" w:hAnsiTheme="majorHAnsi"/>
        </w:rPr>
        <w:t xml:space="preserve"> </w:t>
      </w:r>
      <w:proofErr w:type="gramStart"/>
      <w:r w:rsidR="0024632A" w:rsidRPr="00D00B71">
        <w:rPr>
          <w:rFonts w:asciiTheme="majorHAnsi" w:hAnsiTheme="majorHAnsi"/>
        </w:rPr>
        <w:t>Transfluor setting and peroxisomal segmentation.</w:t>
      </w:r>
      <w:proofErr w:type="gramEnd"/>
      <w:r w:rsidRPr="00D00B71">
        <w:rPr>
          <w:rFonts w:asciiTheme="majorHAnsi" w:hAnsiTheme="majorHAnsi"/>
        </w:rPr>
        <w:tab/>
      </w:r>
      <w:r w:rsidR="006A531D">
        <w:rPr>
          <w:rFonts w:asciiTheme="majorHAnsi" w:hAnsiTheme="majorHAnsi"/>
        </w:rPr>
        <w:tab/>
      </w:r>
      <w:r w:rsidR="0024632A">
        <w:rPr>
          <w:rFonts w:asciiTheme="majorHAnsi" w:hAnsiTheme="majorHAnsi"/>
        </w:rPr>
        <w:t>8</w:t>
      </w:r>
      <w:r w:rsidRPr="00D00B71">
        <w:rPr>
          <w:rFonts w:asciiTheme="majorHAnsi" w:hAnsiTheme="majorHAnsi"/>
        </w:rPr>
        <w:t>6</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3.21.</w:t>
      </w:r>
      <w:proofErr w:type="gramEnd"/>
      <w:r w:rsidR="0024632A">
        <w:rPr>
          <w:rFonts w:asciiTheme="majorHAnsi" w:hAnsiTheme="majorHAnsi"/>
        </w:rPr>
        <w:t xml:space="preserve"> </w:t>
      </w:r>
      <w:proofErr w:type="gramStart"/>
      <w:r w:rsidR="0024632A" w:rsidRPr="00D00B71">
        <w:rPr>
          <w:rFonts w:asciiTheme="majorHAnsi" w:hAnsiTheme="majorHAnsi"/>
        </w:rPr>
        <w:t>Journal application list.</w:t>
      </w:r>
      <w:proofErr w:type="gramEnd"/>
      <w:r w:rsidR="0024632A">
        <w:rPr>
          <w:rFonts w:asciiTheme="majorHAnsi" w:hAnsiTheme="majorHAnsi"/>
        </w:rPr>
        <w:tab/>
      </w:r>
      <w:r w:rsidR="0024632A">
        <w:rPr>
          <w:rFonts w:asciiTheme="majorHAnsi" w:hAnsiTheme="majorHAnsi"/>
        </w:rPr>
        <w:tab/>
      </w:r>
      <w:r w:rsidR="0024632A">
        <w:rPr>
          <w:rFonts w:asciiTheme="majorHAnsi" w:hAnsiTheme="majorHAnsi"/>
        </w:rPr>
        <w:tab/>
      </w:r>
      <w:r w:rsidR="0024632A">
        <w:rPr>
          <w:rFonts w:asciiTheme="majorHAnsi" w:hAnsiTheme="majorHAnsi"/>
        </w:rPr>
        <w:tab/>
      </w:r>
      <w:r w:rsidR="0024632A">
        <w:rPr>
          <w:rFonts w:asciiTheme="majorHAnsi" w:hAnsiTheme="majorHAnsi"/>
        </w:rPr>
        <w:tab/>
      </w:r>
      <w:r w:rsidR="0024632A">
        <w:rPr>
          <w:rFonts w:asciiTheme="majorHAnsi" w:hAnsiTheme="majorHAnsi"/>
        </w:rPr>
        <w:tab/>
        <w:t>88</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3.22.</w:t>
      </w:r>
      <w:proofErr w:type="gramEnd"/>
      <w:r w:rsidR="0024632A">
        <w:rPr>
          <w:rFonts w:asciiTheme="majorHAnsi" w:hAnsiTheme="majorHAnsi"/>
        </w:rPr>
        <w:t xml:space="preserve"> </w:t>
      </w:r>
      <w:proofErr w:type="gramStart"/>
      <w:r w:rsidR="0024632A" w:rsidRPr="00D00B71">
        <w:rPr>
          <w:rFonts w:asciiTheme="majorHAnsi" w:hAnsiTheme="majorHAnsi"/>
        </w:rPr>
        <w:t xml:space="preserve">Stepwise segmentation of </w:t>
      </w:r>
      <w:r w:rsidR="00D93535" w:rsidRPr="00D93535">
        <w:rPr>
          <w:rFonts w:asciiTheme="majorHAnsi" w:hAnsiTheme="majorHAnsi"/>
          <w:i/>
        </w:rPr>
        <w:t>PEX</w:t>
      </w:r>
      <w:r w:rsidR="0024632A" w:rsidRPr="00D00B71">
        <w:rPr>
          <w:rFonts w:asciiTheme="majorHAnsi" w:hAnsiTheme="majorHAnsi"/>
        </w:rPr>
        <w:t>5 KD.</w:t>
      </w:r>
      <w:proofErr w:type="gramEnd"/>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24632A">
        <w:rPr>
          <w:rFonts w:asciiTheme="majorHAnsi" w:hAnsiTheme="majorHAnsi"/>
        </w:rPr>
        <w:tab/>
        <w:t>8</w:t>
      </w:r>
      <w:r w:rsidRPr="00D00B71">
        <w:rPr>
          <w:rFonts w:asciiTheme="majorHAnsi" w:hAnsiTheme="majorHAnsi"/>
        </w:rPr>
        <w:t>9</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3.23.</w:t>
      </w:r>
      <w:proofErr w:type="gramEnd"/>
      <w:r w:rsidR="00A50E49">
        <w:rPr>
          <w:rFonts w:asciiTheme="majorHAnsi" w:hAnsiTheme="majorHAnsi"/>
          <w:b/>
        </w:rPr>
        <w:t xml:space="preserve"> </w:t>
      </w:r>
      <w:proofErr w:type="gramStart"/>
      <w:r w:rsidR="00A50E49" w:rsidRPr="00D00B71">
        <w:rPr>
          <w:rFonts w:asciiTheme="majorHAnsi" w:hAnsiTheme="majorHAnsi"/>
        </w:rPr>
        <w:t>The equation f</w:t>
      </w:r>
      <w:r w:rsidR="00A50E49">
        <w:rPr>
          <w:rFonts w:asciiTheme="majorHAnsi" w:hAnsiTheme="majorHAnsi"/>
        </w:rPr>
        <w:t>or calculating a Z</w:t>
      </w:r>
      <w:r w:rsidR="00A50E49" w:rsidRPr="00D00B71">
        <w:rPr>
          <w:rFonts w:asciiTheme="majorHAnsi" w:hAnsiTheme="majorHAnsi"/>
        </w:rPr>
        <w:t>-score.</w:t>
      </w:r>
      <w:proofErr w:type="gramEnd"/>
      <w:r w:rsidR="00A50E49" w:rsidRPr="00D00B71">
        <w:rPr>
          <w:rFonts w:asciiTheme="majorHAnsi" w:hAnsiTheme="majorHAnsi"/>
        </w:rPr>
        <w:tab/>
      </w:r>
      <w:r w:rsidR="00A50E49">
        <w:rPr>
          <w:rFonts w:asciiTheme="majorHAnsi" w:hAnsiTheme="majorHAnsi"/>
        </w:rPr>
        <w:tab/>
      </w:r>
      <w:r w:rsidR="00A50E49">
        <w:rPr>
          <w:rFonts w:asciiTheme="majorHAnsi" w:hAnsiTheme="majorHAnsi"/>
        </w:rPr>
        <w:tab/>
      </w:r>
      <w:r w:rsidR="00A50E49">
        <w:rPr>
          <w:rFonts w:asciiTheme="majorHAnsi" w:hAnsiTheme="majorHAnsi"/>
        </w:rPr>
        <w:tab/>
        <w:t>90</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3.24.</w:t>
      </w:r>
      <w:proofErr w:type="gramEnd"/>
      <w:r w:rsidR="00A50E49">
        <w:rPr>
          <w:rFonts w:asciiTheme="majorHAnsi" w:hAnsiTheme="majorHAnsi"/>
          <w:b/>
        </w:rPr>
        <w:t xml:space="preserve"> </w:t>
      </w:r>
      <w:r w:rsidR="00A50E49">
        <w:rPr>
          <w:rFonts w:asciiTheme="majorHAnsi" w:hAnsiTheme="majorHAnsi"/>
        </w:rPr>
        <w:t xml:space="preserve">Screen 1 </w:t>
      </w:r>
      <w:proofErr w:type="gramStart"/>
      <w:r w:rsidR="00A50E49">
        <w:rPr>
          <w:rFonts w:asciiTheme="majorHAnsi" w:hAnsiTheme="majorHAnsi"/>
        </w:rPr>
        <w:t>c</w:t>
      </w:r>
      <w:r w:rsidR="00A50E49" w:rsidRPr="00D00B71">
        <w:rPr>
          <w:rFonts w:asciiTheme="majorHAnsi" w:hAnsiTheme="majorHAnsi"/>
        </w:rPr>
        <w:t>ontrols</w:t>
      </w:r>
      <w:proofErr w:type="gramEnd"/>
      <w:r w:rsidR="00A50E49" w:rsidRPr="00D00B71">
        <w:rPr>
          <w:rFonts w:asciiTheme="majorHAnsi" w:hAnsiTheme="majorHAnsi"/>
        </w:rPr>
        <w:t>.</w:t>
      </w:r>
      <w:r w:rsidR="00A50E49">
        <w:rPr>
          <w:rFonts w:asciiTheme="majorHAnsi" w:hAnsiTheme="majorHAnsi"/>
        </w:rPr>
        <w:tab/>
      </w:r>
      <w:r w:rsidR="00A50E49">
        <w:rPr>
          <w:rFonts w:asciiTheme="majorHAnsi" w:hAnsiTheme="majorHAnsi"/>
        </w:rPr>
        <w:tab/>
      </w:r>
      <w:r w:rsidR="00A50E49">
        <w:rPr>
          <w:rFonts w:asciiTheme="majorHAnsi" w:hAnsiTheme="majorHAnsi"/>
        </w:rPr>
        <w:tab/>
      </w:r>
      <w:r w:rsidR="00A50E49">
        <w:rPr>
          <w:rFonts w:asciiTheme="majorHAnsi" w:hAnsiTheme="majorHAnsi"/>
        </w:rPr>
        <w:tab/>
      </w:r>
      <w:r w:rsidRPr="00D00B71">
        <w:rPr>
          <w:rFonts w:asciiTheme="majorHAnsi" w:hAnsiTheme="majorHAnsi"/>
        </w:rPr>
        <w:tab/>
      </w:r>
      <w:r w:rsidR="006A531D">
        <w:rPr>
          <w:rFonts w:asciiTheme="majorHAnsi" w:hAnsiTheme="majorHAnsi"/>
        </w:rPr>
        <w:tab/>
      </w:r>
      <w:r w:rsidR="00A50E49">
        <w:rPr>
          <w:rFonts w:asciiTheme="majorHAnsi" w:hAnsiTheme="majorHAnsi"/>
        </w:rPr>
        <w:t>92</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3.25.</w:t>
      </w:r>
      <w:proofErr w:type="gramEnd"/>
      <w:r w:rsidR="00A50E49">
        <w:rPr>
          <w:rFonts w:asciiTheme="majorHAnsi" w:hAnsiTheme="majorHAnsi"/>
        </w:rPr>
        <w:t xml:space="preserve"> </w:t>
      </w:r>
      <w:proofErr w:type="gramStart"/>
      <w:r w:rsidR="00A50E49" w:rsidRPr="00D00B71">
        <w:rPr>
          <w:rFonts w:asciiTheme="majorHAnsi" w:hAnsiTheme="majorHAnsi"/>
        </w:rPr>
        <w:t>Schematic of a normal distribution curve.</w:t>
      </w:r>
      <w:proofErr w:type="gramEnd"/>
      <w:r w:rsidR="00A50E49">
        <w:rPr>
          <w:rFonts w:asciiTheme="majorHAnsi" w:hAnsiTheme="majorHAnsi"/>
        </w:rPr>
        <w:tab/>
      </w:r>
      <w:r w:rsidRPr="00D00B71">
        <w:rPr>
          <w:rFonts w:asciiTheme="majorHAnsi" w:hAnsiTheme="majorHAnsi"/>
        </w:rPr>
        <w:tab/>
      </w:r>
      <w:r w:rsidR="006A531D">
        <w:rPr>
          <w:rFonts w:asciiTheme="majorHAnsi" w:hAnsiTheme="majorHAnsi"/>
        </w:rPr>
        <w:tab/>
      </w:r>
      <w:r w:rsidR="00A50E49">
        <w:rPr>
          <w:rFonts w:asciiTheme="majorHAnsi" w:hAnsiTheme="majorHAnsi"/>
        </w:rPr>
        <w:t>93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3.26.</w:t>
      </w:r>
      <w:proofErr w:type="gramEnd"/>
      <w:r w:rsidR="00732327">
        <w:rPr>
          <w:rFonts w:asciiTheme="majorHAnsi" w:hAnsiTheme="majorHAnsi"/>
        </w:rPr>
        <w:t xml:space="preserve"> </w:t>
      </w:r>
      <w:r w:rsidR="00732327" w:rsidRPr="00D00B71">
        <w:rPr>
          <w:rFonts w:asciiTheme="majorHAnsi" w:hAnsiTheme="majorHAnsi"/>
        </w:rPr>
        <w:t>Frequency distribution plots of genome-wide screen data and controls.</w:t>
      </w:r>
      <w:r w:rsidR="00732327">
        <w:rPr>
          <w:rFonts w:asciiTheme="majorHAnsi" w:hAnsiTheme="majorHAnsi"/>
        </w:rPr>
        <w:tab/>
      </w:r>
      <w:r w:rsidR="00732327">
        <w:rPr>
          <w:rFonts w:asciiTheme="majorHAnsi" w:hAnsiTheme="majorHAnsi"/>
        </w:rPr>
        <w:tab/>
      </w:r>
      <w:r w:rsidR="00732327">
        <w:rPr>
          <w:rFonts w:asciiTheme="majorHAnsi" w:hAnsiTheme="majorHAnsi"/>
        </w:rPr>
        <w:tab/>
      </w:r>
      <w:r w:rsidR="00732327">
        <w:rPr>
          <w:rFonts w:asciiTheme="majorHAnsi" w:hAnsiTheme="majorHAnsi"/>
        </w:rPr>
        <w:tab/>
      </w:r>
      <w:r w:rsidR="00732327">
        <w:rPr>
          <w:rFonts w:asciiTheme="majorHAnsi" w:hAnsiTheme="majorHAnsi"/>
        </w:rPr>
        <w:tab/>
      </w:r>
      <w:r w:rsidR="00732327">
        <w:rPr>
          <w:rFonts w:asciiTheme="majorHAnsi" w:hAnsiTheme="majorHAnsi"/>
        </w:rPr>
        <w:tab/>
      </w:r>
      <w:r w:rsidR="00732327">
        <w:rPr>
          <w:rFonts w:asciiTheme="majorHAnsi" w:hAnsiTheme="majorHAnsi"/>
        </w:rPr>
        <w:tab/>
      </w:r>
      <w:r w:rsidR="00732327">
        <w:rPr>
          <w:rFonts w:asciiTheme="majorHAnsi" w:hAnsiTheme="majorHAnsi"/>
        </w:rPr>
        <w:tab/>
      </w:r>
      <w:r w:rsidR="00732327">
        <w:rPr>
          <w:rFonts w:asciiTheme="majorHAnsi" w:hAnsiTheme="majorHAnsi"/>
        </w:rPr>
        <w:tab/>
      </w:r>
      <w:r w:rsidR="00732327">
        <w:rPr>
          <w:rFonts w:asciiTheme="majorHAnsi" w:hAnsiTheme="majorHAnsi"/>
        </w:rPr>
        <w:tab/>
      </w:r>
      <w:r w:rsidR="00732327">
        <w:rPr>
          <w:rFonts w:asciiTheme="majorHAnsi" w:hAnsiTheme="majorHAnsi"/>
        </w:rPr>
        <w:tab/>
        <w:t>94</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3.27.</w:t>
      </w:r>
      <w:proofErr w:type="gramEnd"/>
      <w:r w:rsidR="00C96FF4" w:rsidRPr="00C96FF4">
        <w:rPr>
          <w:rFonts w:asciiTheme="majorHAnsi" w:hAnsiTheme="majorHAnsi"/>
        </w:rPr>
        <w:t xml:space="preserve"> </w:t>
      </w:r>
      <w:r w:rsidR="00D93535" w:rsidRPr="00D93535">
        <w:rPr>
          <w:rFonts w:asciiTheme="majorHAnsi" w:hAnsiTheme="majorHAnsi"/>
          <w:i/>
        </w:rPr>
        <w:t>PEX</w:t>
      </w:r>
      <w:r w:rsidR="00C96FF4">
        <w:rPr>
          <w:rFonts w:asciiTheme="majorHAnsi" w:hAnsiTheme="majorHAnsi"/>
        </w:rPr>
        <w:t xml:space="preserve"> </w:t>
      </w:r>
      <w:r w:rsidR="00C96FF4" w:rsidRPr="00D00B71">
        <w:rPr>
          <w:rFonts w:asciiTheme="majorHAnsi" w:hAnsiTheme="majorHAnsi"/>
        </w:rPr>
        <w:t>gene hits from Screen 1.</w:t>
      </w:r>
      <w:r w:rsidR="00FA3485" w:rsidRPr="00D00B71">
        <w:rPr>
          <w:rFonts w:asciiTheme="majorHAnsi" w:hAnsiTheme="majorHAnsi"/>
        </w:rPr>
        <w:tab/>
      </w:r>
      <w:r w:rsidR="00FA3485" w:rsidRPr="00D00B71">
        <w:rPr>
          <w:rFonts w:asciiTheme="majorHAnsi" w:hAnsiTheme="majorHAnsi"/>
        </w:rPr>
        <w:tab/>
      </w:r>
      <w:r w:rsidR="00FA3485" w:rsidRPr="00D00B71">
        <w:rPr>
          <w:rFonts w:asciiTheme="majorHAnsi" w:hAnsiTheme="majorHAnsi"/>
        </w:rPr>
        <w:tab/>
      </w:r>
      <w:r w:rsidR="00C96FF4">
        <w:rPr>
          <w:rFonts w:asciiTheme="majorHAnsi" w:hAnsiTheme="majorHAnsi"/>
        </w:rPr>
        <w:tab/>
      </w:r>
      <w:r w:rsidR="00C96FF4">
        <w:rPr>
          <w:rFonts w:asciiTheme="majorHAnsi" w:hAnsiTheme="majorHAnsi"/>
        </w:rPr>
        <w:tab/>
        <w:t>96</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3.28.</w:t>
      </w:r>
      <w:proofErr w:type="gramEnd"/>
      <w:r w:rsidR="002C341F">
        <w:rPr>
          <w:rFonts w:asciiTheme="majorHAnsi" w:hAnsiTheme="majorHAnsi"/>
        </w:rPr>
        <w:t xml:space="preserve"> </w:t>
      </w:r>
      <w:r w:rsidR="002C341F" w:rsidRPr="00D00B71">
        <w:rPr>
          <w:rFonts w:asciiTheme="majorHAnsi" w:hAnsiTheme="majorHAnsi"/>
        </w:rPr>
        <w:t xml:space="preserve">Images of unconfirmed </w:t>
      </w:r>
      <w:r w:rsidR="00D93535" w:rsidRPr="00D93535">
        <w:rPr>
          <w:rFonts w:asciiTheme="majorHAnsi" w:hAnsiTheme="majorHAnsi"/>
          <w:i/>
        </w:rPr>
        <w:t>PEX</w:t>
      </w:r>
      <w:r w:rsidR="002C341F" w:rsidRPr="00D00B71">
        <w:rPr>
          <w:rFonts w:asciiTheme="majorHAnsi" w:hAnsiTheme="majorHAnsi"/>
        </w:rPr>
        <w:t xml:space="preserve"> genes from Screen</w:t>
      </w:r>
      <w:r w:rsidR="002C341F">
        <w:rPr>
          <w:rFonts w:asciiTheme="majorHAnsi" w:hAnsiTheme="majorHAnsi"/>
        </w:rPr>
        <w:t xml:space="preserve"> </w:t>
      </w:r>
      <w:r w:rsidR="002C341F" w:rsidRPr="00D00B71">
        <w:rPr>
          <w:rFonts w:asciiTheme="majorHAnsi" w:hAnsiTheme="majorHAnsi"/>
        </w:rPr>
        <w:t>1</w:t>
      </w:r>
      <w:r w:rsidRPr="00D00B71">
        <w:rPr>
          <w:rFonts w:asciiTheme="majorHAnsi" w:hAnsiTheme="majorHAnsi"/>
        </w:rPr>
        <w:tab/>
      </w:r>
      <w:r w:rsidRPr="00D00B71">
        <w:rPr>
          <w:rFonts w:asciiTheme="majorHAnsi" w:hAnsiTheme="majorHAnsi"/>
        </w:rPr>
        <w:tab/>
      </w:r>
      <w:r w:rsidR="002C341F">
        <w:rPr>
          <w:rFonts w:asciiTheme="majorHAnsi" w:hAnsiTheme="majorHAnsi"/>
        </w:rPr>
        <w:t>98</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3.29.</w:t>
      </w:r>
      <w:proofErr w:type="gramEnd"/>
      <w:r w:rsidR="00D05920">
        <w:rPr>
          <w:rFonts w:asciiTheme="majorHAnsi" w:hAnsiTheme="majorHAnsi"/>
        </w:rPr>
        <w:t xml:space="preserve"> </w:t>
      </w:r>
      <w:proofErr w:type="gramStart"/>
      <w:r w:rsidR="00D05920" w:rsidRPr="00D00B71">
        <w:rPr>
          <w:rFonts w:asciiTheme="majorHAnsi" w:hAnsiTheme="majorHAnsi"/>
        </w:rPr>
        <w:t>Images of Screen 1 hits.</w:t>
      </w:r>
      <w:proofErr w:type="gramEnd"/>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6A531D">
        <w:rPr>
          <w:rFonts w:asciiTheme="majorHAnsi" w:hAnsiTheme="majorHAnsi"/>
        </w:rPr>
        <w:tab/>
      </w:r>
      <w:r w:rsidR="00D05920">
        <w:rPr>
          <w:rFonts w:asciiTheme="majorHAnsi" w:hAnsiTheme="majorHAnsi"/>
        </w:rPr>
        <w:t>99</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w:t>
      </w:r>
      <w:r w:rsidRPr="00D00B71">
        <w:rPr>
          <w:rFonts w:asciiTheme="majorHAnsi" w:hAnsiTheme="majorHAnsi"/>
        </w:rPr>
        <w:t xml:space="preserve"> </w:t>
      </w:r>
      <w:r w:rsidRPr="00D00B71">
        <w:rPr>
          <w:rFonts w:asciiTheme="majorHAnsi" w:hAnsiTheme="majorHAnsi"/>
          <w:b/>
        </w:rPr>
        <w:t>3.30.</w:t>
      </w:r>
      <w:proofErr w:type="gramEnd"/>
      <w:r w:rsidRPr="00D00B71">
        <w:rPr>
          <w:rFonts w:asciiTheme="majorHAnsi" w:hAnsiTheme="majorHAnsi"/>
          <w:b/>
        </w:rPr>
        <w:t xml:space="preserve"> </w:t>
      </w:r>
      <w:proofErr w:type="gramStart"/>
      <w:r w:rsidR="00D05920" w:rsidRPr="00D00B71">
        <w:rPr>
          <w:rFonts w:asciiTheme="majorHAnsi" w:hAnsiTheme="majorHAnsi"/>
        </w:rPr>
        <w:t xml:space="preserve">Images of </w:t>
      </w:r>
      <w:r w:rsidR="00D05920">
        <w:rPr>
          <w:rFonts w:asciiTheme="majorHAnsi" w:hAnsiTheme="majorHAnsi"/>
        </w:rPr>
        <w:t>f</w:t>
      </w:r>
      <w:r w:rsidR="00D05920" w:rsidRPr="00D00B71">
        <w:rPr>
          <w:rFonts w:asciiTheme="majorHAnsi" w:hAnsiTheme="majorHAnsi"/>
        </w:rPr>
        <w:t>alse positives</w:t>
      </w:r>
      <w:r w:rsidR="00D05920" w:rsidRPr="00D00B71">
        <w:rPr>
          <w:rFonts w:asciiTheme="majorHAnsi" w:hAnsiTheme="majorHAnsi"/>
          <w:b/>
        </w:rPr>
        <w:t>.</w:t>
      </w:r>
      <w:proofErr w:type="gramEnd"/>
      <w:r w:rsidR="00D05920">
        <w:rPr>
          <w:rFonts w:asciiTheme="majorHAnsi" w:hAnsiTheme="majorHAnsi"/>
          <w:b/>
        </w:rPr>
        <w:tab/>
      </w:r>
      <w:r w:rsidR="00D05920">
        <w:rPr>
          <w:rFonts w:asciiTheme="majorHAnsi" w:hAnsiTheme="majorHAnsi"/>
          <w:b/>
        </w:rPr>
        <w:tab/>
      </w:r>
      <w:r w:rsidR="00D05920">
        <w:rPr>
          <w:rFonts w:asciiTheme="majorHAnsi" w:hAnsiTheme="majorHAnsi"/>
          <w:b/>
        </w:rPr>
        <w:tab/>
      </w:r>
      <w:r w:rsidR="00D05920">
        <w:rPr>
          <w:rFonts w:asciiTheme="majorHAnsi" w:hAnsiTheme="majorHAnsi"/>
          <w:b/>
        </w:rPr>
        <w:tab/>
      </w:r>
      <w:r w:rsidRPr="00D00B71">
        <w:rPr>
          <w:rFonts w:asciiTheme="majorHAnsi" w:hAnsiTheme="majorHAnsi"/>
        </w:rPr>
        <w:tab/>
      </w:r>
      <w:r w:rsidRPr="00D00B71">
        <w:rPr>
          <w:rFonts w:asciiTheme="majorHAnsi" w:hAnsiTheme="majorHAnsi"/>
        </w:rPr>
        <w:tab/>
      </w:r>
      <w:r w:rsidR="00D05920">
        <w:rPr>
          <w:rFonts w:asciiTheme="majorHAnsi" w:hAnsiTheme="majorHAnsi"/>
        </w:rPr>
        <w:t>101</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4.1.</w:t>
      </w:r>
      <w:proofErr w:type="gramEnd"/>
      <w:r w:rsidRPr="00D00B71">
        <w:rPr>
          <w:rFonts w:asciiTheme="majorHAnsi" w:hAnsiTheme="majorHAnsi"/>
          <w:b/>
        </w:rPr>
        <w:t xml:space="preserve"> </w:t>
      </w:r>
      <w:r w:rsidRPr="00D00B71">
        <w:rPr>
          <w:rFonts w:asciiTheme="majorHAnsi" w:hAnsiTheme="majorHAnsi"/>
        </w:rPr>
        <w:t xml:space="preserve">The pMK33/pMtHy plasmid as constructed </w:t>
      </w:r>
      <w:r w:rsidR="00CC5BC4">
        <w:rPr>
          <w:rFonts w:asciiTheme="majorHAnsi" w:hAnsiTheme="majorHAnsi"/>
        </w:rPr>
        <w:t>by Michael Koelle.</w:t>
      </w:r>
      <w:r w:rsidR="006A531D">
        <w:rPr>
          <w:rFonts w:asciiTheme="majorHAnsi" w:hAnsiTheme="majorHAnsi"/>
        </w:rPr>
        <w:tab/>
      </w:r>
      <w:r w:rsidR="00CC5BC4">
        <w:rPr>
          <w:rFonts w:asciiTheme="majorHAnsi" w:hAnsiTheme="majorHAnsi"/>
        </w:rPr>
        <w:t>104</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4.2.</w:t>
      </w:r>
      <w:proofErr w:type="gramEnd"/>
      <w:r w:rsidRPr="00D00B71">
        <w:rPr>
          <w:rFonts w:asciiTheme="majorHAnsi" w:hAnsiTheme="majorHAnsi"/>
          <w:b/>
        </w:rPr>
        <w:t xml:space="preserve">  </w:t>
      </w:r>
      <w:proofErr w:type="gramStart"/>
      <w:r w:rsidRPr="00D00B71">
        <w:rPr>
          <w:rFonts w:asciiTheme="majorHAnsi" w:hAnsiTheme="majorHAnsi"/>
        </w:rPr>
        <w:t xml:space="preserve">A schematic of serial dilution of stably transfected S2R+ </w:t>
      </w:r>
      <w:r>
        <w:rPr>
          <w:rFonts w:asciiTheme="majorHAnsi" w:hAnsiTheme="majorHAnsi"/>
        </w:rPr>
        <w:t>cells.</w:t>
      </w:r>
      <w:proofErr w:type="gramEnd"/>
      <w:r>
        <w:rPr>
          <w:rFonts w:asciiTheme="majorHAnsi" w:hAnsiTheme="majorHAnsi"/>
        </w:rPr>
        <w:t xml:space="preserve"> </w:t>
      </w:r>
      <w:r w:rsidR="006A531D">
        <w:rPr>
          <w:rFonts w:asciiTheme="majorHAnsi" w:hAnsiTheme="majorHAnsi"/>
        </w:rPr>
        <w:tab/>
      </w:r>
      <w:r w:rsidR="00CC5BC4">
        <w:rPr>
          <w:rFonts w:asciiTheme="majorHAnsi" w:hAnsiTheme="majorHAnsi"/>
        </w:rPr>
        <w:t>106</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4.3.</w:t>
      </w:r>
      <w:proofErr w:type="gramEnd"/>
      <w:r w:rsidRPr="00D00B71">
        <w:rPr>
          <w:rFonts w:asciiTheme="majorHAnsi" w:hAnsiTheme="majorHAnsi"/>
          <w:b/>
        </w:rPr>
        <w:t xml:space="preserve"> </w:t>
      </w:r>
      <w:proofErr w:type="gramStart"/>
      <w:r w:rsidRPr="00D00B71">
        <w:rPr>
          <w:rFonts w:asciiTheme="majorHAnsi" w:hAnsiTheme="majorHAnsi"/>
        </w:rPr>
        <w:t>Titration of pMt promoter.</w:t>
      </w:r>
      <w:proofErr w:type="gramEnd"/>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CC5BC4">
        <w:rPr>
          <w:rFonts w:asciiTheme="majorHAnsi" w:hAnsiTheme="majorHAnsi"/>
        </w:rPr>
        <w:t>107</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4.4.</w:t>
      </w:r>
      <w:proofErr w:type="gramEnd"/>
      <w:r w:rsidRPr="00D00B71">
        <w:rPr>
          <w:rFonts w:asciiTheme="majorHAnsi" w:hAnsiTheme="majorHAnsi"/>
        </w:rPr>
        <w:t xml:space="preserve"> The Transfluor settings and Data Log parameter selection</w:t>
      </w:r>
      <w:r w:rsidRPr="00D00B71">
        <w:rPr>
          <w:rFonts w:asciiTheme="majorHAnsi" w:hAnsiTheme="majorHAnsi"/>
        </w:rPr>
        <w:tab/>
      </w:r>
      <w:r w:rsidR="00CC5BC4">
        <w:rPr>
          <w:rFonts w:asciiTheme="majorHAnsi" w:hAnsiTheme="majorHAnsi"/>
        </w:rPr>
        <w:t>1</w:t>
      </w:r>
      <w:r w:rsidR="008D0320">
        <w:rPr>
          <w:rFonts w:asciiTheme="majorHAnsi" w:hAnsiTheme="majorHAnsi"/>
        </w:rPr>
        <w:t>09</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lastRenderedPageBreak/>
        <w:t>Figure 4.5.</w:t>
      </w:r>
      <w:proofErr w:type="gramEnd"/>
      <w:r w:rsidRPr="00D00B71">
        <w:rPr>
          <w:rFonts w:asciiTheme="majorHAnsi" w:hAnsiTheme="majorHAnsi"/>
          <w:b/>
        </w:rPr>
        <w:t xml:space="preserve"> </w:t>
      </w:r>
      <w:r w:rsidRPr="00D00B71">
        <w:rPr>
          <w:rFonts w:asciiTheme="majorHAnsi" w:hAnsiTheme="majorHAnsi"/>
        </w:rPr>
        <w:t>Transfluor segmentation of WT cells in Screen 2</w:t>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8D0320">
        <w:rPr>
          <w:rFonts w:asciiTheme="majorHAnsi" w:hAnsiTheme="majorHAnsi"/>
        </w:rPr>
        <w:t>110</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4.6.</w:t>
      </w:r>
      <w:proofErr w:type="gramEnd"/>
      <w:r w:rsidRPr="00D00B71">
        <w:rPr>
          <w:rFonts w:asciiTheme="majorHAnsi" w:hAnsiTheme="majorHAnsi"/>
          <w:b/>
        </w:rPr>
        <w:t xml:space="preserve"> </w:t>
      </w:r>
      <w:r w:rsidRPr="00D00B71">
        <w:rPr>
          <w:rFonts w:asciiTheme="majorHAnsi" w:hAnsiTheme="majorHAnsi"/>
        </w:rPr>
        <w:t xml:space="preserve">Transfluor segmentation of </w:t>
      </w:r>
      <w:r w:rsidR="00D93535" w:rsidRPr="00D93535">
        <w:rPr>
          <w:rFonts w:asciiTheme="majorHAnsi" w:hAnsiTheme="majorHAnsi"/>
          <w:i/>
        </w:rPr>
        <w:t>PEX</w:t>
      </w:r>
      <w:r w:rsidRPr="00D00B71">
        <w:rPr>
          <w:rFonts w:asciiTheme="majorHAnsi" w:hAnsiTheme="majorHAnsi"/>
        </w:rPr>
        <w:t xml:space="preserve">5 controls in </w:t>
      </w:r>
      <w:r w:rsidR="00C22C0A" w:rsidRPr="00D00B71">
        <w:rPr>
          <w:rFonts w:asciiTheme="majorHAnsi" w:hAnsiTheme="majorHAnsi"/>
        </w:rPr>
        <w:t>Screen</w:t>
      </w:r>
      <w:r w:rsidR="00C22C0A">
        <w:rPr>
          <w:rFonts w:asciiTheme="majorHAnsi" w:hAnsiTheme="majorHAnsi"/>
        </w:rPr>
        <w:t xml:space="preserve"> </w:t>
      </w:r>
      <w:r w:rsidR="00C22C0A" w:rsidRPr="00D00B71">
        <w:rPr>
          <w:rFonts w:asciiTheme="majorHAnsi" w:hAnsiTheme="majorHAnsi"/>
        </w:rPr>
        <w:t>2</w:t>
      </w:r>
      <w:r w:rsidRPr="00D00B71">
        <w:rPr>
          <w:rFonts w:asciiTheme="majorHAnsi" w:hAnsiTheme="majorHAnsi"/>
        </w:rPr>
        <w:t>.</w:t>
      </w:r>
      <w:r w:rsidRPr="00D00B71">
        <w:rPr>
          <w:rFonts w:asciiTheme="majorHAnsi" w:hAnsiTheme="majorHAnsi"/>
        </w:rPr>
        <w:tab/>
      </w:r>
      <w:r w:rsidR="006A531D">
        <w:rPr>
          <w:rFonts w:asciiTheme="majorHAnsi" w:hAnsiTheme="majorHAnsi"/>
        </w:rPr>
        <w:tab/>
      </w:r>
      <w:r w:rsidR="008D0320">
        <w:rPr>
          <w:rFonts w:asciiTheme="majorHAnsi" w:hAnsiTheme="majorHAnsi"/>
        </w:rPr>
        <w:t>111</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4.</w:t>
      </w:r>
      <w:r w:rsidR="009D5BF8">
        <w:rPr>
          <w:rFonts w:asciiTheme="majorHAnsi" w:hAnsiTheme="majorHAnsi"/>
          <w:b/>
        </w:rPr>
        <w:t>7</w:t>
      </w:r>
      <w:r w:rsidRPr="00D00B71">
        <w:rPr>
          <w:rFonts w:asciiTheme="majorHAnsi" w:hAnsiTheme="majorHAnsi"/>
          <w:b/>
        </w:rPr>
        <w:t>.</w:t>
      </w:r>
      <w:proofErr w:type="gramEnd"/>
      <w:r w:rsidRPr="00D00B71">
        <w:rPr>
          <w:rFonts w:asciiTheme="majorHAnsi" w:hAnsiTheme="majorHAnsi"/>
          <w:b/>
        </w:rPr>
        <w:t xml:space="preserve"> </w:t>
      </w:r>
      <w:proofErr w:type="gramStart"/>
      <w:r w:rsidR="00C22C0A">
        <w:rPr>
          <w:rFonts w:asciiTheme="majorHAnsi" w:hAnsiTheme="majorHAnsi"/>
        </w:rPr>
        <w:t>A heat-map of a Screen 2 Assay P</w:t>
      </w:r>
      <w:r w:rsidRPr="00D00B71">
        <w:rPr>
          <w:rFonts w:asciiTheme="majorHAnsi" w:hAnsiTheme="majorHAnsi"/>
        </w:rPr>
        <w:t>late.</w:t>
      </w:r>
      <w:proofErr w:type="gramEnd"/>
      <w:r w:rsidRPr="00D00B71">
        <w:rPr>
          <w:rFonts w:asciiTheme="majorHAnsi" w:hAnsiTheme="majorHAnsi"/>
        </w:rPr>
        <w:tab/>
      </w:r>
      <w:r w:rsidRPr="00D00B71">
        <w:rPr>
          <w:rFonts w:asciiTheme="majorHAnsi" w:hAnsiTheme="majorHAnsi"/>
        </w:rPr>
        <w:tab/>
      </w:r>
      <w:r w:rsidRPr="00D00B71">
        <w:rPr>
          <w:rFonts w:asciiTheme="majorHAnsi" w:hAnsiTheme="majorHAnsi"/>
        </w:rPr>
        <w:tab/>
      </w:r>
      <w:r>
        <w:rPr>
          <w:rFonts w:asciiTheme="majorHAnsi" w:hAnsiTheme="majorHAnsi"/>
        </w:rPr>
        <w:tab/>
      </w:r>
      <w:r w:rsidR="008D0320">
        <w:rPr>
          <w:rFonts w:asciiTheme="majorHAnsi" w:hAnsiTheme="majorHAnsi"/>
        </w:rPr>
        <w:t>113</w:t>
      </w:r>
    </w:p>
    <w:p w:rsidR="000C26B2" w:rsidRPr="00D00B71" w:rsidRDefault="009D5BF8" w:rsidP="000C26B2">
      <w:pPr>
        <w:spacing w:after="120" w:line="276" w:lineRule="auto"/>
        <w:rPr>
          <w:rFonts w:asciiTheme="majorHAnsi" w:hAnsiTheme="majorHAnsi"/>
        </w:rPr>
      </w:pPr>
      <w:proofErr w:type="gramStart"/>
      <w:r>
        <w:rPr>
          <w:rFonts w:asciiTheme="majorHAnsi" w:hAnsiTheme="majorHAnsi"/>
          <w:b/>
        </w:rPr>
        <w:t>Figure 4.8</w:t>
      </w:r>
      <w:r w:rsidR="000C26B2" w:rsidRPr="00D00B71">
        <w:rPr>
          <w:rFonts w:asciiTheme="majorHAnsi" w:hAnsiTheme="majorHAnsi"/>
          <w:b/>
        </w:rPr>
        <w:t>.</w:t>
      </w:r>
      <w:proofErr w:type="gramEnd"/>
      <w:r w:rsidR="000C26B2" w:rsidRPr="00D00B71">
        <w:rPr>
          <w:rFonts w:asciiTheme="majorHAnsi" w:hAnsiTheme="majorHAnsi"/>
          <w:b/>
        </w:rPr>
        <w:t xml:space="preserve"> </w:t>
      </w:r>
      <w:proofErr w:type="gramStart"/>
      <w:r w:rsidR="000C26B2" w:rsidRPr="00D00B71">
        <w:rPr>
          <w:rFonts w:asciiTheme="majorHAnsi" w:hAnsiTheme="majorHAnsi"/>
        </w:rPr>
        <w:t>The normalisation conversion formulae.</w:t>
      </w:r>
      <w:proofErr w:type="gramEnd"/>
      <w:r w:rsidR="000C26B2" w:rsidRPr="00D00B71">
        <w:rPr>
          <w:rFonts w:asciiTheme="majorHAnsi" w:hAnsiTheme="majorHAnsi"/>
        </w:rPr>
        <w:tab/>
      </w:r>
      <w:r w:rsidR="000C26B2" w:rsidRPr="00D00B71">
        <w:rPr>
          <w:rFonts w:asciiTheme="majorHAnsi" w:hAnsiTheme="majorHAnsi"/>
        </w:rPr>
        <w:tab/>
      </w:r>
      <w:r w:rsidR="000C26B2">
        <w:rPr>
          <w:rFonts w:asciiTheme="majorHAnsi" w:hAnsiTheme="majorHAnsi"/>
        </w:rPr>
        <w:tab/>
      </w:r>
      <w:r w:rsidR="006A531D">
        <w:rPr>
          <w:rFonts w:asciiTheme="majorHAnsi" w:hAnsiTheme="majorHAnsi"/>
        </w:rPr>
        <w:tab/>
      </w:r>
      <w:r w:rsidR="003815C1">
        <w:rPr>
          <w:rFonts w:asciiTheme="majorHAnsi" w:hAnsiTheme="majorHAnsi"/>
        </w:rPr>
        <w:t>115</w:t>
      </w:r>
    </w:p>
    <w:p w:rsidR="000C26B2" w:rsidRPr="00D00B71" w:rsidRDefault="009D5BF8" w:rsidP="000C26B2">
      <w:pPr>
        <w:spacing w:after="120" w:line="276" w:lineRule="auto"/>
        <w:rPr>
          <w:rFonts w:asciiTheme="majorHAnsi" w:hAnsiTheme="majorHAnsi"/>
        </w:rPr>
      </w:pPr>
      <w:proofErr w:type="gramStart"/>
      <w:r>
        <w:rPr>
          <w:rFonts w:asciiTheme="majorHAnsi" w:hAnsiTheme="majorHAnsi"/>
          <w:b/>
        </w:rPr>
        <w:t>Figure 4.9</w:t>
      </w:r>
      <w:r w:rsidR="000C26B2" w:rsidRPr="00D00B71">
        <w:rPr>
          <w:rFonts w:asciiTheme="majorHAnsi" w:hAnsiTheme="majorHAnsi"/>
          <w:b/>
        </w:rPr>
        <w:t>.</w:t>
      </w:r>
      <w:proofErr w:type="gramEnd"/>
      <w:r w:rsidR="000C26B2" w:rsidRPr="00D00B71">
        <w:rPr>
          <w:rFonts w:asciiTheme="majorHAnsi" w:hAnsiTheme="majorHAnsi"/>
          <w:b/>
        </w:rPr>
        <w:t xml:space="preserve"> </w:t>
      </w:r>
      <w:proofErr w:type="gramStart"/>
      <w:r w:rsidR="000C26B2" w:rsidRPr="00D00B71">
        <w:rPr>
          <w:rFonts w:asciiTheme="majorHAnsi" w:hAnsiTheme="majorHAnsi"/>
        </w:rPr>
        <w:t>Images of control cells in Screen 2.</w:t>
      </w:r>
      <w:proofErr w:type="gramEnd"/>
      <w:r w:rsidR="000C26B2" w:rsidRPr="00D00B71">
        <w:rPr>
          <w:rFonts w:asciiTheme="majorHAnsi" w:hAnsiTheme="majorHAnsi"/>
        </w:rPr>
        <w:tab/>
      </w:r>
      <w:r w:rsidR="000C26B2" w:rsidRPr="00D00B71">
        <w:rPr>
          <w:rFonts w:asciiTheme="majorHAnsi" w:hAnsiTheme="majorHAnsi"/>
        </w:rPr>
        <w:tab/>
      </w:r>
      <w:r w:rsidR="000C26B2" w:rsidRPr="00D00B71">
        <w:rPr>
          <w:rFonts w:asciiTheme="majorHAnsi" w:hAnsiTheme="majorHAnsi"/>
        </w:rPr>
        <w:tab/>
      </w:r>
      <w:r w:rsidR="000C26B2">
        <w:rPr>
          <w:rFonts w:asciiTheme="majorHAnsi" w:hAnsiTheme="majorHAnsi"/>
        </w:rPr>
        <w:tab/>
      </w:r>
      <w:r w:rsidR="003815C1">
        <w:rPr>
          <w:rFonts w:asciiTheme="majorHAnsi" w:hAnsiTheme="majorHAnsi"/>
        </w:rPr>
        <w:t>116</w:t>
      </w:r>
    </w:p>
    <w:p w:rsidR="000C26B2" w:rsidRPr="00D00B71" w:rsidRDefault="000C26B2" w:rsidP="000C26B2">
      <w:pPr>
        <w:spacing w:line="276" w:lineRule="auto"/>
        <w:jc w:val="both"/>
        <w:rPr>
          <w:rFonts w:asciiTheme="majorHAnsi" w:hAnsiTheme="majorHAnsi"/>
        </w:rPr>
      </w:pPr>
      <w:proofErr w:type="gramStart"/>
      <w:r w:rsidRPr="00D00B71">
        <w:rPr>
          <w:rFonts w:asciiTheme="majorHAnsi" w:hAnsiTheme="majorHAnsi"/>
          <w:b/>
        </w:rPr>
        <w:t>Figure 4.1</w:t>
      </w:r>
      <w:r w:rsidR="009D5BF8">
        <w:rPr>
          <w:rFonts w:asciiTheme="majorHAnsi" w:hAnsiTheme="majorHAnsi"/>
          <w:b/>
        </w:rPr>
        <w:t>0</w:t>
      </w:r>
      <w:r w:rsidRPr="00D00B71">
        <w:rPr>
          <w:rFonts w:asciiTheme="majorHAnsi" w:hAnsiTheme="majorHAnsi"/>
          <w:b/>
        </w:rPr>
        <w:t>.</w:t>
      </w:r>
      <w:proofErr w:type="gramEnd"/>
      <w:r w:rsidR="00503CAC">
        <w:rPr>
          <w:rFonts w:asciiTheme="majorHAnsi" w:hAnsiTheme="majorHAnsi"/>
        </w:rPr>
        <w:t xml:space="preserve"> </w:t>
      </w:r>
      <w:proofErr w:type="gramStart"/>
      <w:r w:rsidR="00503CAC">
        <w:rPr>
          <w:rFonts w:asciiTheme="majorHAnsi" w:hAnsiTheme="majorHAnsi"/>
        </w:rPr>
        <w:t>Images of s</w:t>
      </w:r>
      <w:r w:rsidR="00503CAC" w:rsidRPr="00D00B71">
        <w:rPr>
          <w:rFonts w:asciiTheme="majorHAnsi" w:hAnsiTheme="majorHAnsi"/>
        </w:rPr>
        <w:t>tatistical hits from Screen 2.</w:t>
      </w:r>
      <w:proofErr w:type="gramEnd"/>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6A531D">
        <w:rPr>
          <w:rFonts w:asciiTheme="majorHAnsi" w:hAnsiTheme="majorHAnsi"/>
        </w:rPr>
        <w:tab/>
      </w:r>
      <w:r w:rsidR="00503CAC">
        <w:rPr>
          <w:rFonts w:asciiTheme="majorHAnsi" w:hAnsiTheme="majorHAnsi"/>
        </w:rPr>
        <w:t>118</w:t>
      </w:r>
    </w:p>
    <w:p w:rsidR="000C26B2" w:rsidRPr="00D00B71" w:rsidRDefault="009D5BF8" w:rsidP="000C26B2">
      <w:pPr>
        <w:spacing w:line="276" w:lineRule="auto"/>
        <w:jc w:val="both"/>
        <w:rPr>
          <w:rFonts w:asciiTheme="majorHAnsi" w:hAnsiTheme="majorHAnsi"/>
        </w:rPr>
      </w:pPr>
      <w:proofErr w:type="gramStart"/>
      <w:r>
        <w:rPr>
          <w:rFonts w:asciiTheme="majorHAnsi" w:hAnsiTheme="majorHAnsi"/>
          <w:b/>
        </w:rPr>
        <w:t>Figure 4.11</w:t>
      </w:r>
      <w:r w:rsidR="000C26B2" w:rsidRPr="00D00B71">
        <w:rPr>
          <w:rFonts w:asciiTheme="majorHAnsi" w:hAnsiTheme="majorHAnsi"/>
          <w:b/>
        </w:rPr>
        <w:t>.</w:t>
      </w:r>
      <w:proofErr w:type="gramEnd"/>
      <w:r w:rsidR="00503CAC">
        <w:rPr>
          <w:rFonts w:asciiTheme="majorHAnsi" w:hAnsiTheme="majorHAnsi"/>
          <w:b/>
        </w:rPr>
        <w:t xml:space="preserve"> </w:t>
      </w:r>
      <w:proofErr w:type="gramStart"/>
      <w:r w:rsidR="00503CAC" w:rsidRPr="00D00B71">
        <w:rPr>
          <w:rFonts w:asciiTheme="majorHAnsi" w:hAnsiTheme="majorHAnsi"/>
        </w:rPr>
        <w:t xml:space="preserve">Images of non-statistically significant </w:t>
      </w:r>
      <w:r w:rsidR="00D93535" w:rsidRPr="00D93535">
        <w:rPr>
          <w:rFonts w:asciiTheme="majorHAnsi" w:hAnsiTheme="majorHAnsi"/>
          <w:i/>
        </w:rPr>
        <w:t>PEX</w:t>
      </w:r>
      <w:r w:rsidR="00503CAC" w:rsidRPr="00D00B71">
        <w:rPr>
          <w:rFonts w:asciiTheme="majorHAnsi" w:hAnsiTheme="majorHAnsi"/>
        </w:rPr>
        <w:t xml:space="preserve"> KDs.</w:t>
      </w:r>
      <w:proofErr w:type="gramEnd"/>
      <w:r w:rsidR="00503CAC">
        <w:rPr>
          <w:rFonts w:asciiTheme="majorHAnsi" w:hAnsiTheme="majorHAnsi"/>
        </w:rPr>
        <w:tab/>
      </w:r>
      <w:r w:rsidR="00503CAC">
        <w:rPr>
          <w:rFonts w:asciiTheme="majorHAnsi" w:hAnsiTheme="majorHAnsi"/>
        </w:rPr>
        <w:tab/>
      </w:r>
      <w:r w:rsidR="006A531D">
        <w:rPr>
          <w:rFonts w:asciiTheme="majorHAnsi" w:hAnsiTheme="majorHAnsi"/>
        </w:rPr>
        <w:tab/>
      </w:r>
      <w:r w:rsidR="004D7C08">
        <w:rPr>
          <w:rFonts w:asciiTheme="majorHAnsi" w:hAnsiTheme="majorHAnsi"/>
        </w:rPr>
        <w:t>120</w:t>
      </w:r>
    </w:p>
    <w:p w:rsidR="000C26B2" w:rsidRPr="00D00B71" w:rsidRDefault="009D5BF8" w:rsidP="000C26B2">
      <w:pPr>
        <w:spacing w:line="276" w:lineRule="auto"/>
        <w:jc w:val="both"/>
        <w:rPr>
          <w:rFonts w:asciiTheme="majorHAnsi" w:hAnsiTheme="majorHAnsi"/>
        </w:rPr>
      </w:pPr>
      <w:proofErr w:type="gramStart"/>
      <w:r>
        <w:rPr>
          <w:rFonts w:asciiTheme="majorHAnsi" w:hAnsiTheme="majorHAnsi"/>
          <w:b/>
        </w:rPr>
        <w:t>Figure 4.12</w:t>
      </w:r>
      <w:r w:rsidR="000C26B2" w:rsidRPr="00D00B71">
        <w:rPr>
          <w:rFonts w:asciiTheme="majorHAnsi" w:hAnsiTheme="majorHAnsi"/>
          <w:b/>
        </w:rPr>
        <w:t>.</w:t>
      </w:r>
      <w:proofErr w:type="gramEnd"/>
      <w:r w:rsidR="00503CAC" w:rsidRPr="00503CAC">
        <w:rPr>
          <w:rFonts w:asciiTheme="majorHAnsi" w:hAnsiTheme="majorHAnsi"/>
        </w:rPr>
        <w:t xml:space="preserve"> </w:t>
      </w:r>
      <w:r w:rsidR="00ED0144" w:rsidRPr="00ED0144">
        <w:rPr>
          <w:rFonts w:asciiTheme="majorHAnsi" w:hAnsiTheme="majorHAnsi"/>
        </w:rPr>
        <w:t>Group A – Class II/</w:t>
      </w:r>
      <w:r w:rsidR="00D93535" w:rsidRPr="00D93535">
        <w:rPr>
          <w:rFonts w:asciiTheme="majorHAnsi" w:hAnsiTheme="majorHAnsi"/>
          <w:i/>
        </w:rPr>
        <w:t>PEX</w:t>
      </w:r>
      <w:r w:rsidR="00ED0144" w:rsidRPr="00ED0144">
        <w:rPr>
          <w:rFonts w:asciiTheme="majorHAnsi" w:hAnsiTheme="majorHAnsi"/>
        </w:rPr>
        <w:t>16-like phenotype, vastly reduced number of peroxisomes per cell.</w:t>
      </w:r>
      <w:r w:rsidR="002B34BD" w:rsidRPr="00D00B71">
        <w:rPr>
          <w:rFonts w:asciiTheme="majorHAnsi" w:hAnsiTheme="majorHAnsi"/>
        </w:rPr>
        <w:tab/>
      </w:r>
      <w:r w:rsidR="002B34BD" w:rsidRPr="00D00B71">
        <w:rPr>
          <w:rFonts w:asciiTheme="majorHAnsi" w:hAnsiTheme="majorHAnsi"/>
        </w:rPr>
        <w:tab/>
      </w:r>
      <w:r w:rsidR="002B34BD" w:rsidRPr="00D00B71">
        <w:rPr>
          <w:rFonts w:asciiTheme="majorHAnsi" w:hAnsiTheme="majorHAnsi"/>
        </w:rPr>
        <w:tab/>
      </w:r>
      <w:r w:rsidR="00ED0144">
        <w:rPr>
          <w:rFonts w:asciiTheme="majorHAnsi" w:hAnsiTheme="majorHAnsi"/>
        </w:rPr>
        <w:tab/>
      </w:r>
      <w:r w:rsidR="00ED0144">
        <w:rPr>
          <w:rFonts w:asciiTheme="majorHAnsi" w:hAnsiTheme="majorHAnsi"/>
        </w:rPr>
        <w:tab/>
      </w:r>
      <w:r w:rsidR="00ED0144">
        <w:rPr>
          <w:rFonts w:asciiTheme="majorHAnsi" w:hAnsiTheme="majorHAnsi"/>
        </w:rPr>
        <w:tab/>
      </w:r>
      <w:r w:rsidR="00ED0144">
        <w:rPr>
          <w:rFonts w:asciiTheme="majorHAnsi" w:hAnsiTheme="majorHAnsi"/>
        </w:rPr>
        <w:tab/>
      </w:r>
      <w:r w:rsidR="002B34BD">
        <w:rPr>
          <w:rFonts w:asciiTheme="majorHAnsi" w:hAnsiTheme="majorHAnsi"/>
        </w:rPr>
        <w:tab/>
      </w:r>
      <w:r w:rsidR="000C26B2" w:rsidRPr="00D00B71">
        <w:rPr>
          <w:rFonts w:asciiTheme="majorHAnsi" w:hAnsiTheme="majorHAnsi"/>
        </w:rPr>
        <w:t>1</w:t>
      </w:r>
      <w:r w:rsidR="00ED0144">
        <w:rPr>
          <w:rFonts w:asciiTheme="majorHAnsi" w:hAnsiTheme="majorHAnsi"/>
        </w:rPr>
        <w:t>23</w:t>
      </w:r>
    </w:p>
    <w:p w:rsidR="000C26B2" w:rsidRPr="00D00B71" w:rsidRDefault="009D5BF8" w:rsidP="000C26B2">
      <w:pPr>
        <w:spacing w:line="276" w:lineRule="auto"/>
        <w:jc w:val="both"/>
        <w:rPr>
          <w:rFonts w:asciiTheme="majorHAnsi" w:hAnsiTheme="majorHAnsi"/>
        </w:rPr>
      </w:pPr>
      <w:proofErr w:type="gramStart"/>
      <w:r>
        <w:rPr>
          <w:rFonts w:asciiTheme="majorHAnsi" w:hAnsiTheme="majorHAnsi"/>
          <w:b/>
        </w:rPr>
        <w:t>Figure 4.13</w:t>
      </w:r>
      <w:r w:rsidR="000C26B2" w:rsidRPr="00D00B71">
        <w:rPr>
          <w:rFonts w:asciiTheme="majorHAnsi" w:hAnsiTheme="majorHAnsi"/>
          <w:b/>
        </w:rPr>
        <w:t>.</w:t>
      </w:r>
      <w:proofErr w:type="gramEnd"/>
      <w:r w:rsidR="00ED0144">
        <w:rPr>
          <w:rFonts w:asciiTheme="majorHAnsi" w:hAnsiTheme="majorHAnsi"/>
          <w:b/>
        </w:rPr>
        <w:t xml:space="preserve"> </w:t>
      </w:r>
      <w:proofErr w:type="gramStart"/>
      <w:r w:rsidR="002D5AFC" w:rsidRPr="002D5AFC">
        <w:rPr>
          <w:rFonts w:asciiTheme="majorHAnsi" w:hAnsiTheme="majorHAnsi"/>
        </w:rPr>
        <w:t>Group B – Class II/</w:t>
      </w:r>
      <w:r w:rsidR="00D93535" w:rsidRPr="00D93535">
        <w:rPr>
          <w:rFonts w:asciiTheme="majorHAnsi" w:hAnsiTheme="majorHAnsi"/>
          <w:i/>
        </w:rPr>
        <w:t>PEX</w:t>
      </w:r>
      <w:r w:rsidR="002D5AFC" w:rsidRPr="002D5AFC">
        <w:rPr>
          <w:rFonts w:asciiTheme="majorHAnsi" w:hAnsiTheme="majorHAnsi"/>
        </w:rPr>
        <w:t>3/</w:t>
      </w:r>
      <w:r w:rsidR="00D93535" w:rsidRPr="00D93535">
        <w:rPr>
          <w:rFonts w:asciiTheme="majorHAnsi" w:hAnsiTheme="majorHAnsi"/>
          <w:i/>
        </w:rPr>
        <w:t>PEX</w:t>
      </w:r>
      <w:r w:rsidR="002D5AFC" w:rsidRPr="002D5AFC">
        <w:rPr>
          <w:rFonts w:asciiTheme="majorHAnsi" w:hAnsiTheme="majorHAnsi"/>
        </w:rPr>
        <w:t>19-like phenotype, moderate reduction in peroxisome number per cell and cytosolic eGFP-PTS1.</w:t>
      </w:r>
      <w:proofErr w:type="gramEnd"/>
      <w:r w:rsidR="000C26B2" w:rsidRPr="00D00B71">
        <w:rPr>
          <w:rFonts w:asciiTheme="majorHAnsi" w:hAnsiTheme="majorHAnsi"/>
        </w:rPr>
        <w:tab/>
      </w:r>
      <w:r w:rsidR="00ED0144">
        <w:rPr>
          <w:rFonts w:asciiTheme="majorHAnsi" w:hAnsiTheme="majorHAnsi"/>
        </w:rPr>
        <w:tab/>
      </w:r>
      <w:r w:rsidR="00ED0144">
        <w:rPr>
          <w:rFonts w:asciiTheme="majorHAnsi" w:hAnsiTheme="majorHAnsi"/>
        </w:rPr>
        <w:tab/>
        <w:t>124</w:t>
      </w:r>
    </w:p>
    <w:p w:rsidR="000C26B2" w:rsidRPr="00D00B71" w:rsidRDefault="009D5BF8" w:rsidP="000C26B2">
      <w:pPr>
        <w:spacing w:line="276" w:lineRule="auto"/>
        <w:jc w:val="both"/>
        <w:rPr>
          <w:rFonts w:asciiTheme="majorHAnsi" w:hAnsiTheme="majorHAnsi"/>
        </w:rPr>
      </w:pPr>
      <w:proofErr w:type="gramStart"/>
      <w:r>
        <w:rPr>
          <w:rFonts w:asciiTheme="majorHAnsi" w:hAnsiTheme="majorHAnsi"/>
          <w:b/>
        </w:rPr>
        <w:t>Figure 4.14</w:t>
      </w:r>
      <w:r w:rsidR="000C26B2" w:rsidRPr="00D00B71">
        <w:rPr>
          <w:rFonts w:asciiTheme="majorHAnsi" w:hAnsiTheme="majorHAnsi"/>
          <w:b/>
        </w:rPr>
        <w:t>.</w:t>
      </w:r>
      <w:proofErr w:type="gramEnd"/>
      <w:r w:rsidR="002D5AFC">
        <w:rPr>
          <w:rFonts w:asciiTheme="majorHAnsi" w:hAnsiTheme="majorHAnsi"/>
        </w:rPr>
        <w:t xml:space="preserve"> </w:t>
      </w:r>
      <w:r w:rsidR="002D5AFC" w:rsidRPr="002D5AFC">
        <w:rPr>
          <w:rFonts w:asciiTheme="majorHAnsi" w:hAnsiTheme="majorHAnsi"/>
        </w:rPr>
        <w:t>Group C – change in peroxisomal morphology.</w:t>
      </w:r>
      <w:r w:rsidR="000C26B2" w:rsidRPr="00D00B71">
        <w:rPr>
          <w:rFonts w:asciiTheme="majorHAnsi" w:hAnsiTheme="majorHAnsi"/>
        </w:rPr>
        <w:tab/>
      </w:r>
      <w:r w:rsidR="006A531D">
        <w:rPr>
          <w:rFonts w:asciiTheme="majorHAnsi" w:hAnsiTheme="majorHAnsi"/>
        </w:rPr>
        <w:tab/>
      </w:r>
      <w:r w:rsidR="002D5AFC">
        <w:rPr>
          <w:rFonts w:asciiTheme="majorHAnsi" w:hAnsiTheme="majorHAnsi"/>
        </w:rPr>
        <w:tab/>
      </w:r>
      <w:r w:rsidR="000C26B2" w:rsidRPr="00D00B71">
        <w:rPr>
          <w:rFonts w:asciiTheme="majorHAnsi" w:hAnsiTheme="majorHAnsi"/>
        </w:rPr>
        <w:t>1</w:t>
      </w:r>
      <w:r w:rsidR="002D5AFC">
        <w:rPr>
          <w:rFonts w:asciiTheme="majorHAnsi" w:hAnsiTheme="majorHAnsi"/>
        </w:rPr>
        <w:t>25</w:t>
      </w:r>
    </w:p>
    <w:p w:rsidR="000C26B2" w:rsidRPr="00D00B71" w:rsidRDefault="000C26B2" w:rsidP="000C26B2">
      <w:pPr>
        <w:spacing w:line="276" w:lineRule="auto"/>
        <w:jc w:val="both"/>
        <w:rPr>
          <w:rFonts w:asciiTheme="majorHAnsi" w:hAnsiTheme="majorHAnsi"/>
        </w:rPr>
      </w:pPr>
      <w:proofErr w:type="gramStart"/>
      <w:r w:rsidRPr="00D00B71">
        <w:rPr>
          <w:rFonts w:asciiTheme="majorHAnsi" w:hAnsiTheme="majorHAnsi"/>
          <w:b/>
        </w:rPr>
        <w:t>Figure 4.1</w:t>
      </w:r>
      <w:r w:rsidR="009D5BF8">
        <w:rPr>
          <w:rFonts w:asciiTheme="majorHAnsi" w:hAnsiTheme="majorHAnsi"/>
          <w:b/>
        </w:rPr>
        <w:t>5</w:t>
      </w:r>
      <w:r w:rsidRPr="00D00B71">
        <w:rPr>
          <w:rFonts w:asciiTheme="majorHAnsi" w:hAnsiTheme="majorHAnsi"/>
          <w:b/>
        </w:rPr>
        <w:t>.</w:t>
      </w:r>
      <w:proofErr w:type="gramEnd"/>
      <w:r w:rsidR="002D5AFC">
        <w:rPr>
          <w:rFonts w:asciiTheme="majorHAnsi" w:hAnsiTheme="majorHAnsi"/>
        </w:rPr>
        <w:t xml:space="preserve"> </w:t>
      </w:r>
      <w:r w:rsidR="002D5AFC" w:rsidRPr="002D5AFC">
        <w:rPr>
          <w:rFonts w:asciiTheme="majorHAnsi" w:hAnsiTheme="majorHAnsi"/>
        </w:rPr>
        <w:t>Group D – Reduction in quantity, increase in size and brightness, aggregation/possible fusing of peroxisomes.</w:t>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2D5AFC">
        <w:rPr>
          <w:rFonts w:asciiTheme="majorHAnsi" w:hAnsiTheme="majorHAnsi"/>
        </w:rPr>
        <w:t>126</w:t>
      </w:r>
    </w:p>
    <w:p w:rsidR="000C26B2" w:rsidRPr="00D00B71" w:rsidRDefault="009D5BF8" w:rsidP="000C26B2">
      <w:pPr>
        <w:spacing w:line="276" w:lineRule="auto"/>
        <w:jc w:val="both"/>
        <w:rPr>
          <w:rFonts w:asciiTheme="majorHAnsi" w:hAnsiTheme="majorHAnsi"/>
        </w:rPr>
      </w:pPr>
      <w:proofErr w:type="gramStart"/>
      <w:r>
        <w:rPr>
          <w:rFonts w:asciiTheme="majorHAnsi" w:hAnsiTheme="majorHAnsi"/>
          <w:b/>
        </w:rPr>
        <w:t>Figure 4.16</w:t>
      </w:r>
      <w:r w:rsidR="000C26B2" w:rsidRPr="00D00B71">
        <w:rPr>
          <w:rFonts w:asciiTheme="majorHAnsi" w:hAnsiTheme="majorHAnsi"/>
          <w:b/>
        </w:rPr>
        <w:t>.</w:t>
      </w:r>
      <w:proofErr w:type="gramEnd"/>
      <w:r w:rsidR="002D5AFC" w:rsidRPr="002D5AFC">
        <w:rPr>
          <w:rFonts w:asciiTheme="majorHAnsi" w:hAnsiTheme="majorHAnsi"/>
          <w:b/>
        </w:rPr>
        <w:t xml:space="preserve"> </w:t>
      </w:r>
      <w:r w:rsidR="002D5AFC" w:rsidRPr="002D5AFC">
        <w:rPr>
          <w:rFonts w:asciiTheme="majorHAnsi" w:hAnsiTheme="majorHAnsi"/>
        </w:rPr>
        <w:t>Group E – Displaced cellular localisation of peroxisomes with moderate reduction in number.</w:t>
      </w:r>
      <w:r w:rsidR="000C26B2" w:rsidRPr="00D00B71">
        <w:rPr>
          <w:rFonts w:asciiTheme="majorHAnsi" w:hAnsiTheme="majorHAnsi"/>
        </w:rPr>
        <w:tab/>
      </w:r>
      <w:r w:rsidR="000C26B2" w:rsidRPr="00D00B71">
        <w:rPr>
          <w:rFonts w:asciiTheme="majorHAnsi" w:hAnsiTheme="majorHAnsi"/>
        </w:rPr>
        <w:tab/>
      </w:r>
      <w:r w:rsidR="00054DEB">
        <w:rPr>
          <w:rFonts w:asciiTheme="majorHAnsi" w:hAnsiTheme="majorHAnsi"/>
        </w:rPr>
        <w:tab/>
      </w:r>
      <w:r w:rsidR="00054DEB">
        <w:rPr>
          <w:rFonts w:asciiTheme="majorHAnsi" w:hAnsiTheme="majorHAnsi"/>
        </w:rPr>
        <w:tab/>
      </w:r>
      <w:r w:rsidR="00054DEB">
        <w:rPr>
          <w:rFonts w:asciiTheme="majorHAnsi" w:hAnsiTheme="majorHAnsi"/>
        </w:rPr>
        <w:tab/>
      </w:r>
      <w:r w:rsidR="00054DEB">
        <w:rPr>
          <w:rFonts w:asciiTheme="majorHAnsi" w:hAnsiTheme="majorHAnsi"/>
        </w:rPr>
        <w:tab/>
      </w:r>
      <w:r w:rsidR="00054DEB">
        <w:rPr>
          <w:rFonts w:asciiTheme="majorHAnsi" w:hAnsiTheme="majorHAnsi"/>
        </w:rPr>
        <w:tab/>
      </w:r>
      <w:r w:rsidR="006A531D">
        <w:rPr>
          <w:rFonts w:asciiTheme="majorHAnsi" w:hAnsiTheme="majorHAnsi"/>
        </w:rPr>
        <w:tab/>
      </w:r>
      <w:r w:rsidR="00054DEB">
        <w:rPr>
          <w:rFonts w:asciiTheme="majorHAnsi" w:hAnsiTheme="majorHAnsi"/>
        </w:rPr>
        <w:t>127</w:t>
      </w:r>
    </w:p>
    <w:p w:rsidR="000C26B2" w:rsidRPr="00D00B71" w:rsidRDefault="009D5BF8" w:rsidP="000C26B2">
      <w:pPr>
        <w:spacing w:line="276" w:lineRule="auto"/>
        <w:jc w:val="both"/>
        <w:rPr>
          <w:rFonts w:asciiTheme="majorHAnsi" w:hAnsiTheme="majorHAnsi"/>
        </w:rPr>
      </w:pPr>
      <w:proofErr w:type="gramStart"/>
      <w:r>
        <w:rPr>
          <w:rFonts w:asciiTheme="majorHAnsi" w:hAnsiTheme="majorHAnsi"/>
          <w:b/>
        </w:rPr>
        <w:t>Figure 4.17</w:t>
      </w:r>
      <w:r w:rsidR="000C26B2" w:rsidRPr="00D00B71">
        <w:rPr>
          <w:rFonts w:asciiTheme="majorHAnsi" w:hAnsiTheme="majorHAnsi"/>
          <w:b/>
        </w:rPr>
        <w:t>.</w:t>
      </w:r>
      <w:proofErr w:type="gramEnd"/>
      <w:r w:rsidR="00054DEB">
        <w:rPr>
          <w:rFonts w:asciiTheme="majorHAnsi" w:hAnsiTheme="majorHAnsi"/>
          <w:b/>
        </w:rPr>
        <w:t xml:space="preserve"> </w:t>
      </w:r>
      <w:r w:rsidR="00054DEB" w:rsidRPr="00054DEB">
        <w:rPr>
          <w:rFonts w:asciiTheme="majorHAnsi" w:hAnsiTheme="majorHAnsi"/>
        </w:rPr>
        <w:t>Group F – Increased quantity of peroxisomes per cell.</w:t>
      </w:r>
      <w:r w:rsidR="00054DEB">
        <w:rPr>
          <w:rFonts w:asciiTheme="majorHAnsi" w:hAnsiTheme="majorHAnsi"/>
        </w:rPr>
        <w:tab/>
      </w:r>
      <w:r w:rsidR="000C26B2" w:rsidRPr="00D00B71">
        <w:rPr>
          <w:rFonts w:asciiTheme="majorHAnsi" w:hAnsiTheme="majorHAnsi"/>
        </w:rPr>
        <w:tab/>
        <w:t>1</w:t>
      </w:r>
      <w:r w:rsidR="00054DEB">
        <w:rPr>
          <w:rFonts w:asciiTheme="majorHAnsi" w:hAnsiTheme="majorHAnsi"/>
        </w:rPr>
        <w:t>27</w:t>
      </w:r>
    </w:p>
    <w:p w:rsidR="000C26B2" w:rsidRPr="00D00B71" w:rsidRDefault="000C26B2" w:rsidP="000C26B2">
      <w:pPr>
        <w:spacing w:line="276" w:lineRule="auto"/>
        <w:jc w:val="both"/>
        <w:rPr>
          <w:rFonts w:asciiTheme="majorHAnsi" w:hAnsiTheme="majorHAnsi"/>
        </w:rPr>
      </w:pPr>
      <w:proofErr w:type="gramStart"/>
      <w:r w:rsidRPr="00D00B71">
        <w:rPr>
          <w:rFonts w:asciiTheme="majorHAnsi" w:hAnsiTheme="majorHAnsi"/>
          <w:b/>
        </w:rPr>
        <w:t>Figure 4.1</w:t>
      </w:r>
      <w:r w:rsidR="009D5BF8">
        <w:rPr>
          <w:rFonts w:asciiTheme="majorHAnsi" w:hAnsiTheme="majorHAnsi"/>
          <w:b/>
        </w:rPr>
        <w:t>8</w:t>
      </w:r>
      <w:r w:rsidRPr="00D00B71">
        <w:rPr>
          <w:rFonts w:asciiTheme="majorHAnsi" w:hAnsiTheme="majorHAnsi"/>
          <w:b/>
        </w:rPr>
        <w:t>.</w:t>
      </w:r>
      <w:proofErr w:type="gramEnd"/>
      <w:r w:rsidRPr="00D00B71">
        <w:rPr>
          <w:rFonts w:asciiTheme="majorHAnsi" w:hAnsiTheme="majorHAnsi"/>
          <w:b/>
        </w:rPr>
        <w:t xml:space="preserve"> </w:t>
      </w:r>
      <w:r w:rsidR="00054DEB" w:rsidRPr="00054DEB">
        <w:rPr>
          <w:rFonts w:asciiTheme="majorHAnsi" w:hAnsiTheme="majorHAnsi"/>
        </w:rPr>
        <w:t>Group G – Increase in peroxisome size and intensity, possible up-regulation of expression, ubiquitous cytosolic mislocalisation and increased peroxisome quantity per cell.</w:t>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054DEB">
        <w:rPr>
          <w:rFonts w:asciiTheme="majorHAnsi" w:hAnsiTheme="majorHAnsi"/>
        </w:rPr>
        <w:tab/>
      </w:r>
      <w:r w:rsidR="00054DEB">
        <w:rPr>
          <w:rFonts w:asciiTheme="majorHAnsi" w:hAnsiTheme="majorHAnsi"/>
        </w:rPr>
        <w:tab/>
      </w:r>
      <w:r w:rsidR="00054DEB">
        <w:rPr>
          <w:rFonts w:asciiTheme="majorHAnsi" w:hAnsiTheme="majorHAnsi"/>
        </w:rPr>
        <w:tab/>
      </w:r>
      <w:r w:rsidR="00054DEB">
        <w:rPr>
          <w:rFonts w:asciiTheme="majorHAnsi" w:hAnsiTheme="majorHAnsi"/>
        </w:rPr>
        <w:tab/>
        <w:t>128</w:t>
      </w:r>
    </w:p>
    <w:p w:rsidR="000C26B2" w:rsidRPr="00D00B71" w:rsidRDefault="009D5BF8" w:rsidP="000C26B2">
      <w:pPr>
        <w:spacing w:line="276" w:lineRule="auto"/>
        <w:jc w:val="both"/>
        <w:rPr>
          <w:rFonts w:asciiTheme="majorHAnsi" w:hAnsiTheme="majorHAnsi"/>
        </w:rPr>
      </w:pPr>
      <w:proofErr w:type="gramStart"/>
      <w:r>
        <w:rPr>
          <w:rFonts w:asciiTheme="majorHAnsi" w:hAnsiTheme="majorHAnsi"/>
          <w:b/>
        </w:rPr>
        <w:t>Figure 4.19</w:t>
      </w:r>
      <w:r w:rsidR="000C26B2" w:rsidRPr="00D00B71">
        <w:rPr>
          <w:rFonts w:asciiTheme="majorHAnsi" w:hAnsiTheme="majorHAnsi"/>
          <w:b/>
        </w:rPr>
        <w:t>.</w:t>
      </w:r>
      <w:proofErr w:type="gramEnd"/>
      <w:r w:rsidR="000C26B2" w:rsidRPr="00D00B71">
        <w:rPr>
          <w:rFonts w:asciiTheme="majorHAnsi" w:hAnsiTheme="majorHAnsi"/>
          <w:b/>
        </w:rPr>
        <w:t xml:space="preserve"> </w:t>
      </w:r>
      <w:r w:rsidR="00E11189" w:rsidRPr="00D00B71">
        <w:rPr>
          <w:rFonts w:asciiTheme="majorHAnsi" w:hAnsiTheme="majorHAnsi"/>
        </w:rPr>
        <w:t>Frequency distribution plots of genome-wide screen data and controls</w:t>
      </w:r>
      <w:r w:rsidR="00E11189" w:rsidRPr="00D00B71">
        <w:rPr>
          <w:rFonts w:asciiTheme="majorHAnsi" w:hAnsiTheme="majorHAnsi"/>
        </w:rPr>
        <w:tab/>
      </w:r>
      <w:r w:rsidR="00E11189">
        <w:rPr>
          <w:rFonts w:asciiTheme="majorHAnsi" w:hAnsiTheme="majorHAnsi"/>
        </w:rPr>
        <w:tab/>
      </w:r>
      <w:r w:rsidR="00E11189">
        <w:rPr>
          <w:rFonts w:asciiTheme="majorHAnsi" w:hAnsiTheme="majorHAnsi"/>
        </w:rPr>
        <w:tab/>
      </w:r>
      <w:r w:rsidR="00E11189">
        <w:rPr>
          <w:rFonts w:asciiTheme="majorHAnsi" w:hAnsiTheme="majorHAnsi"/>
        </w:rPr>
        <w:tab/>
      </w:r>
      <w:r w:rsidR="00E11189">
        <w:rPr>
          <w:rFonts w:asciiTheme="majorHAnsi" w:hAnsiTheme="majorHAnsi"/>
        </w:rPr>
        <w:tab/>
      </w:r>
      <w:r w:rsidR="00E11189">
        <w:rPr>
          <w:rFonts w:asciiTheme="majorHAnsi" w:hAnsiTheme="majorHAnsi"/>
        </w:rPr>
        <w:tab/>
      </w:r>
      <w:r w:rsidR="00E11189">
        <w:rPr>
          <w:rFonts w:asciiTheme="majorHAnsi" w:hAnsiTheme="majorHAnsi"/>
        </w:rPr>
        <w:tab/>
      </w:r>
      <w:r w:rsidR="000C26B2" w:rsidRPr="00D00B71">
        <w:rPr>
          <w:rFonts w:asciiTheme="majorHAnsi" w:hAnsiTheme="majorHAnsi"/>
        </w:rPr>
        <w:tab/>
      </w:r>
      <w:r w:rsidR="000C26B2" w:rsidRPr="00D00B71">
        <w:rPr>
          <w:rFonts w:asciiTheme="majorHAnsi" w:hAnsiTheme="majorHAnsi"/>
        </w:rPr>
        <w:tab/>
      </w:r>
      <w:r w:rsidR="000C26B2" w:rsidRPr="00D00B71">
        <w:rPr>
          <w:rFonts w:asciiTheme="majorHAnsi" w:hAnsiTheme="majorHAnsi"/>
        </w:rPr>
        <w:tab/>
      </w:r>
      <w:r w:rsidR="000C26B2">
        <w:rPr>
          <w:rFonts w:asciiTheme="majorHAnsi" w:hAnsiTheme="majorHAnsi"/>
        </w:rPr>
        <w:tab/>
      </w:r>
      <w:r w:rsidR="00E11189">
        <w:rPr>
          <w:rFonts w:asciiTheme="majorHAnsi" w:hAnsiTheme="majorHAnsi"/>
        </w:rPr>
        <w:t>13</w:t>
      </w:r>
      <w:r w:rsidR="0074762E">
        <w:rPr>
          <w:rFonts w:asciiTheme="majorHAnsi" w:hAnsiTheme="majorHAnsi"/>
        </w:rPr>
        <w:t>0</w:t>
      </w:r>
    </w:p>
    <w:p w:rsidR="000C26B2" w:rsidRPr="00D00B71" w:rsidRDefault="004771C0" w:rsidP="000C26B2">
      <w:pPr>
        <w:spacing w:line="276" w:lineRule="auto"/>
        <w:jc w:val="both"/>
        <w:rPr>
          <w:rFonts w:asciiTheme="majorHAnsi" w:hAnsiTheme="majorHAnsi"/>
        </w:rPr>
      </w:pPr>
      <w:proofErr w:type="gramStart"/>
      <w:r>
        <w:rPr>
          <w:rFonts w:asciiTheme="majorHAnsi" w:hAnsiTheme="majorHAnsi"/>
          <w:b/>
        </w:rPr>
        <w:t>Figure 4.20</w:t>
      </w:r>
      <w:r w:rsidR="000C26B2" w:rsidRPr="00D00B71">
        <w:rPr>
          <w:rFonts w:asciiTheme="majorHAnsi" w:hAnsiTheme="majorHAnsi"/>
          <w:b/>
        </w:rPr>
        <w:t>.</w:t>
      </w:r>
      <w:proofErr w:type="gramEnd"/>
      <w:r w:rsidR="000C26B2" w:rsidRPr="00D00B71">
        <w:rPr>
          <w:rFonts w:asciiTheme="majorHAnsi" w:hAnsiTheme="majorHAnsi"/>
          <w:b/>
        </w:rPr>
        <w:t xml:space="preserve"> </w:t>
      </w:r>
      <w:r w:rsidR="00E11189" w:rsidRPr="00AB6AFE">
        <w:rPr>
          <w:rFonts w:asciiTheme="majorHAnsi" w:hAnsiTheme="majorHAnsi"/>
        </w:rPr>
        <w:t>Box-whisker plots showing the distributions of the Screen 2 controls compared to the rest of the screen, measured in standard deviations.</w:t>
      </w:r>
      <w:r w:rsidR="000C26B2" w:rsidRPr="00D00B71">
        <w:rPr>
          <w:rFonts w:asciiTheme="majorHAnsi" w:hAnsiTheme="majorHAnsi"/>
        </w:rPr>
        <w:tab/>
      </w:r>
      <w:r w:rsidR="000C26B2">
        <w:rPr>
          <w:rFonts w:asciiTheme="majorHAnsi" w:hAnsiTheme="majorHAnsi"/>
        </w:rPr>
        <w:tab/>
      </w:r>
      <w:r w:rsidR="00AB6AFE">
        <w:rPr>
          <w:rFonts w:asciiTheme="majorHAnsi" w:hAnsiTheme="majorHAnsi"/>
        </w:rPr>
        <w:t>13</w:t>
      </w:r>
      <w:r w:rsidR="00B52A6C">
        <w:rPr>
          <w:rFonts w:asciiTheme="majorHAnsi" w:hAnsiTheme="majorHAnsi"/>
        </w:rPr>
        <w:t>2</w:t>
      </w:r>
    </w:p>
    <w:p w:rsidR="000C26B2" w:rsidRPr="00D00B71" w:rsidRDefault="004771C0" w:rsidP="000C26B2">
      <w:pPr>
        <w:spacing w:line="276" w:lineRule="auto"/>
        <w:jc w:val="both"/>
        <w:rPr>
          <w:rFonts w:asciiTheme="majorHAnsi" w:hAnsiTheme="majorHAnsi"/>
        </w:rPr>
      </w:pPr>
      <w:proofErr w:type="gramStart"/>
      <w:r>
        <w:rPr>
          <w:rFonts w:asciiTheme="majorHAnsi" w:hAnsiTheme="majorHAnsi"/>
          <w:b/>
        </w:rPr>
        <w:t>Figure 4.21</w:t>
      </w:r>
      <w:r w:rsidR="000C26B2" w:rsidRPr="00D00B71">
        <w:rPr>
          <w:rFonts w:asciiTheme="majorHAnsi" w:hAnsiTheme="majorHAnsi"/>
          <w:b/>
        </w:rPr>
        <w:t>.</w:t>
      </w:r>
      <w:proofErr w:type="gramEnd"/>
      <w:r w:rsidR="000C26B2" w:rsidRPr="00D00B71">
        <w:rPr>
          <w:rFonts w:asciiTheme="majorHAnsi" w:hAnsiTheme="majorHAnsi"/>
          <w:b/>
        </w:rPr>
        <w:t xml:space="preserve"> </w:t>
      </w:r>
      <w:r w:rsidR="00AB6AFE" w:rsidRPr="00AB6AFE">
        <w:rPr>
          <w:rFonts w:asciiTheme="majorHAnsi" w:hAnsiTheme="majorHAnsi"/>
        </w:rPr>
        <w:t>A heatmap of the entire screen showing wells in plates.</w:t>
      </w:r>
      <w:r w:rsidR="00AB6AFE">
        <w:rPr>
          <w:rFonts w:asciiTheme="majorHAnsi" w:hAnsiTheme="majorHAnsi"/>
        </w:rPr>
        <w:tab/>
      </w:r>
      <w:r w:rsidR="000C26B2">
        <w:rPr>
          <w:rFonts w:asciiTheme="majorHAnsi" w:hAnsiTheme="majorHAnsi"/>
        </w:rPr>
        <w:tab/>
      </w:r>
      <w:r w:rsidR="00B52A6C">
        <w:rPr>
          <w:rFonts w:asciiTheme="majorHAnsi" w:hAnsiTheme="majorHAnsi"/>
        </w:rPr>
        <w:t>134</w:t>
      </w:r>
    </w:p>
    <w:p w:rsidR="000C26B2" w:rsidRPr="00D00B71" w:rsidRDefault="004771C0" w:rsidP="000C26B2">
      <w:pPr>
        <w:spacing w:line="276" w:lineRule="auto"/>
        <w:jc w:val="both"/>
        <w:rPr>
          <w:rFonts w:asciiTheme="majorHAnsi" w:hAnsiTheme="majorHAnsi"/>
        </w:rPr>
      </w:pPr>
      <w:proofErr w:type="gramStart"/>
      <w:r>
        <w:rPr>
          <w:rFonts w:asciiTheme="majorHAnsi" w:hAnsiTheme="majorHAnsi"/>
          <w:b/>
        </w:rPr>
        <w:t>Figure 4.22</w:t>
      </w:r>
      <w:r w:rsidR="000C26B2" w:rsidRPr="00D00B71">
        <w:rPr>
          <w:rFonts w:asciiTheme="majorHAnsi" w:hAnsiTheme="majorHAnsi"/>
          <w:b/>
        </w:rPr>
        <w:t>.</w:t>
      </w:r>
      <w:proofErr w:type="gramEnd"/>
      <w:r w:rsidR="000C26B2" w:rsidRPr="00D00B71">
        <w:rPr>
          <w:rFonts w:asciiTheme="majorHAnsi" w:hAnsiTheme="majorHAnsi"/>
          <w:b/>
        </w:rPr>
        <w:t xml:space="preserve"> </w:t>
      </w:r>
      <w:r w:rsidR="00AB6AFE" w:rsidRPr="00AB6AFE">
        <w:rPr>
          <w:rFonts w:asciiTheme="majorHAnsi" w:hAnsiTheme="majorHAnsi"/>
        </w:rPr>
        <w:t>Box-whisker plots of the distribution of data in each plate.</w:t>
      </w:r>
      <w:r w:rsidR="000C26B2">
        <w:rPr>
          <w:rFonts w:asciiTheme="majorHAnsi" w:hAnsiTheme="majorHAnsi"/>
        </w:rPr>
        <w:tab/>
      </w:r>
      <w:r w:rsidR="00AB6AFE">
        <w:rPr>
          <w:rFonts w:asciiTheme="majorHAnsi" w:hAnsiTheme="majorHAnsi"/>
        </w:rPr>
        <w:t>13</w:t>
      </w:r>
      <w:r w:rsidR="00B52A6C">
        <w:rPr>
          <w:rFonts w:asciiTheme="majorHAnsi" w:hAnsiTheme="majorHAnsi"/>
        </w:rPr>
        <w:t>5</w:t>
      </w:r>
    </w:p>
    <w:p w:rsidR="000C26B2" w:rsidRPr="00D00B71" w:rsidRDefault="004771C0" w:rsidP="000C26B2">
      <w:pPr>
        <w:spacing w:line="276" w:lineRule="auto"/>
        <w:jc w:val="both"/>
        <w:rPr>
          <w:rFonts w:asciiTheme="majorHAnsi" w:hAnsiTheme="majorHAnsi"/>
        </w:rPr>
      </w:pPr>
      <w:proofErr w:type="gramStart"/>
      <w:r>
        <w:rPr>
          <w:rFonts w:asciiTheme="majorHAnsi" w:hAnsiTheme="majorHAnsi"/>
          <w:b/>
        </w:rPr>
        <w:t>Figure 4.23</w:t>
      </w:r>
      <w:r w:rsidR="009F1752">
        <w:rPr>
          <w:rFonts w:asciiTheme="majorHAnsi" w:hAnsiTheme="majorHAnsi"/>
          <w:b/>
        </w:rPr>
        <w:t>.</w:t>
      </w:r>
      <w:proofErr w:type="gramEnd"/>
      <w:r w:rsidR="009F1752">
        <w:rPr>
          <w:rFonts w:asciiTheme="majorHAnsi" w:hAnsiTheme="majorHAnsi"/>
          <w:b/>
        </w:rPr>
        <w:t xml:space="preserve"> </w:t>
      </w:r>
      <w:proofErr w:type="gramStart"/>
      <w:r w:rsidR="009F1752" w:rsidRPr="009F1752">
        <w:rPr>
          <w:rFonts w:asciiTheme="majorHAnsi" w:hAnsiTheme="majorHAnsi"/>
        </w:rPr>
        <w:t>A Q-Q plot showing theoretical quantiles against the normalised Z-scores of the average of the two genome-wide screens.</w:t>
      </w:r>
      <w:proofErr w:type="gramEnd"/>
      <w:r w:rsidR="000C26B2" w:rsidRPr="00D00B71">
        <w:rPr>
          <w:rFonts w:asciiTheme="majorHAnsi" w:hAnsiTheme="majorHAnsi"/>
        </w:rPr>
        <w:tab/>
      </w:r>
      <w:r w:rsidR="000C26B2" w:rsidRPr="00D00B71">
        <w:rPr>
          <w:rFonts w:asciiTheme="majorHAnsi" w:hAnsiTheme="majorHAnsi"/>
        </w:rPr>
        <w:tab/>
      </w:r>
      <w:r w:rsidR="000C26B2">
        <w:rPr>
          <w:rFonts w:asciiTheme="majorHAnsi" w:hAnsiTheme="majorHAnsi"/>
        </w:rPr>
        <w:tab/>
      </w:r>
      <w:r w:rsidR="006A531D">
        <w:rPr>
          <w:rFonts w:asciiTheme="majorHAnsi" w:hAnsiTheme="majorHAnsi"/>
        </w:rPr>
        <w:tab/>
      </w:r>
      <w:r w:rsidR="00B52A6C">
        <w:rPr>
          <w:rFonts w:asciiTheme="majorHAnsi" w:hAnsiTheme="majorHAnsi"/>
        </w:rPr>
        <w:t>137</w:t>
      </w:r>
    </w:p>
    <w:p w:rsidR="000C26B2" w:rsidRPr="00D00B71" w:rsidRDefault="000C26B2" w:rsidP="000C26B2">
      <w:pPr>
        <w:spacing w:line="276" w:lineRule="auto"/>
        <w:rPr>
          <w:rFonts w:asciiTheme="majorHAnsi" w:hAnsiTheme="majorHAnsi"/>
        </w:rPr>
      </w:pPr>
      <w:proofErr w:type="gramStart"/>
      <w:r w:rsidRPr="00D00B71">
        <w:rPr>
          <w:rFonts w:asciiTheme="majorHAnsi" w:hAnsiTheme="majorHAnsi"/>
          <w:b/>
        </w:rPr>
        <w:t>Figure 5.1.</w:t>
      </w:r>
      <w:proofErr w:type="gramEnd"/>
      <w:r w:rsidRPr="00D00B71">
        <w:rPr>
          <w:rFonts w:asciiTheme="majorHAnsi" w:hAnsiTheme="majorHAnsi"/>
          <w:b/>
        </w:rPr>
        <w:t xml:space="preserve"> </w:t>
      </w:r>
      <w:proofErr w:type="gramStart"/>
      <w:r w:rsidR="0064184C" w:rsidRPr="00D00B71">
        <w:rPr>
          <w:rFonts w:asciiTheme="majorHAnsi" w:hAnsiTheme="majorHAnsi"/>
        </w:rPr>
        <w:t>A detailed layout of the Secondary Screen plate.</w:t>
      </w:r>
      <w:proofErr w:type="gramEnd"/>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860E8E">
        <w:rPr>
          <w:rFonts w:asciiTheme="majorHAnsi" w:hAnsiTheme="majorHAnsi"/>
        </w:rPr>
        <w:t>14</w:t>
      </w:r>
      <w:r w:rsidR="00B52A6C">
        <w:rPr>
          <w:rFonts w:asciiTheme="majorHAnsi" w:hAnsiTheme="majorHAnsi"/>
        </w:rPr>
        <w:t>3</w:t>
      </w:r>
    </w:p>
    <w:p w:rsidR="000C26B2" w:rsidRPr="00D00B71" w:rsidRDefault="000C26B2" w:rsidP="000C26B2">
      <w:pPr>
        <w:spacing w:line="276" w:lineRule="auto"/>
        <w:jc w:val="both"/>
        <w:rPr>
          <w:rFonts w:asciiTheme="majorHAnsi" w:hAnsiTheme="majorHAnsi"/>
        </w:rPr>
      </w:pPr>
      <w:proofErr w:type="gramStart"/>
      <w:r w:rsidRPr="00D00B71">
        <w:rPr>
          <w:rFonts w:asciiTheme="majorHAnsi" w:hAnsiTheme="majorHAnsi"/>
          <w:b/>
        </w:rPr>
        <w:t>Figure 5.2.</w:t>
      </w:r>
      <w:proofErr w:type="gramEnd"/>
      <w:r w:rsidR="00860E8E">
        <w:rPr>
          <w:rFonts w:asciiTheme="majorHAnsi" w:hAnsiTheme="majorHAnsi"/>
        </w:rPr>
        <w:t xml:space="preserve"> </w:t>
      </w:r>
      <w:proofErr w:type="gramStart"/>
      <w:r w:rsidR="00860E8E" w:rsidRPr="00D00B71">
        <w:rPr>
          <w:rFonts w:asciiTheme="majorHAnsi" w:hAnsiTheme="majorHAnsi"/>
        </w:rPr>
        <w:t>Heat map of means of triplicate data in Secondary screen.</w:t>
      </w:r>
      <w:proofErr w:type="gramEnd"/>
      <w:r w:rsidR="006A531D">
        <w:rPr>
          <w:rFonts w:asciiTheme="majorHAnsi" w:hAnsiTheme="majorHAnsi"/>
        </w:rPr>
        <w:tab/>
      </w:r>
      <w:r w:rsidR="00860E8E">
        <w:rPr>
          <w:rFonts w:asciiTheme="majorHAnsi" w:hAnsiTheme="majorHAnsi"/>
        </w:rPr>
        <w:t>14</w:t>
      </w:r>
      <w:r w:rsidR="00B52A6C">
        <w:rPr>
          <w:rFonts w:asciiTheme="majorHAnsi" w:hAnsiTheme="majorHAnsi"/>
        </w:rPr>
        <w:t>5</w:t>
      </w:r>
    </w:p>
    <w:p w:rsidR="000C26B2" w:rsidRPr="00D00B71" w:rsidRDefault="000C26B2" w:rsidP="000C26B2">
      <w:pPr>
        <w:spacing w:line="276" w:lineRule="auto"/>
        <w:jc w:val="both"/>
        <w:rPr>
          <w:rFonts w:asciiTheme="majorHAnsi" w:hAnsiTheme="majorHAnsi"/>
        </w:rPr>
      </w:pPr>
      <w:proofErr w:type="gramStart"/>
      <w:r w:rsidRPr="00D00B71">
        <w:rPr>
          <w:rFonts w:asciiTheme="majorHAnsi" w:hAnsiTheme="majorHAnsi"/>
          <w:b/>
        </w:rPr>
        <w:t>Figure 5.3.</w:t>
      </w:r>
      <w:proofErr w:type="gramEnd"/>
      <w:r w:rsidR="00860E8E">
        <w:rPr>
          <w:rFonts w:asciiTheme="majorHAnsi" w:hAnsiTheme="majorHAnsi"/>
        </w:rPr>
        <w:t xml:space="preserve"> </w:t>
      </w:r>
      <w:proofErr w:type="gramStart"/>
      <w:r w:rsidR="00860E8E" w:rsidRPr="00D00B71">
        <w:rPr>
          <w:rFonts w:asciiTheme="majorHAnsi" w:hAnsiTheme="majorHAnsi"/>
        </w:rPr>
        <w:t>Images of control KDs in Secondary Screen.</w:t>
      </w:r>
      <w:proofErr w:type="gramEnd"/>
      <w:r w:rsidR="00860E8E">
        <w:rPr>
          <w:rFonts w:asciiTheme="majorHAnsi" w:hAnsiTheme="majorHAnsi"/>
        </w:rPr>
        <w:tab/>
      </w:r>
      <w:r w:rsidRPr="00D00B71">
        <w:rPr>
          <w:rFonts w:asciiTheme="majorHAnsi" w:hAnsiTheme="majorHAnsi"/>
        </w:rPr>
        <w:tab/>
      </w:r>
      <w:r w:rsidR="006A531D">
        <w:rPr>
          <w:rFonts w:asciiTheme="majorHAnsi" w:hAnsiTheme="majorHAnsi"/>
        </w:rPr>
        <w:tab/>
      </w:r>
      <w:r w:rsidR="00860E8E">
        <w:rPr>
          <w:rFonts w:asciiTheme="majorHAnsi" w:hAnsiTheme="majorHAnsi"/>
        </w:rPr>
        <w:t>14</w:t>
      </w:r>
      <w:r w:rsidR="00B52A6C">
        <w:rPr>
          <w:rFonts w:asciiTheme="majorHAnsi" w:hAnsiTheme="majorHAnsi"/>
        </w:rPr>
        <w:t>6</w:t>
      </w:r>
    </w:p>
    <w:p w:rsidR="000C26B2" w:rsidRPr="00D00B71" w:rsidRDefault="000C26B2" w:rsidP="000C26B2">
      <w:pPr>
        <w:spacing w:line="276" w:lineRule="auto"/>
        <w:rPr>
          <w:rFonts w:asciiTheme="majorHAnsi" w:hAnsiTheme="majorHAnsi"/>
        </w:rPr>
      </w:pPr>
      <w:proofErr w:type="gramStart"/>
      <w:r w:rsidRPr="00D00B71">
        <w:rPr>
          <w:rFonts w:asciiTheme="majorHAnsi" w:hAnsiTheme="majorHAnsi"/>
          <w:b/>
        </w:rPr>
        <w:t>Figure 5.4.</w:t>
      </w:r>
      <w:proofErr w:type="gramEnd"/>
      <w:r w:rsidR="00595E9F">
        <w:rPr>
          <w:rFonts w:asciiTheme="majorHAnsi" w:hAnsiTheme="majorHAnsi"/>
          <w:b/>
        </w:rPr>
        <w:t xml:space="preserve"> </w:t>
      </w:r>
      <w:proofErr w:type="gramStart"/>
      <w:r w:rsidR="00595E9F" w:rsidRPr="00595E9F">
        <w:rPr>
          <w:rFonts w:asciiTheme="majorHAnsi" w:hAnsiTheme="majorHAnsi"/>
        </w:rPr>
        <w:t>Images of cells with low expression or stability of eGFP-PTS1.</w:t>
      </w:r>
      <w:proofErr w:type="gramEnd"/>
      <w:r w:rsidR="00595E9F">
        <w:rPr>
          <w:rFonts w:asciiTheme="majorHAnsi" w:hAnsiTheme="majorHAnsi"/>
        </w:rPr>
        <w:tab/>
        <w:t>15</w:t>
      </w:r>
      <w:r w:rsidR="00B52A6C">
        <w:rPr>
          <w:rFonts w:asciiTheme="majorHAnsi" w:hAnsiTheme="majorHAnsi"/>
        </w:rPr>
        <w:t>1</w:t>
      </w:r>
    </w:p>
    <w:p w:rsidR="000C26B2" w:rsidRPr="00D00B71" w:rsidRDefault="000C26B2" w:rsidP="000C26B2">
      <w:pPr>
        <w:spacing w:line="276" w:lineRule="auto"/>
        <w:rPr>
          <w:rFonts w:asciiTheme="majorHAnsi" w:hAnsiTheme="majorHAnsi"/>
        </w:rPr>
      </w:pPr>
      <w:proofErr w:type="gramStart"/>
      <w:r w:rsidRPr="00D00B71">
        <w:rPr>
          <w:rFonts w:asciiTheme="majorHAnsi" w:hAnsiTheme="majorHAnsi"/>
          <w:b/>
        </w:rPr>
        <w:t>Figure 5.5.</w:t>
      </w:r>
      <w:proofErr w:type="gramEnd"/>
      <w:r w:rsidR="00595E9F">
        <w:rPr>
          <w:rFonts w:asciiTheme="majorHAnsi" w:hAnsiTheme="majorHAnsi"/>
          <w:b/>
        </w:rPr>
        <w:t xml:space="preserve"> </w:t>
      </w:r>
      <w:proofErr w:type="gramStart"/>
      <w:r w:rsidR="00595E9F" w:rsidRPr="00D00B71">
        <w:rPr>
          <w:rFonts w:asciiTheme="majorHAnsi" w:hAnsiTheme="majorHAnsi"/>
        </w:rPr>
        <w:t>Images of loss of puncta KD phenotypes.</w:t>
      </w:r>
      <w:proofErr w:type="gramEnd"/>
      <w:r w:rsidR="00595E9F">
        <w:rPr>
          <w:rFonts w:asciiTheme="majorHAnsi" w:hAnsiTheme="majorHAnsi"/>
        </w:rPr>
        <w:tab/>
      </w:r>
      <w:r w:rsidR="00595E9F">
        <w:rPr>
          <w:rFonts w:asciiTheme="majorHAnsi" w:hAnsiTheme="majorHAnsi"/>
        </w:rPr>
        <w:tab/>
      </w:r>
      <w:r w:rsidR="00595E9F">
        <w:rPr>
          <w:rFonts w:asciiTheme="majorHAnsi" w:hAnsiTheme="majorHAnsi"/>
        </w:rPr>
        <w:tab/>
      </w:r>
      <w:r w:rsidR="00595E9F">
        <w:rPr>
          <w:rFonts w:asciiTheme="majorHAnsi" w:hAnsiTheme="majorHAnsi"/>
        </w:rPr>
        <w:tab/>
        <w:t>15</w:t>
      </w:r>
      <w:r w:rsidR="00B52A6C">
        <w:rPr>
          <w:rFonts w:asciiTheme="majorHAnsi" w:hAnsiTheme="majorHAnsi"/>
        </w:rPr>
        <w:t>2</w:t>
      </w:r>
    </w:p>
    <w:p w:rsidR="000C26B2" w:rsidRPr="00D00B71" w:rsidRDefault="000C26B2" w:rsidP="000C26B2">
      <w:pPr>
        <w:spacing w:line="276" w:lineRule="auto"/>
        <w:rPr>
          <w:rFonts w:asciiTheme="majorHAnsi" w:hAnsiTheme="majorHAnsi"/>
        </w:rPr>
      </w:pPr>
      <w:proofErr w:type="gramStart"/>
      <w:r w:rsidRPr="00D00B71">
        <w:rPr>
          <w:rFonts w:asciiTheme="majorHAnsi" w:hAnsiTheme="majorHAnsi"/>
          <w:b/>
        </w:rPr>
        <w:lastRenderedPageBreak/>
        <w:t>Figure 5.6.</w:t>
      </w:r>
      <w:proofErr w:type="gramEnd"/>
      <w:r w:rsidR="00595E9F">
        <w:rPr>
          <w:rFonts w:asciiTheme="majorHAnsi" w:hAnsiTheme="majorHAnsi"/>
          <w:b/>
        </w:rPr>
        <w:t xml:space="preserve"> </w:t>
      </w:r>
      <w:proofErr w:type="gramStart"/>
      <w:r w:rsidR="00595E9F" w:rsidRPr="00D00B71">
        <w:rPr>
          <w:rFonts w:asciiTheme="majorHAnsi" w:hAnsiTheme="majorHAnsi"/>
        </w:rPr>
        <w:t>Images of Class I peroxin KD phenotypes.</w:t>
      </w:r>
      <w:proofErr w:type="gramEnd"/>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595E9F">
        <w:rPr>
          <w:rFonts w:asciiTheme="majorHAnsi" w:hAnsiTheme="majorHAnsi"/>
        </w:rPr>
        <w:t>15</w:t>
      </w:r>
      <w:r w:rsidR="00B52A6C">
        <w:rPr>
          <w:rFonts w:asciiTheme="majorHAnsi" w:hAnsiTheme="majorHAnsi"/>
        </w:rPr>
        <w:t>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5.7.</w:t>
      </w:r>
      <w:proofErr w:type="gramEnd"/>
      <w:r w:rsidR="007A5A21">
        <w:rPr>
          <w:rFonts w:asciiTheme="majorHAnsi" w:hAnsiTheme="majorHAnsi"/>
        </w:rPr>
        <w:t xml:space="preserve"> </w:t>
      </w:r>
      <w:r w:rsidR="007A5A21" w:rsidRPr="00D00B71">
        <w:rPr>
          <w:rFonts w:asciiTheme="majorHAnsi" w:hAnsiTheme="majorHAnsi"/>
        </w:rPr>
        <w:t>Images of juxta-nuclear peroxisomes as KD phenotypes</w:t>
      </w:r>
      <w:r w:rsidR="007A5A21">
        <w:rPr>
          <w:rFonts w:asciiTheme="majorHAnsi" w:hAnsiTheme="majorHAnsi"/>
        </w:rPr>
        <w:tab/>
      </w:r>
      <w:r w:rsidR="007A5A21">
        <w:rPr>
          <w:rFonts w:asciiTheme="majorHAnsi" w:hAnsiTheme="majorHAnsi"/>
        </w:rPr>
        <w:tab/>
        <w:t>15</w:t>
      </w:r>
      <w:r w:rsidR="00B52A6C">
        <w:rPr>
          <w:rFonts w:asciiTheme="majorHAnsi" w:hAnsiTheme="majorHAnsi"/>
        </w:rPr>
        <w:t>5</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5.8.</w:t>
      </w:r>
      <w:proofErr w:type="gramEnd"/>
      <w:r w:rsidR="007A5A21">
        <w:rPr>
          <w:rFonts w:asciiTheme="majorHAnsi" w:hAnsiTheme="majorHAnsi"/>
          <w:b/>
        </w:rPr>
        <w:t xml:space="preserve"> </w:t>
      </w:r>
      <w:r w:rsidR="007A5A21" w:rsidRPr="00D00B71">
        <w:rPr>
          <w:rFonts w:asciiTheme="majorHAnsi" w:hAnsiTheme="majorHAnsi"/>
        </w:rPr>
        <w:t>Images of gene KDs with low peroxisome count.</w:t>
      </w:r>
      <w:r w:rsidR="007A5A21" w:rsidRPr="00D00B71">
        <w:rPr>
          <w:rFonts w:asciiTheme="majorHAnsi" w:hAnsiTheme="majorHAnsi"/>
        </w:rPr>
        <w:tab/>
      </w:r>
      <w:r w:rsidRPr="00D00B71">
        <w:rPr>
          <w:rFonts w:asciiTheme="majorHAnsi" w:hAnsiTheme="majorHAnsi"/>
        </w:rPr>
        <w:tab/>
      </w:r>
      <w:r w:rsidR="006A531D">
        <w:rPr>
          <w:rFonts w:asciiTheme="majorHAnsi" w:hAnsiTheme="majorHAnsi"/>
        </w:rPr>
        <w:tab/>
      </w:r>
      <w:r w:rsidR="007A5A21">
        <w:rPr>
          <w:rFonts w:asciiTheme="majorHAnsi" w:hAnsiTheme="majorHAnsi"/>
        </w:rPr>
        <w:t>15</w:t>
      </w:r>
      <w:r w:rsidR="002D6321">
        <w:rPr>
          <w:rFonts w:asciiTheme="majorHAnsi" w:hAnsiTheme="majorHAnsi"/>
        </w:rPr>
        <w:t>5</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5.9.</w:t>
      </w:r>
      <w:proofErr w:type="gramEnd"/>
      <w:r w:rsidR="00D45E68">
        <w:rPr>
          <w:rFonts w:asciiTheme="majorHAnsi" w:hAnsiTheme="majorHAnsi"/>
        </w:rPr>
        <w:t xml:space="preserve"> </w:t>
      </w:r>
      <w:r w:rsidR="00D45E68" w:rsidRPr="00D00B71">
        <w:rPr>
          <w:rFonts w:asciiTheme="majorHAnsi" w:hAnsiTheme="majorHAnsi"/>
        </w:rPr>
        <w:t>Images of cells with</w:t>
      </w:r>
      <w:r w:rsidR="00D45E68">
        <w:rPr>
          <w:rFonts w:asciiTheme="majorHAnsi" w:hAnsiTheme="majorHAnsi"/>
        </w:rPr>
        <w:t xml:space="preserve"> </w:t>
      </w:r>
      <w:r w:rsidR="00D45E68" w:rsidRPr="00D00B71">
        <w:rPr>
          <w:rFonts w:asciiTheme="majorHAnsi" w:hAnsiTheme="majorHAnsi"/>
        </w:rPr>
        <w:t>gene KDs causing over</w:t>
      </w:r>
      <w:r w:rsidR="00D45E68">
        <w:rPr>
          <w:rFonts w:asciiTheme="majorHAnsi" w:hAnsiTheme="majorHAnsi"/>
        </w:rPr>
        <w:t>-</w:t>
      </w:r>
      <w:r w:rsidR="00D45E68" w:rsidRPr="00D00B71">
        <w:rPr>
          <w:rFonts w:asciiTheme="majorHAnsi" w:hAnsiTheme="majorHAnsi"/>
        </w:rPr>
        <w:t>expression of eGFP-PTS1 marker.</w:t>
      </w:r>
      <w:r w:rsidR="00D45E68">
        <w:rPr>
          <w:rFonts w:asciiTheme="majorHAnsi" w:hAnsiTheme="majorHAnsi"/>
        </w:rPr>
        <w:tab/>
      </w:r>
      <w:r w:rsidR="00D45E68">
        <w:rPr>
          <w:rFonts w:asciiTheme="majorHAnsi" w:hAnsiTheme="majorHAnsi"/>
        </w:rPr>
        <w:tab/>
      </w:r>
      <w:r w:rsidR="00D45E68">
        <w:rPr>
          <w:rFonts w:asciiTheme="majorHAnsi" w:hAnsiTheme="majorHAnsi"/>
        </w:rPr>
        <w:tab/>
      </w:r>
      <w:r w:rsidR="00D45E68">
        <w:rPr>
          <w:rFonts w:asciiTheme="majorHAnsi" w:hAnsiTheme="majorHAnsi"/>
        </w:rPr>
        <w:tab/>
      </w:r>
      <w:r w:rsidR="00D45E68">
        <w:rPr>
          <w:rFonts w:asciiTheme="majorHAnsi" w:hAnsiTheme="majorHAnsi"/>
        </w:rPr>
        <w:tab/>
      </w:r>
      <w:r w:rsidR="00D45E68">
        <w:rPr>
          <w:rFonts w:asciiTheme="majorHAnsi" w:hAnsiTheme="majorHAnsi"/>
        </w:rPr>
        <w:tab/>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D45E68">
        <w:rPr>
          <w:rFonts w:asciiTheme="majorHAnsi" w:hAnsiTheme="majorHAnsi"/>
        </w:rPr>
        <w:t>15</w:t>
      </w:r>
      <w:r w:rsidR="002D6321">
        <w:rPr>
          <w:rFonts w:asciiTheme="majorHAnsi" w:hAnsiTheme="majorHAnsi"/>
        </w:rPr>
        <w:t>7</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5.10.</w:t>
      </w:r>
      <w:proofErr w:type="gramEnd"/>
      <w:r w:rsidR="005C5805">
        <w:rPr>
          <w:rFonts w:asciiTheme="majorHAnsi" w:hAnsiTheme="majorHAnsi"/>
          <w:b/>
        </w:rPr>
        <w:t xml:space="preserve"> </w:t>
      </w:r>
      <w:r w:rsidR="005C5805" w:rsidRPr="00D00B71">
        <w:rPr>
          <w:rFonts w:asciiTheme="majorHAnsi" w:hAnsiTheme="majorHAnsi"/>
          <w:b/>
        </w:rPr>
        <w:t xml:space="preserve">. </w:t>
      </w:r>
      <w:proofErr w:type="gramStart"/>
      <w:r w:rsidR="005C5805" w:rsidRPr="00D00B71">
        <w:rPr>
          <w:rFonts w:asciiTheme="majorHAnsi" w:hAnsiTheme="majorHAnsi"/>
        </w:rPr>
        <w:t>Images of cells with only one well in the triplicate showing aberrant phenotype – A.</w:t>
      </w:r>
      <w:proofErr w:type="gramEnd"/>
      <w:r w:rsidR="005C5805" w:rsidRPr="00D00B71">
        <w:rPr>
          <w:rFonts w:asciiTheme="majorHAnsi" w:hAnsiTheme="majorHAnsi"/>
        </w:rPr>
        <w:tab/>
      </w:r>
      <w:r w:rsidR="005C5805">
        <w:rPr>
          <w:rFonts w:asciiTheme="majorHAnsi" w:hAnsiTheme="majorHAnsi"/>
        </w:rPr>
        <w:tab/>
      </w:r>
      <w:r w:rsidR="005C5805">
        <w:rPr>
          <w:rFonts w:asciiTheme="majorHAnsi" w:hAnsiTheme="majorHAnsi"/>
        </w:rPr>
        <w:tab/>
      </w:r>
      <w:r w:rsidR="005C5805">
        <w:rPr>
          <w:rFonts w:asciiTheme="majorHAnsi" w:hAnsiTheme="majorHAnsi"/>
        </w:rPr>
        <w:tab/>
      </w:r>
      <w:r w:rsidR="005C5805">
        <w:rPr>
          <w:rFonts w:asciiTheme="majorHAnsi" w:hAnsiTheme="majorHAnsi"/>
        </w:rPr>
        <w:tab/>
      </w:r>
      <w:r w:rsidR="005C5805">
        <w:rPr>
          <w:rFonts w:asciiTheme="majorHAnsi" w:hAnsiTheme="majorHAnsi"/>
        </w:rPr>
        <w:tab/>
      </w:r>
      <w:r w:rsidR="005C5805">
        <w:rPr>
          <w:rFonts w:asciiTheme="majorHAnsi" w:hAnsiTheme="majorHAnsi"/>
        </w:rPr>
        <w:tab/>
      </w:r>
      <w:r w:rsidRPr="00D00B71">
        <w:rPr>
          <w:rFonts w:asciiTheme="majorHAnsi" w:hAnsiTheme="majorHAnsi"/>
        </w:rPr>
        <w:tab/>
      </w:r>
      <w:r w:rsidR="006A531D">
        <w:rPr>
          <w:rFonts w:asciiTheme="majorHAnsi" w:hAnsiTheme="majorHAnsi"/>
        </w:rPr>
        <w:tab/>
      </w:r>
      <w:r w:rsidR="005C5805">
        <w:rPr>
          <w:rFonts w:asciiTheme="majorHAnsi" w:hAnsiTheme="majorHAnsi"/>
        </w:rPr>
        <w:t>1</w:t>
      </w:r>
      <w:r w:rsidR="002D6321">
        <w:rPr>
          <w:rFonts w:asciiTheme="majorHAnsi" w:hAnsiTheme="majorHAnsi"/>
        </w:rPr>
        <w:t>59</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5.11.</w:t>
      </w:r>
      <w:proofErr w:type="gramEnd"/>
      <w:r w:rsidR="005C5805">
        <w:rPr>
          <w:rFonts w:asciiTheme="majorHAnsi" w:hAnsiTheme="majorHAnsi"/>
        </w:rPr>
        <w:t xml:space="preserve"> </w:t>
      </w:r>
      <w:r w:rsidR="005C5805" w:rsidRPr="00D00B71">
        <w:rPr>
          <w:rFonts w:asciiTheme="majorHAnsi" w:hAnsiTheme="majorHAnsi"/>
          <w:b/>
        </w:rPr>
        <w:t xml:space="preserve">. </w:t>
      </w:r>
      <w:proofErr w:type="gramStart"/>
      <w:r w:rsidR="005C5805" w:rsidRPr="00D00B71">
        <w:rPr>
          <w:rFonts w:asciiTheme="majorHAnsi" w:hAnsiTheme="majorHAnsi"/>
        </w:rPr>
        <w:t>Images of cells with only one well in the triplicate showing aberrant phenotype – B.</w:t>
      </w:r>
      <w:proofErr w:type="gramEnd"/>
      <w:r w:rsidR="005C5805">
        <w:rPr>
          <w:rFonts w:asciiTheme="majorHAnsi" w:hAnsiTheme="majorHAnsi"/>
        </w:rPr>
        <w:tab/>
      </w:r>
      <w:r w:rsidR="005C5805">
        <w:rPr>
          <w:rFonts w:asciiTheme="majorHAnsi" w:hAnsiTheme="majorHAnsi"/>
        </w:rPr>
        <w:tab/>
      </w:r>
      <w:r w:rsidR="005C5805">
        <w:rPr>
          <w:rFonts w:asciiTheme="majorHAnsi" w:hAnsiTheme="majorHAnsi"/>
        </w:rPr>
        <w:tab/>
      </w:r>
      <w:r w:rsidR="005C5805">
        <w:rPr>
          <w:rFonts w:asciiTheme="majorHAnsi" w:hAnsiTheme="majorHAnsi"/>
        </w:rPr>
        <w:tab/>
      </w:r>
      <w:r w:rsidR="005C5805">
        <w:rPr>
          <w:rFonts w:asciiTheme="majorHAnsi" w:hAnsiTheme="majorHAnsi"/>
        </w:rPr>
        <w:tab/>
      </w:r>
      <w:r w:rsidR="005C5805">
        <w:rPr>
          <w:rFonts w:asciiTheme="majorHAnsi" w:hAnsiTheme="majorHAnsi"/>
        </w:rPr>
        <w:tab/>
      </w:r>
      <w:r w:rsidR="005C5805">
        <w:rPr>
          <w:rFonts w:asciiTheme="majorHAnsi" w:hAnsiTheme="majorHAnsi"/>
        </w:rPr>
        <w:tab/>
      </w:r>
      <w:r w:rsidR="005C5805">
        <w:rPr>
          <w:rFonts w:asciiTheme="majorHAnsi" w:hAnsiTheme="majorHAnsi"/>
        </w:rPr>
        <w:tab/>
      </w:r>
      <w:r w:rsidR="006A531D">
        <w:rPr>
          <w:rFonts w:asciiTheme="majorHAnsi" w:hAnsiTheme="majorHAnsi"/>
        </w:rPr>
        <w:tab/>
      </w:r>
      <w:r w:rsidR="005C5805">
        <w:rPr>
          <w:rFonts w:asciiTheme="majorHAnsi" w:hAnsiTheme="majorHAnsi"/>
        </w:rPr>
        <w:t>16</w:t>
      </w:r>
      <w:r w:rsidR="002D6321">
        <w:rPr>
          <w:rFonts w:asciiTheme="majorHAnsi" w:hAnsiTheme="majorHAnsi"/>
        </w:rPr>
        <w:t>0</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5.12.</w:t>
      </w:r>
      <w:proofErr w:type="gramEnd"/>
      <w:r w:rsidR="00765503">
        <w:rPr>
          <w:rFonts w:asciiTheme="majorHAnsi" w:hAnsiTheme="majorHAnsi"/>
        </w:rPr>
        <w:t xml:space="preserve"> </w:t>
      </w:r>
      <w:proofErr w:type="gramStart"/>
      <w:r w:rsidR="00765503" w:rsidRPr="00D00B71">
        <w:rPr>
          <w:rFonts w:asciiTheme="majorHAnsi" w:hAnsiTheme="majorHAnsi"/>
        </w:rPr>
        <w:t>Images of cells with only one well in the triplicate showing aberrant phenotype – C</w:t>
      </w:r>
      <w:r w:rsidR="00765503">
        <w:rPr>
          <w:rFonts w:asciiTheme="majorHAnsi" w:hAnsiTheme="majorHAnsi"/>
        </w:rPr>
        <w:t>.</w:t>
      </w:r>
      <w:proofErr w:type="gramEnd"/>
      <w:r w:rsidR="00765503">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t>1</w:t>
      </w:r>
      <w:r w:rsidR="00765503">
        <w:rPr>
          <w:rFonts w:asciiTheme="majorHAnsi" w:hAnsiTheme="majorHAnsi"/>
        </w:rPr>
        <w:t>6</w:t>
      </w:r>
      <w:r w:rsidR="002D6321">
        <w:rPr>
          <w:rFonts w:asciiTheme="majorHAnsi" w:hAnsiTheme="majorHAnsi"/>
        </w:rPr>
        <w:t>1</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5.13</w:t>
      </w:r>
      <w:r w:rsidR="00765503">
        <w:rPr>
          <w:rFonts w:asciiTheme="majorHAnsi" w:hAnsiTheme="majorHAnsi"/>
          <w:b/>
        </w:rPr>
        <w:t>.</w:t>
      </w:r>
      <w:proofErr w:type="gramEnd"/>
      <w:r w:rsidR="00765503">
        <w:rPr>
          <w:rFonts w:asciiTheme="majorHAnsi" w:hAnsiTheme="majorHAnsi"/>
        </w:rPr>
        <w:t xml:space="preserve"> </w:t>
      </w:r>
      <w:r w:rsidR="00765503" w:rsidRPr="00D00B71">
        <w:rPr>
          <w:rFonts w:asciiTheme="majorHAnsi" w:hAnsiTheme="majorHAnsi"/>
        </w:rPr>
        <w:t>Cells showing increase in abundance of cells/ ATP synthase subunit KD</w:t>
      </w:r>
      <w:r w:rsidR="00765503">
        <w:rPr>
          <w:rFonts w:asciiTheme="majorHAnsi" w:hAnsiTheme="majorHAnsi"/>
        </w:rPr>
        <w:t>s</w:t>
      </w:r>
      <w:r w:rsidR="00765503" w:rsidRPr="00D00B71">
        <w:rPr>
          <w:rFonts w:asciiTheme="majorHAnsi" w:hAnsiTheme="majorHAnsi"/>
        </w:rPr>
        <w:t>.</w:t>
      </w:r>
      <w:r w:rsidR="00765503">
        <w:rPr>
          <w:rFonts w:asciiTheme="majorHAnsi" w:hAnsiTheme="majorHAnsi"/>
        </w:rPr>
        <w:tab/>
      </w:r>
      <w:r w:rsidR="00765503">
        <w:rPr>
          <w:rFonts w:asciiTheme="majorHAnsi" w:hAnsiTheme="majorHAnsi"/>
        </w:rPr>
        <w:tab/>
      </w:r>
      <w:r w:rsidR="00765503">
        <w:rPr>
          <w:rFonts w:asciiTheme="majorHAnsi" w:hAnsiTheme="majorHAnsi"/>
        </w:rPr>
        <w:tab/>
      </w:r>
      <w:r w:rsidR="00765503">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6A531D">
        <w:rPr>
          <w:rFonts w:asciiTheme="majorHAnsi" w:hAnsiTheme="majorHAnsi"/>
        </w:rPr>
        <w:tab/>
      </w:r>
      <w:r w:rsidR="00765503">
        <w:rPr>
          <w:rFonts w:asciiTheme="majorHAnsi" w:hAnsiTheme="majorHAnsi"/>
        </w:rPr>
        <w:t>16</w:t>
      </w:r>
      <w:r w:rsidR="002D6321">
        <w:rPr>
          <w:rFonts w:asciiTheme="majorHAnsi" w:hAnsiTheme="majorHAnsi"/>
        </w:rPr>
        <w:t>2</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5.14</w:t>
      </w:r>
      <w:r w:rsidR="00765503">
        <w:rPr>
          <w:rFonts w:asciiTheme="majorHAnsi" w:hAnsiTheme="majorHAnsi"/>
          <w:b/>
        </w:rPr>
        <w:t>.</w:t>
      </w:r>
      <w:proofErr w:type="gramEnd"/>
      <w:r w:rsidR="00765503">
        <w:rPr>
          <w:rFonts w:asciiTheme="majorHAnsi" w:hAnsiTheme="majorHAnsi"/>
        </w:rPr>
        <w:t xml:space="preserve"> </w:t>
      </w:r>
      <w:proofErr w:type="gramStart"/>
      <w:r w:rsidR="00765503" w:rsidRPr="00D00B71">
        <w:rPr>
          <w:rFonts w:asciiTheme="majorHAnsi" w:hAnsiTheme="majorHAnsi"/>
        </w:rPr>
        <w:t>Heat maps of median z-scores taken across the triplicates of each KD for peroxisome count per cell (PCNC), peroxisome cross-sectional area per cell (PANC) and peroxisome fluorescent intensity per cell (PINC).</w:t>
      </w:r>
      <w:proofErr w:type="gramEnd"/>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6A531D">
        <w:rPr>
          <w:rFonts w:asciiTheme="majorHAnsi" w:hAnsiTheme="majorHAnsi"/>
        </w:rPr>
        <w:tab/>
      </w:r>
      <w:r w:rsidR="00765503">
        <w:rPr>
          <w:rFonts w:asciiTheme="majorHAnsi" w:hAnsiTheme="majorHAnsi"/>
        </w:rPr>
        <w:t>16</w:t>
      </w:r>
      <w:r w:rsidR="002D6321">
        <w:rPr>
          <w:rFonts w:asciiTheme="majorHAnsi" w:hAnsiTheme="majorHAnsi"/>
        </w:rPr>
        <w:t>4</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5.15</w:t>
      </w:r>
      <w:r w:rsidR="00765503">
        <w:rPr>
          <w:rFonts w:asciiTheme="majorHAnsi" w:hAnsiTheme="majorHAnsi"/>
          <w:b/>
        </w:rPr>
        <w:t>.</w:t>
      </w:r>
      <w:proofErr w:type="gramEnd"/>
      <w:r w:rsidR="00654CA1">
        <w:rPr>
          <w:rFonts w:asciiTheme="majorHAnsi" w:hAnsiTheme="majorHAnsi"/>
        </w:rPr>
        <w:t xml:space="preserve"> </w:t>
      </w:r>
      <w:r w:rsidR="00654CA1" w:rsidRPr="00D00B71">
        <w:rPr>
          <w:rFonts w:asciiTheme="majorHAnsi" w:hAnsiTheme="majorHAnsi"/>
        </w:rPr>
        <w:t>Scatterplots of</w:t>
      </w:r>
      <w:r w:rsidR="00654CA1" w:rsidRPr="00D00B71">
        <w:rPr>
          <w:rFonts w:asciiTheme="majorHAnsi" w:hAnsiTheme="majorHAnsi"/>
          <w:b/>
        </w:rPr>
        <w:t xml:space="preserve"> </w:t>
      </w:r>
      <w:r w:rsidR="00654CA1" w:rsidRPr="00D00B71">
        <w:rPr>
          <w:rFonts w:asciiTheme="majorHAnsi" w:hAnsiTheme="majorHAnsi"/>
        </w:rPr>
        <w:t>z-scores of</w:t>
      </w:r>
      <w:r w:rsidR="00654CA1" w:rsidRPr="00D00B71">
        <w:rPr>
          <w:rFonts w:asciiTheme="majorHAnsi" w:hAnsiTheme="majorHAnsi"/>
          <w:b/>
        </w:rPr>
        <w:t xml:space="preserve"> </w:t>
      </w:r>
      <w:r w:rsidR="00654CA1" w:rsidRPr="00D00B71">
        <w:rPr>
          <w:rFonts w:asciiTheme="majorHAnsi" w:hAnsiTheme="majorHAnsi"/>
        </w:rPr>
        <w:t>Peroxisome cross-sectional area (blue) and integrated fluorescence intensity (red) plotted against peroxisome count z-score (x-axis).</w:t>
      </w:r>
      <w:r w:rsidR="00654CA1" w:rsidRPr="00D00B71">
        <w:rPr>
          <w:rFonts w:asciiTheme="majorHAnsi" w:hAnsiTheme="majorHAnsi"/>
        </w:rPr>
        <w:tab/>
      </w:r>
      <w:r w:rsidR="00654CA1" w:rsidRPr="00D00B71">
        <w:rPr>
          <w:rFonts w:asciiTheme="majorHAnsi" w:hAnsiTheme="majorHAnsi"/>
        </w:rPr>
        <w:tab/>
      </w:r>
      <w:r w:rsidR="00654CA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6A531D">
        <w:rPr>
          <w:rFonts w:asciiTheme="majorHAnsi" w:hAnsiTheme="majorHAnsi"/>
        </w:rPr>
        <w:tab/>
      </w:r>
      <w:r w:rsidR="00654CA1">
        <w:rPr>
          <w:rFonts w:asciiTheme="majorHAnsi" w:hAnsiTheme="majorHAnsi"/>
        </w:rPr>
        <w:t>16</w:t>
      </w:r>
      <w:r w:rsidR="002D6321">
        <w:rPr>
          <w:rFonts w:asciiTheme="majorHAnsi" w:hAnsiTheme="majorHAnsi"/>
        </w:rPr>
        <w:t>5</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5.16.</w:t>
      </w:r>
      <w:proofErr w:type="gramEnd"/>
      <w:r w:rsidR="00654CA1">
        <w:rPr>
          <w:rFonts w:asciiTheme="majorHAnsi" w:hAnsiTheme="majorHAnsi"/>
        </w:rPr>
        <w:t xml:space="preserve"> </w:t>
      </w:r>
      <w:r w:rsidR="00654CA1" w:rsidRPr="00D00B71">
        <w:rPr>
          <w:rFonts w:asciiTheme="majorHAnsi" w:hAnsiTheme="majorHAnsi"/>
        </w:rPr>
        <w:t>Median z-scores of peroxisomal fluorescence integrated intensity per cell plotted against median z-scores of peroxisomal cross-sectional area per cell.</w:t>
      </w:r>
      <w:r w:rsidR="00654CA1" w:rsidRPr="00D00B71">
        <w:rPr>
          <w:rFonts w:asciiTheme="majorHAnsi" w:hAnsiTheme="majorHAnsi"/>
        </w:rPr>
        <w:tab/>
      </w:r>
      <w:r w:rsidR="00036458">
        <w:rPr>
          <w:rFonts w:asciiTheme="majorHAnsi" w:hAnsiTheme="majorHAnsi"/>
        </w:rPr>
        <w:t>16</w:t>
      </w:r>
      <w:r w:rsidR="002D6321">
        <w:rPr>
          <w:rFonts w:asciiTheme="majorHAnsi" w:hAnsiTheme="majorHAnsi"/>
        </w:rPr>
        <w:t>6</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5.17.</w:t>
      </w:r>
      <w:proofErr w:type="gramEnd"/>
      <w:r w:rsidR="00654CA1">
        <w:rPr>
          <w:rFonts w:asciiTheme="majorHAnsi" w:hAnsiTheme="majorHAnsi"/>
          <w:b/>
        </w:rPr>
        <w:t xml:space="preserve"> </w:t>
      </w:r>
      <w:r w:rsidR="00654CA1" w:rsidRPr="00D00B71">
        <w:rPr>
          <w:rFonts w:asciiTheme="majorHAnsi" w:hAnsiTheme="majorHAnsi"/>
        </w:rPr>
        <w:t>Correlation tables for peroxisome count, area and intensity per cell.</w:t>
      </w:r>
      <w:r w:rsidRPr="00D00B71">
        <w:rPr>
          <w:rFonts w:asciiTheme="majorHAnsi" w:hAnsiTheme="majorHAnsi"/>
        </w:rPr>
        <w:tab/>
      </w:r>
      <w:r w:rsidR="006A531D">
        <w:rPr>
          <w:rFonts w:asciiTheme="majorHAnsi" w:hAnsiTheme="majorHAnsi"/>
        </w:rPr>
        <w:tab/>
      </w:r>
      <w:r w:rsidR="006A531D">
        <w:rPr>
          <w:rFonts w:asciiTheme="majorHAnsi" w:hAnsiTheme="majorHAnsi"/>
        </w:rPr>
        <w:tab/>
      </w:r>
      <w:r w:rsidR="006A531D">
        <w:rPr>
          <w:rFonts w:asciiTheme="majorHAnsi" w:hAnsiTheme="majorHAnsi"/>
        </w:rPr>
        <w:tab/>
      </w:r>
      <w:r w:rsidR="00654CA1">
        <w:rPr>
          <w:rFonts w:asciiTheme="majorHAnsi" w:hAnsiTheme="majorHAnsi"/>
        </w:rPr>
        <w:tab/>
      </w:r>
      <w:r w:rsidR="00654CA1">
        <w:rPr>
          <w:rFonts w:asciiTheme="majorHAnsi" w:hAnsiTheme="majorHAnsi"/>
        </w:rPr>
        <w:tab/>
      </w:r>
      <w:r w:rsidR="00654CA1">
        <w:rPr>
          <w:rFonts w:asciiTheme="majorHAnsi" w:hAnsiTheme="majorHAnsi"/>
        </w:rPr>
        <w:tab/>
      </w:r>
      <w:r w:rsidR="00654CA1">
        <w:rPr>
          <w:rFonts w:asciiTheme="majorHAnsi" w:hAnsiTheme="majorHAnsi"/>
        </w:rPr>
        <w:tab/>
      </w:r>
      <w:r w:rsidR="00654CA1">
        <w:rPr>
          <w:rFonts w:asciiTheme="majorHAnsi" w:hAnsiTheme="majorHAnsi"/>
        </w:rPr>
        <w:tab/>
      </w:r>
      <w:r w:rsidR="00654CA1">
        <w:rPr>
          <w:rFonts w:asciiTheme="majorHAnsi" w:hAnsiTheme="majorHAnsi"/>
        </w:rPr>
        <w:tab/>
      </w:r>
      <w:r w:rsidR="00654CA1">
        <w:rPr>
          <w:rFonts w:asciiTheme="majorHAnsi" w:hAnsiTheme="majorHAnsi"/>
        </w:rPr>
        <w:tab/>
      </w:r>
      <w:r w:rsidR="00036458">
        <w:rPr>
          <w:rFonts w:asciiTheme="majorHAnsi" w:hAnsiTheme="majorHAnsi"/>
        </w:rPr>
        <w:t>16</w:t>
      </w:r>
      <w:r w:rsidR="002D6321">
        <w:rPr>
          <w:rFonts w:asciiTheme="majorHAnsi" w:hAnsiTheme="majorHAnsi"/>
        </w:rPr>
        <w:t>8</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5.18.</w:t>
      </w:r>
      <w:proofErr w:type="gramEnd"/>
      <w:r w:rsidR="00036458">
        <w:rPr>
          <w:rFonts w:asciiTheme="majorHAnsi" w:hAnsiTheme="majorHAnsi"/>
        </w:rPr>
        <w:t xml:space="preserve"> </w:t>
      </w:r>
      <w:r w:rsidR="00036458" w:rsidRPr="00D00B71">
        <w:rPr>
          <w:rFonts w:asciiTheme="majorHAnsi" w:hAnsiTheme="majorHAnsi"/>
        </w:rPr>
        <w:t>Reproducibility plots per parameter.</w:t>
      </w:r>
      <w:r w:rsidRPr="00D00B71">
        <w:rPr>
          <w:rFonts w:asciiTheme="majorHAnsi" w:hAnsiTheme="majorHAnsi"/>
        </w:rPr>
        <w:tab/>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036458">
        <w:rPr>
          <w:rFonts w:asciiTheme="majorHAnsi" w:hAnsiTheme="majorHAnsi"/>
        </w:rPr>
        <w:t>1</w:t>
      </w:r>
      <w:r w:rsidR="002D6321">
        <w:rPr>
          <w:rFonts w:asciiTheme="majorHAnsi" w:hAnsiTheme="majorHAnsi"/>
        </w:rPr>
        <w:t>69</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5.19.</w:t>
      </w:r>
      <w:proofErr w:type="gramEnd"/>
      <w:r w:rsidR="00036458">
        <w:rPr>
          <w:rFonts w:asciiTheme="majorHAnsi" w:hAnsiTheme="majorHAnsi"/>
        </w:rPr>
        <w:t xml:space="preserve"> </w:t>
      </w:r>
      <w:r w:rsidR="00036458" w:rsidRPr="00D00B71">
        <w:rPr>
          <w:rFonts w:asciiTheme="majorHAnsi" w:hAnsiTheme="majorHAnsi"/>
        </w:rPr>
        <w:t>Box whisker plots of z-scores for peroxisome per cell counts f</w:t>
      </w:r>
      <w:r w:rsidR="00036458">
        <w:rPr>
          <w:rFonts w:asciiTheme="majorHAnsi" w:hAnsiTheme="majorHAnsi"/>
        </w:rPr>
        <w:t>or control probes, including GFP</w:t>
      </w:r>
      <w:r w:rsidR="00036458" w:rsidRPr="00D00B71">
        <w:rPr>
          <w:rFonts w:asciiTheme="majorHAnsi" w:hAnsiTheme="majorHAnsi"/>
        </w:rPr>
        <w:t xml:space="preserve"> and negative controls, compared to the plate samples.</w:t>
      </w:r>
      <w:r w:rsidR="006A531D">
        <w:rPr>
          <w:rFonts w:asciiTheme="majorHAnsi" w:hAnsiTheme="majorHAnsi"/>
        </w:rPr>
        <w:tab/>
      </w:r>
      <w:r w:rsidR="00036458">
        <w:rPr>
          <w:rFonts w:asciiTheme="majorHAnsi" w:hAnsiTheme="majorHAnsi"/>
        </w:rPr>
        <w:t>17</w:t>
      </w:r>
      <w:r w:rsidR="002D6321">
        <w:rPr>
          <w:rFonts w:asciiTheme="majorHAnsi" w:hAnsiTheme="majorHAnsi"/>
        </w:rPr>
        <w:t>0</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5.20.</w:t>
      </w:r>
      <w:proofErr w:type="gramEnd"/>
      <w:r w:rsidRPr="00D00B71">
        <w:rPr>
          <w:rFonts w:asciiTheme="majorHAnsi" w:hAnsiTheme="majorHAnsi"/>
          <w:b/>
        </w:rPr>
        <w:t xml:space="preserve"> </w:t>
      </w:r>
      <w:r w:rsidR="00F0444A">
        <w:rPr>
          <w:rFonts w:asciiTheme="majorHAnsi" w:hAnsiTheme="majorHAnsi"/>
        </w:rPr>
        <w:t>A Q-Q plot of the median Z</w:t>
      </w:r>
      <w:r w:rsidR="00F0444A" w:rsidRPr="00D00B71">
        <w:rPr>
          <w:rFonts w:asciiTheme="majorHAnsi" w:hAnsiTheme="majorHAnsi"/>
        </w:rPr>
        <w:t>-scores for peroxisome count per cell for sample</w:t>
      </w:r>
      <w:r w:rsidR="00F0444A">
        <w:rPr>
          <w:rFonts w:asciiTheme="majorHAnsi" w:hAnsiTheme="majorHAnsi"/>
        </w:rPr>
        <w:t>s and negative controls in the S</w:t>
      </w:r>
      <w:r w:rsidR="00F0444A" w:rsidRPr="00D00B71">
        <w:rPr>
          <w:rFonts w:asciiTheme="majorHAnsi" w:hAnsiTheme="majorHAnsi"/>
        </w:rPr>
        <w:t xml:space="preserve">econdary </w:t>
      </w:r>
      <w:r w:rsidR="00F0444A">
        <w:rPr>
          <w:rFonts w:asciiTheme="majorHAnsi" w:hAnsiTheme="majorHAnsi"/>
        </w:rPr>
        <w:t>S</w:t>
      </w:r>
      <w:r w:rsidR="00F0444A" w:rsidRPr="00D00B71">
        <w:rPr>
          <w:rFonts w:asciiTheme="majorHAnsi" w:hAnsiTheme="majorHAnsi"/>
        </w:rPr>
        <w:t>creen.</w:t>
      </w:r>
      <w:r w:rsidRPr="00D00B71">
        <w:rPr>
          <w:rFonts w:asciiTheme="majorHAnsi" w:hAnsiTheme="majorHAnsi"/>
        </w:rPr>
        <w:tab/>
      </w:r>
      <w:r w:rsidRPr="00D00B71">
        <w:rPr>
          <w:rFonts w:asciiTheme="majorHAnsi" w:hAnsiTheme="majorHAnsi"/>
        </w:rPr>
        <w:tab/>
      </w:r>
      <w:r>
        <w:rPr>
          <w:rFonts w:asciiTheme="majorHAnsi" w:hAnsiTheme="majorHAnsi"/>
        </w:rPr>
        <w:tab/>
      </w:r>
      <w:r w:rsidR="00F0444A">
        <w:rPr>
          <w:rFonts w:asciiTheme="majorHAnsi" w:hAnsiTheme="majorHAnsi"/>
        </w:rPr>
        <w:t>17</w:t>
      </w:r>
      <w:r w:rsidR="002D6321">
        <w:rPr>
          <w:rFonts w:asciiTheme="majorHAnsi" w:hAnsiTheme="majorHAnsi"/>
        </w:rPr>
        <w:t>2</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5.21.</w:t>
      </w:r>
      <w:proofErr w:type="gramEnd"/>
      <w:r w:rsidR="00F0444A">
        <w:rPr>
          <w:rFonts w:asciiTheme="majorHAnsi" w:hAnsiTheme="majorHAnsi"/>
        </w:rPr>
        <w:t xml:space="preserve"> </w:t>
      </w:r>
      <w:r w:rsidR="00F0444A" w:rsidRPr="00D00B71">
        <w:rPr>
          <w:rFonts w:asciiTheme="majorHAnsi" w:hAnsiTheme="majorHAnsi"/>
        </w:rPr>
        <w:t xml:space="preserve">Images of the 9 top z-scores of KDs of peroxisome count per cell. </w:t>
      </w:r>
      <w:proofErr w:type="gramStart"/>
      <w:r w:rsidR="00F0444A" w:rsidRPr="00D00B71">
        <w:rPr>
          <w:rFonts w:asciiTheme="majorHAnsi" w:hAnsiTheme="majorHAnsi"/>
        </w:rPr>
        <w:t xml:space="preserve">Statistical outliers </w:t>
      </w:r>
      <w:r w:rsidR="00F0444A">
        <w:rPr>
          <w:rFonts w:asciiTheme="majorHAnsi" w:hAnsiTheme="majorHAnsi"/>
        </w:rPr>
        <w:t xml:space="preserve">- </w:t>
      </w:r>
      <w:r w:rsidR="00F0444A" w:rsidRPr="00D00B71">
        <w:rPr>
          <w:rFonts w:asciiTheme="majorHAnsi" w:hAnsiTheme="majorHAnsi"/>
        </w:rPr>
        <w:t>A</w:t>
      </w:r>
      <w:r w:rsidR="00F0444A">
        <w:rPr>
          <w:rFonts w:asciiTheme="majorHAnsi" w:hAnsiTheme="majorHAnsi"/>
        </w:rPr>
        <w:t>.</w:t>
      </w:r>
      <w:proofErr w:type="gramEnd"/>
      <w:r w:rsidR="00F0444A">
        <w:rPr>
          <w:rFonts w:asciiTheme="majorHAnsi" w:hAnsiTheme="majorHAnsi"/>
        </w:rPr>
        <w:tab/>
      </w:r>
      <w:r w:rsidR="00F0444A">
        <w:rPr>
          <w:rFonts w:asciiTheme="majorHAnsi" w:hAnsiTheme="majorHAnsi"/>
        </w:rPr>
        <w:tab/>
      </w:r>
      <w:r w:rsidR="00F0444A">
        <w:rPr>
          <w:rFonts w:asciiTheme="majorHAnsi" w:hAnsiTheme="majorHAnsi"/>
        </w:rPr>
        <w:tab/>
      </w:r>
      <w:r w:rsidR="00F0444A">
        <w:rPr>
          <w:rFonts w:asciiTheme="majorHAnsi" w:hAnsiTheme="majorHAnsi"/>
        </w:rPr>
        <w:tab/>
      </w:r>
      <w:r w:rsidR="00F0444A">
        <w:rPr>
          <w:rFonts w:asciiTheme="majorHAnsi" w:hAnsiTheme="majorHAnsi"/>
        </w:rPr>
        <w:tab/>
      </w:r>
      <w:r w:rsidRPr="00D00B71">
        <w:rPr>
          <w:rFonts w:asciiTheme="majorHAnsi" w:hAnsiTheme="majorHAnsi"/>
        </w:rPr>
        <w:tab/>
      </w:r>
      <w:r w:rsidRPr="00D00B71">
        <w:rPr>
          <w:rFonts w:asciiTheme="majorHAnsi" w:hAnsiTheme="majorHAnsi"/>
        </w:rPr>
        <w:tab/>
      </w:r>
      <w:r w:rsidR="006A531D">
        <w:rPr>
          <w:rFonts w:asciiTheme="majorHAnsi" w:hAnsiTheme="majorHAnsi"/>
        </w:rPr>
        <w:tab/>
      </w:r>
      <w:r w:rsidR="00F0444A">
        <w:rPr>
          <w:rFonts w:asciiTheme="majorHAnsi" w:hAnsiTheme="majorHAnsi"/>
        </w:rPr>
        <w:t>1</w:t>
      </w:r>
      <w:r w:rsidRPr="00D00B71">
        <w:rPr>
          <w:rFonts w:asciiTheme="majorHAnsi" w:hAnsiTheme="majorHAnsi"/>
        </w:rPr>
        <w:t>7</w:t>
      </w:r>
      <w:r w:rsidR="002D6321">
        <w:rPr>
          <w:rFonts w:asciiTheme="majorHAnsi" w:hAnsiTheme="majorHAnsi"/>
        </w:rPr>
        <w:t>4</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5.22.</w:t>
      </w:r>
      <w:proofErr w:type="gramEnd"/>
      <w:r w:rsidR="00F0444A">
        <w:rPr>
          <w:rFonts w:asciiTheme="majorHAnsi" w:hAnsiTheme="majorHAnsi"/>
        </w:rPr>
        <w:t xml:space="preserve"> 5</w:t>
      </w:r>
      <w:r w:rsidR="00F0444A" w:rsidRPr="00D00B71">
        <w:rPr>
          <w:rFonts w:asciiTheme="majorHAnsi" w:hAnsiTheme="majorHAnsi"/>
        </w:rPr>
        <w:t xml:space="preserve"> Images of the top z-scores of KDs of peroxisome count per cell. </w:t>
      </w:r>
      <w:proofErr w:type="gramStart"/>
      <w:r w:rsidR="00F0444A" w:rsidRPr="00D00B71">
        <w:rPr>
          <w:rFonts w:asciiTheme="majorHAnsi" w:hAnsiTheme="majorHAnsi"/>
        </w:rPr>
        <w:t xml:space="preserve">Statistical outliers </w:t>
      </w:r>
      <w:r w:rsidR="00A84A70">
        <w:rPr>
          <w:rFonts w:asciiTheme="majorHAnsi" w:hAnsiTheme="majorHAnsi"/>
        </w:rPr>
        <w:t xml:space="preserve">- </w:t>
      </w:r>
      <w:r w:rsidR="00F0444A" w:rsidRPr="00D00B71">
        <w:rPr>
          <w:rFonts w:asciiTheme="majorHAnsi" w:hAnsiTheme="majorHAnsi"/>
        </w:rPr>
        <w:t>B.</w:t>
      </w:r>
      <w:proofErr w:type="gramEnd"/>
      <w:r w:rsidRPr="00D00B71">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sidR="006A531D">
        <w:rPr>
          <w:rFonts w:asciiTheme="majorHAnsi" w:hAnsiTheme="majorHAnsi"/>
        </w:rPr>
        <w:tab/>
      </w:r>
      <w:r w:rsidR="006A531D">
        <w:rPr>
          <w:rFonts w:asciiTheme="majorHAnsi" w:hAnsiTheme="majorHAnsi"/>
        </w:rPr>
        <w:tab/>
      </w:r>
      <w:r w:rsidR="006A531D">
        <w:rPr>
          <w:rFonts w:asciiTheme="majorHAnsi" w:hAnsiTheme="majorHAnsi"/>
        </w:rPr>
        <w:tab/>
      </w:r>
      <w:r w:rsidR="00A84A70">
        <w:rPr>
          <w:rFonts w:asciiTheme="majorHAnsi" w:hAnsiTheme="majorHAnsi"/>
        </w:rPr>
        <w:t>17</w:t>
      </w:r>
      <w:r w:rsidR="002D6321">
        <w:rPr>
          <w:rFonts w:asciiTheme="majorHAnsi" w:hAnsiTheme="majorHAnsi"/>
        </w:rPr>
        <w:t>5</w:t>
      </w:r>
    </w:p>
    <w:p w:rsidR="000C26B2" w:rsidRPr="00D00B71" w:rsidRDefault="001E4C79" w:rsidP="00395E02">
      <w:pPr>
        <w:spacing w:line="276" w:lineRule="auto"/>
        <w:rPr>
          <w:rFonts w:asciiTheme="majorHAnsi" w:hAnsiTheme="majorHAnsi"/>
        </w:rPr>
      </w:pPr>
      <w:proofErr w:type="gramStart"/>
      <w:r>
        <w:rPr>
          <w:rFonts w:asciiTheme="majorHAnsi" w:hAnsiTheme="majorHAnsi"/>
          <w:b/>
        </w:rPr>
        <w:t xml:space="preserve">Figure </w:t>
      </w:r>
      <w:r w:rsidR="000C26B2" w:rsidRPr="00D00B71">
        <w:rPr>
          <w:rFonts w:asciiTheme="majorHAnsi" w:hAnsiTheme="majorHAnsi"/>
          <w:b/>
        </w:rPr>
        <w:t>5.23.</w:t>
      </w:r>
      <w:proofErr w:type="gramEnd"/>
      <w:r w:rsidR="00A84A70">
        <w:rPr>
          <w:rFonts w:asciiTheme="majorHAnsi" w:hAnsiTheme="majorHAnsi"/>
        </w:rPr>
        <w:t xml:space="preserve"> </w:t>
      </w:r>
      <w:r w:rsidR="00A84A70" w:rsidRPr="001E4C79">
        <w:rPr>
          <w:rFonts w:asciiTheme="majorHAnsi" w:hAnsiTheme="majorHAnsi"/>
        </w:rPr>
        <w:t>5</w:t>
      </w:r>
      <w:r w:rsidR="00A84A70" w:rsidRPr="00D00B71">
        <w:rPr>
          <w:rFonts w:asciiTheme="majorHAnsi" w:hAnsiTheme="majorHAnsi"/>
        </w:rPr>
        <w:t xml:space="preserve"> Images of the top z-scores of KDs of peroxisome count per cell. </w:t>
      </w:r>
      <w:proofErr w:type="gramStart"/>
      <w:r w:rsidR="00A84A70" w:rsidRPr="00D00B71">
        <w:rPr>
          <w:rFonts w:asciiTheme="majorHAnsi" w:hAnsiTheme="majorHAnsi"/>
        </w:rPr>
        <w:t xml:space="preserve">Statistical outliers </w:t>
      </w:r>
      <w:r w:rsidR="00A84A70">
        <w:rPr>
          <w:rFonts w:asciiTheme="majorHAnsi" w:hAnsiTheme="majorHAnsi"/>
        </w:rPr>
        <w:t>- C</w:t>
      </w:r>
      <w:r w:rsidR="00A84A70" w:rsidRPr="00D00B71">
        <w:rPr>
          <w:rFonts w:asciiTheme="majorHAnsi" w:hAnsiTheme="majorHAnsi"/>
        </w:rPr>
        <w:t>.</w:t>
      </w:r>
      <w:proofErr w:type="gramEnd"/>
      <w:r w:rsidR="000C26B2" w:rsidRPr="00D00B71">
        <w:rPr>
          <w:rFonts w:asciiTheme="majorHAnsi" w:hAnsiTheme="majorHAnsi"/>
        </w:rPr>
        <w:tab/>
      </w:r>
      <w:r w:rsidR="000C26B2" w:rsidRPr="00D00B71">
        <w:rPr>
          <w:rFonts w:asciiTheme="majorHAnsi" w:hAnsiTheme="majorHAnsi"/>
        </w:rPr>
        <w:tab/>
      </w:r>
      <w:r w:rsidR="00A84A70">
        <w:rPr>
          <w:rFonts w:asciiTheme="majorHAnsi" w:hAnsiTheme="majorHAnsi"/>
        </w:rPr>
        <w:tab/>
      </w:r>
      <w:r w:rsidR="000C26B2" w:rsidRPr="00D00B71">
        <w:rPr>
          <w:rFonts w:asciiTheme="majorHAnsi" w:hAnsiTheme="majorHAnsi"/>
        </w:rPr>
        <w:tab/>
      </w:r>
      <w:r w:rsidR="000C26B2" w:rsidRPr="00D00B71">
        <w:rPr>
          <w:rFonts w:asciiTheme="majorHAnsi" w:hAnsiTheme="majorHAnsi"/>
        </w:rPr>
        <w:tab/>
      </w:r>
      <w:r w:rsidR="000C26B2">
        <w:rPr>
          <w:rFonts w:asciiTheme="majorHAnsi" w:hAnsiTheme="majorHAnsi"/>
        </w:rPr>
        <w:tab/>
      </w:r>
      <w:r w:rsidR="000C26B2">
        <w:rPr>
          <w:rFonts w:asciiTheme="majorHAnsi" w:hAnsiTheme="majorHAnsi"/>
        </w:rPr>
        <w:tab/>
      </w:r>
      <w:r w:rsidR="000C26B2">
        <w:rPr>
          <w:rFonts w:asciiTheme="majorHAnsi" w:hAnsiTheme="majorHAnsi"/>
        </w:rPr>
        <w:tab/>
      </w:r>
      <w:r w:rsidR="00A84A70">
        <w:rPr>
          <w:rFonts w:asciiTheme="majorHAnsi" w:hAnsiTheme="majorHAnsi"/>
        </w:rPr>
        <w:t>17</w:t>
      </w:r>
      <w:r w:rsidR="002D6321">
        <w:rPr>
          <w:rFonts w:asciiTheme="majorHAnsi" w:hAnsiTheme="majorHAnsi"/>
        </w:rPr>
        <w:t>5</w:t>
      </w:r>
    </w:p>
    <w:p w:rsidR="000C26B2" w:rsidRPr="00D00B71" w:rsidRDefault="000C26B2" w:rsidP="000C26B2">
      <w:pPr>
        <w:spacing w:line="276" w:lineRule="auto"/>
        <w:jc w:val="both"/>
        <w:rPr>
          <w:rFonts w:asciiTheme="majorHAnsi" w:hAnsiTheme="majorHAnsi"/>
        </w:rPr>
      </w:pPr>
      <w:proofErr w:type="gramStart"/>
      <w:r w:rsidRPr="00D00B71">
        <w:rPr>
          <w:rFonts w:asciiTheme="majorHAnsi" w:hAnsiTheme="majorHAnsi"/>
          <w:b/>
        </w:rPr>
        <w:t>Figure 5.24.</w:t>
      </w:r>
      <w:proofErr w:type="gramEnd"/>
      <w:r w:rsidR="001E4C79">
        <w:rPr>
          <w:rFonts w:asciiTheme="majorHAnsi" w:hAnsiTheme="majorHAnsi"/>
        </w:rPr>
        <w:t xml:space="preserve"> </w:t>
      </w:r>
      <w:proofErr w:type="gramStart"/>
      <w:r w:rsidR="001E4C79" w:rsidRPr="00D00B71">
        <w:rPr>
          <w:rFonts w:asciiTheme="majorHAnsi" w:hAnsiTheme="majorHAnsi"/>
        </w:rPr>
        <w:t>WT phenotype of double-labelled S2R+ cells.</w:t>
      </w:r>
      <w:proofErr w:type="gramEnd"/>
      <w:r w:rsidR="00F159E4" w:rsidRPr="00D00B71">
        <w:rPr>
          <w:rFonts w:asciiTheme="majorHAnsi" w:hAnsiTheme="majorHAnsi"/>
        </w:rPr>
        <w:tab/>
      </w:r>
      <w:r w:rsidR="00F159E4">
        <w:rPr>
          <w:rFonts w:asciiTheme="majorHAnsi" w:hAnsiTheme="majorHAnsi"/>
        </w:rPr>
        <w:tab/>
      </w:r>
      <w:r w:rsidR="00395E02">
        <w:rPr>
          <w:rFonts w:asciiTheme="majorHAnsi" w:hAnsiTheme="majorHAnsi"/>
        </w:rPr>
        <w:tab/>
      </w:r>
      <w:r w:rsidRPr="00D00B71">
        <w:rPr>
          <w:rFonts w:asciiTheme="majorHAnsi" w:hAnsiTheme="majorHAnsi"/>
        </w:rPr>
        <w:t>1</w:t>
      </w:r>
      <w:r w:rsidR="00395E02">
        <w:rPr>
          <w:rFonts w:asciiTheme="majorHAnsi" w:hAnsiTheme="majorHAnsi"/>
        </w:rPr>
        <w:t>8</w:t>
      </w:r>
      <w:r w:rsidR="002D6321">
        <w:rPr>
          <w:rFonts w:asciiTheme="majorHAnsi" w:hAnsiTheme="majorHAnsi"/>
        </w:rPr>
        <w:t>0</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Table 5.25.</w:t>
      </w:r>
      <w:proofErr w:type="gramEnd"/>
      <w:r w:rsidR="00395E02">
        <w:rPr>
          <w:rFonts w:asciiTheme="majorHAnsi" w:hAnsiTheme="majorHAnsi"/>
        </w:rPr>
        <w:t xml:space="preserve"> </w:t>
      </w:r>
      <w:r w:rsidR="00D93535" w:rsidRPr="00D93535">
        <w:rPr>
          <w:rFonts w:asciiTheme="majorHAnsi" w:hAnsiTheme="majorHAnsi"/>
          <w:i/>
        </w:rPr>
        <w:t>PEX</w:t>
      </w:r>
      <w:r w:rsidR="00395E02" w:rsidRPr="00D00B71">
        <w:rPr>
          <w:rFonts w:asciiTheme="majorHAnsi" w:hAnsiTheme="majorHAnsi"/>
        </w:rPr>
        <w:t>5 phenotype of double-labelled S2R+ cells</w:t>
      </w:r>
      <w:r w:rsidR="00F159E4" w:rsidRPr="00D00B71">
        <w:rPr>
          <w:rFonts w:asciiTheme="majorHAnsi" w:hAnsiTheme="majorHAnsi"/>
        </w:rPr>
        <w:tab/>
      </w:r>
      <w:r w:rsidR="00F159E4" w:rsidRPr="00D00B71">
        <w:rPr>
          <w:rFonts w:asciiTheme="majorHAnsi" w:hAnsiTheme="majorHAnsi"/>
        </w:rPr>
        <w:tab/>
      </w:r>
      <w:r w:rsidR="00D83B66">
        <w:rPr>
          <w:rFonts w:asciiTheme="majorHAnsi" w:hAnsiTheme="majorHAnsi"/>
        </w:rPr>
        <w:tab/>
      </w:r>
      <w:r w:rsidR="00395E02">
        <w:rPr>
          <w:rFonts w:asciiTheme="majorHAnsi" w:hAnsiTheme="majorHAnsi"/>
        </w:rPr>
        <w:t>18</w:t>
      </w:r>
      <w:r w:rsidR="002D6321">
        <w:rPr>
          <w:rFonts w:asciiTheme="majorHAnsi" w:hAnsiTheme="majorHAnsi"/>
        </w:rPr>
        <w:t>1</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5.26.</w:t>
      </w:r>
      <w:proofErr w:type="gramEnd"/>
      <w:r w:rsidR="00872912">
        <w:rPr>
          <w:rFonts w:asciiTheme="majorHAnsi" w:hAnsiTheme="majorHAnsi"/>
        </w:rPr>
        <w:t xml:space="preserve"> </w:t>
      </w:r>
      <w:proofErr w:type="gramStart"/>
      <w:r w:rsidR="00D93535" w:rsidRPr="00D93535">
        <w:rPr>
          <w:rFonts w:asciiTheme="majorHAnsi" w:hAnsiTheme="majorHAnsi"/>
          <w:i/>
        </w:rPr>
        <w:t>PEX</w:t>
      </w:r>
      <w:r w:rsidR="00872912" w:rsidRPr="00D00B71">
        <w:rPr>
          <w:rFonts w:asciiTheme="majorHAnsi" w:hAnsiTheme="majorHAnsi"/>
        </w:rPr>
        <w:t>16 phenotype of double-labelled S2R+ cells.</w:t>
      </w:r>
      <w:proofErr w:type="gramEnd"/>
      <w:r w:rsidR="00F159E4" w:rsidRPr="00D00B71">
        <w:rPr>
          <w:rFonts w:asciiTheme="majorHAnsi" w:hAnsiTheme="majorHAnsi"/>
        </w:rPr>
        <w:tab/>
      </w:r>
      <w:r w:rsidR="00F159E4">
        <w:rPr>
          <w:rFonts w:asciiTheme="majorHAnsi" w:hAnsiTheme="majorHAnsi"/>
        </w:rPr>
        <w:tab/>
      </w:r>
      <w:r w:rsidR="00D83B66">
        <w:rPr>
          <w:rFonts w:asciiTheme="majorHAnsi" w:hAnsiTheme="majorHAnsi"/>
        </w:rPr>
        <w:tab/>
      </w:r>
      <w:r w:rsidR="00872912">
        <w:rPr>
          <w:rFonts w:asciiTheme="majorHAnsi" w:hAnsiTheme="majorHAnsi"/>
        </w:rPr>
        <w:t>18</w:t>
      </w:r>
      <w:r w:rsidR="002D6321">
        <w:rPr>
          <w:rFonts w:asciiTheme="majorHAnsi" w:hAnsiTheme="majorHAnsi"/>
        </w:rPr>
        <w:t>2</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lastRenderedPageBreak/>
        <w:t>Figure 5.27.</w:t>
      </w:r>
      <w:proofErr w:type="gramEnd"/>
      <w:r w:rsidR="00872912">
        <w:rPr>
          <w:rFonts w:asciiTheme="majorHAnsi" w:hAnsiTheme="majorHAnsi"/>
        </w:rPr>
        <w:t xml:space="preserve"> </w:t>
      </w:r>
      <w:proofErr w:type="gramStart"/>
      <w:r w:rsidR="00872912" w:rsidRPr="00D00B71">
        <w:rPr>
          <w:rFonts w:asciiTheme="majorHAnsi" w:hAnsiTheme="majorHAnsi"/>
        </w:rPr>
        <w:t>nmd</w:t>
      </w:r>
      <w:proofErr w:type="gramEnd"/>
      <w:r w:rsidR="00872912" w:rsidRPr="00D00B71">
        <w:rPr>
          <w:rFonts w:asciiTheme="majorHAnsi" w:hAnsiTheme="majorHAnsi"/>
        </w:rPr>
        <w:t xml:space="preserve"> KD phenotype of double-labelled S2R+ cells.</w:t>
      </w:r>
      <w:r w:rsidRPr="00D00B71">
        <w:rPr>
          <w:rFonts w:asciiTheme="majorHAnsi" w:hAnsiTheme="majorHAnsi"/>
        </w:rPr>
        <w:tab/>
      </w:r>
      <w:r w:rsidR="00D83B66">
        <w:rPr>
          <w:rFonts w:asciiTheme="majorHAnsi" w:hAnsiTheme="majorHAnsi"/>
        </w:rPr>
        <w:tab/>
      </w:r>
      <w:r w:rsidRPr="00D00B71">
        <w:rPr>
          <w:rFonts w:asciiTheme="majorHAnsi" w:hAnsiTheme="majorHAnsi"/>
        </w:rPr>
        <w:t>1</w:t>
      </w:r>
      <w:r w:rsidR="00872912">
        <w:rPr>
          <w:rFonts w:asciiTheme="majorHAnsi" w:hAnsiTheme="majorHAnsi"/>
        </w:rPr>
        <w:t>8</w:t>
      </w:r>
      <w:r w:rsidR="002D6321">
        <w:rPr>
          <w:rFonts w:asciiTheme="majorHAnsi" w:hAnsiTheme="majorHAnsi"/>
        </w:rPr>
        <w:t>3</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5.28.</w:t>
      </w:r>
      <w:proofErr w:type="gramEnd"/>
      <w:r w:rsidR="00872912">
        <w:rPr>
          <w:rFonts w:asciiTheme="majorHAnsi" w:hAnsiTheme="majorHAnsi"/>
          <w:b/>
        </w:rPr>
        <w:t xml:space="preserve"> </w:t>
      </w:r>
      <w:proofErr w:type="gramStart"/>
      <w:r w:rsidR="00872912" w:rsidRPr="00D00B71">
        <w:rPr>
          <w:rFonts w:asciiTheme="majorHAnsi" w:hAnsiTheme="majorHAnsi"/>
        </w:rPr>
        <w:t xml:space="preserve">All KD phenotypes of double-labelled S2R+ cells, shown to </w:t>
      </w:r>
      <w:r w:rsidR="00872912">
        <w:rPr>
          <w:rFonts w:asciiTheme="majorHAnsi" w:hAnsiTheme="majorHAnsi"/>
        </w:rPr>
        <w:t>scale.</w:t>
      </w:r>
      <w:proofErr w:type="gramEnd"/>
      <w:r w:rsidRPr="00D00B71">
        <w:rPr>
          <w:rFonts w:asciiTheme="majorHAnsi" w:hAnsiTheme="majorHAnsi"/>
          <w:b/>
        </w:rPr>
        <w:tab/>
      </w:r>
      <w:r w:rsidRPr="00D00B71">
        <w:rPr>
          <w:rFonts w:asciiTheme="majorHAnsi" w:hAnsiTheme="majorHAnsi"/>
          <w:b/>
        </w:rPr>
        <w:tab/>
      </w:r>
      <w:r w:rsidRPr="00D00B71">
        <w:rPr>
          <w:rFonts w:asciiTheme="majorHAnsi" w:hAnsiTheme="majorHAnsi"/>
          <w:b/>
        </w:rPr>
        <w:tab/>
      </w:r>
      <w:r w:rsidRPr="00D00B71">
        <w:rPr>
          <w:rFonts w:asciiTheme="majorHAnsi" w:hAnsiTheme="majorHAnsi"/>
          <w:b/>
        </w:rPr>
        <w:tab/>
      </w:r>
      <w:r w:rsidRPr="00D00B71">
        <w:rPr>
          <w:rFonts w:asciiTheme="majorHAnsi" w:hAnsiTheme="majorHAnsi"/>
          <w:b/>
        </w:rPr>
        <w:tab/>
      </w:r>
      <w:r w:rsidRPr="00D00B71">
        <w:rPr>
          <w:rFonts w:asciiTheme="majorHAnsi" w:hAnsiTheme="majorHAnsi"/>
          <w:b/>
        </w:rPr>
        <w:tab/>
      </w:r>
      <w:r w:rsidRPr="00D00B71">
        <w:rPr>
          <w:rFonts w:asciiTheme="majorHAnsi" w:hAnsiTheme="majorHAnsi"/>
          <w:b/>
        </w:rPr>
        <w:tab/>
      </w:r>
      <w:r>
        <w:rPr>
          <w:rFonts w:asciiTheme="majorHAnsi" w:hAnsiTheme="majorHAnsi"/>
          <w:b/>
        </w:rPr>
        <w:tab/>
      </w:r>
      <w:r w:rsidR="00872912">
        <w:rPr>
          <w:rFonts w:asciiTheme="majorHAnsi" w:hAnsiTheme="majorHAnsi"/>
          <w:b/>
        </w:rPr>
        <w:tab/>
      </w:r>
      <w:r w:rsidR="00872912">
        <w:rPr>
          <w:rFonts w:asciiTheme="majorHAnsi" w:hAnsiTheme="majorHAnsi"/>
          <w:b/>
        </w:rPr>
        <w:tab/>
      </w:r>
      <w:r w:rsidR="00D83B66">
        <w:rPr>
          <w:rFonts w:asciiTheme="majorHAnsi" w:hAnsiTheme="majorHAnsi"/>
          <w:b/>
        </w:rPr>
        <w:tab/>
      </w:r>
      <w:r w:rsidR="00872912">
        <w:rPr>
          <w:rFonts w:asciiTheme="majorHAnsi" w:hAnsiTheme="majorHAnsi"/>
        </w:rPr>
        <w:t>18</w:t>
      </w:r>
      <w:r w:rsidR="002D6321">
        <w:rPr>
          <w:rFonts w:asciiTheme="majorHAnsi" w:hAnsiTheme="majorHAnsi"/>
        </w:rPr>
        <w:t>5</w:t>
      </w:r>
    </w:p>
    <w:p w:rsidR="000C26B2" w:rsidRPr="00D00B71" w:rsidRDefault="000C26B2" w:rsidP="000C26B2">
      <w:pPr>
        <w:spacing w:after="120" w:line="276" w:lineRule="auto"/>
        <w:rPr>
          <w:rFonts w:asciiTheme="majorHAnsi" w:hAnsiTheme="majorHAnsi"/>
        </w:rPr>
      </w:pPr>
      <w:proofErr w:type="gramStart"/>
      <w:r w:rsidRPr="00D00B71">
        <w:rPr>
          <w:rFonts w:asciiTheme="majorHAnsi" w:hAnsiTheme="majorHAnsi"/>
          <w:b/>
        </w:rPr>
        <w:t>Figure 5.29.</w:t>
      </w:r>
      <w:proofErr w:type="gramEnd"/>
      <w:r w:rsidR="00872912">
        <w:rPr>
          <w:rFonts w:asciiTheme="majorHAnsi" w:hAnsiTheme="majorHAnsi"/>
        </w:rPr>
        <w:t xml:space="preserve"> </w:t>
      </w:r>
      <w:proofErr w:type="gramStart"/>
      <w:r w:rsidR="00872912" w:rsidRPr="00D00B71">
        <w:rPr>
          <w:rFonts w:asciiTheme="majorHAnsi" w:hAnsiTheme="majorHAnsi"/>
        </w:rPr>
        <w:t>WT phenotypes of S2R+ cells double-labelled with mRFP-PTS1 and nmd-eGFP.</w:t>
      </w:r>
      <w:proofErr w:type="gramEnd"/>
      <w:r>
        <w:rPr>
          <w:rFonts w:asciiTheme="majorHAnsi" w:hAnsiTheme="majorHAnsi"/>
        </w:rPr>
        <w:tab/>
      </w:r>
      <w:r w:rsidR="006A531D">
        <w:rPr>
          <w:rFonts w:asciiTheme="majorHAnsi" w:hAnsiTheme="majorHAnsi"/>
        </w:rPr>
        <w:tab/>
      </w:r>
      <w:r w:rsidR="00872912">
        <w:rPr>
          <w:rFonts w:asciiTheme="majorHAnsi" w:hAnsiTheme="majorHAnsi"/>
        </w:rPr>
        <w:tab/>
      </w:r>
      <w:r w:rsidR="00872912">
        <w:rPr>
          <w:rFonts w:asciiTheme="majorHAnsi" w:hAnsiTheme="majorHAnsi"/>
        </w:rPr>
        <w:tab/>
      </w:r>
      <w:r w:rsidR="00872912">
        <w:rPr>
          <w:rFonts w:asciiTheme="majorHAnsi" w:hAnsiTheme="majorHAnsi"/>
        </w:rPr>
        <w:tab/>
      </w:r>
      <w:r w:rsidR="00872912">
        <w:rPr>
          <w:rFonts w:asciiTheme="majorHAnsi" w:hAnsiTheme="majorHAnsi"/>
        </w:rPr>
        <w:tab/>
      </w:r>
      <w:r w:rsidR="00872912">
        <w:rPr>
          <w:rFonts w:asciiTheme="majorHAnsi" w:hAnsiTheme="majorHAnsi"/>
        </w:rPr>
        <w:tab/>
      </w:r>
      <w:r w:rsidR="00872912">
        <w:rPr>
          <w:rFonts w:asciiTheme="majorHAnsi" w:hAnsiTheme="majorHAnsi"/>
        </w:rPr>
        <w:tab/>
      </w:r>
      <w:r w:rsidR="00872912">
        <w:rPr>
          <w:rFonts w:asciiTheme="majorHAnsi" w:hAnsiTheme="majorHAnsi"/>
        </w:rPr>
        <w:tab/>
      </w:r>
      <w:r w:rsidR="00D83B66">
        <w:rPr>
          <w:rFonts w:asciiTheme="majorHAnsi" w:hAnsiTheme="majorHAnsi"/>
        </w:rPr>
        <w:tab/>
      </w:r>
      <w:r w:rsidR="00872912">
        <w:rPr>
          <w:rFonts w:asciiTheme="majorHAnsi" w:hAnsiTheme="majorHAnsi"/>
        </w:rPr>
        <w:t>18</w:t>
      </w:r>
      <w:r w:rsidR="002D6321">
        <w:rPr>
          <w:rFonts w:asciiTheme="majorHAnsi" w:hAnsiTheme="majorHAnsi"/>
        </w:rPr>
        <w:t>6</w:t>
      </w:r>
    </w:p>
    <w:p w:rsidR="000C26B2" w:rsidRPr="00E010A5" w:rsidRDefault="000C26B2" w:rsidP="00691C7A">
      <w:pPr>
        <w:spacing w:after="120" w:line="276" w:lineRule="auto"/>
        <w:rPr>
          <w:rFonts w:asciiTheme="majorHAnsi" w:hAnsiTheme="majorHAnsi"/>
        </w:rPr>
      </w:pPr>
      <w:proofErr w:type="gramStart"/>
      <w:r w:rsidRPr="00D00B71">
        <w:rPr>
          <w:rFonts w:asciiTheme="majorHAnsi" w:hAnsiTheme="majorHAnsi"/>
          <w:b/>
        </w:rPr>
        <w:t>Figure 5.30.</w:t>
      </w:r>
      <w:proofErr w:type="gramEnd"/>
      <w:r w:rsidR="00D83B66">
        <w:rPr>
          <w:rFonts w:asciiTheme="majorHAnsi" w:hAnsiTheme="majorHAnsi"/>
        </w:rPr>
        <w:t xml:space="preserve"> </w:t>
      </w:r>
      <w:proofErr w:type="gramStart"/>
      <w:r w:rsidR="00D83B66" w:rsidRPr="00E010A5">
        <w:rPr>
          <w:rFonts w:asciiTheme="majorHAnsi" w:hAnsiTheme="majorHAnsi"/>
        </w:rPr>
        <w:t xml:space="preserve">WT phenotypes of S2R+ cells double-labelled with </w:t>
      </w:r>
      <w:r w:rsidR="00D83B66">
        <w:rPr>
          <w:rFonts w:asciiTheme="majorHAnsi" w:hAnsiTheme="majorHAnsi"/>
        </w:rPr>
        <w:t>MitoTracker</w:t>
      </w:r>
      <w:r w:rsidR="00D83B66" w:rsidRPr="00E010A5">
        <w:rPr>
          <w:rFonts w:asciiTheme="majorHAnsi" w:hAnsiTheme="majorHAnsi"/>
        </w:rPr>
        <w:t xml:space="preserve"> and nmd-eGFP.</w:t>
      </w:r>
      <w:proofErr w:type="gramEnd"/>
      <w:r w:rsidR="00D83B66" w:rsidRPr="00E010A5">
        <w:rPr>
          <w:rFonts w:asciiTheme="majorHAnsi" w:hAnsiTheme="majorHAnsi"/>
        </w:rPr>
        <w:tab/>
      </w:r>
      <w:r w:rsidR="00D83B66" w:rsidRPr="00E010A5">
        <w:rPr>
          <w:rFonts w:asciiTheme="majorHAnsi" w:hAnsiTheme="majorHAnsi"/>
        </w:rPr>
        <w:tab/>
      </w:r>
      <w:r w:rsidR="00D83B66">
        <w:rPr>
          <w:rFonts w:asciiTheme="majorHAnsi" w:hAnsiTheme="majorHAnsi"/>
        </w:rPr>
        <w:tab/>
      </w:r>
      <w:r w:rsidR="00D83B66">
        <w:rPr>
          <w:rFonts w:asciiTheme="majorHAnsi" w:hAnsiTheme="majorHAnsi"/>
        </w:rPr>
        <w:tab/>
      </w:r>
      <w:r w:rsidR="00D83B66">
        <w:rPr>
          <w:rFonts w:asciiTheme="majorHAnsi" w:hAnsiTheme="majorHAnsi"/>
        </w:rPr>
        <w:tab/>
      </w:r>
      <w:r w:rsidR="00D83B66">
        <w:rPr>
          <w:rFonts w:asciiTheme="majorHAnsi" w:hAnsiTheme="majorHAnsi"/>
        </w:rPr>
        <w:tab/>
      </w:r>
      <w:r w:rsidR="00D83B66">
        <w:rPr>
          <w:rFonts w:asciiTheme="majorHAnsi" w:hAnsiTheme="majorHAnsi"/>
        </w:rPr>
        <w:tab/>
      </w:r>
      <w:r w:rsidR="00D83B66">
        <w:rPr>
          <w:rFonts w:asciiTheme="majorHAnsi" w:hAnsiTheme="majorHAnsi"/>
        </w:rPr>
        <w:tab/>
      </w:r>
      <w:r>
        <w:rPr>
          <w:rFonts w:asciiTheme="majorHAnsi" w:hAnsiTheme="majorHAnsi"/>
        </w:rPr>
        <w:tab/>
      </w:r>
      <w:r w:rsidR="006A531D">
        <w:rPr>
          <w:rFonts w:asciiTheme="majorHAnsi" w:hAnsiTheme="majorHAnsi"/>
        </w:rPr>
        <w:tab/>
      </w:r>
      <w:r w:rsidR="00D83B66">
        <w:rPr>
          <w:rFonts w:asciiTheme="majorHAnsi" w:hAnsiTheme="majorHAnsi"/>
        </w:rPr>
        <w:t>18</w:t>
      </w:r>
      <w:r w:rsidR="002D6321">
        <w:rPr>
          <w:rFonts w:asciiTheme="majorHAnsi" w:hAnsiTheme="majorHAnsi"/>
        </w:rPr>
        <w:t>7</w:t>
      </w:r>
    </w:p>
    <w:p w:rsidR="00BB01DD" w:rsidRDefault="00BB01DD"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AE0264">
      <w:pPr>
        <w:jc w:val="both"/>
      </w:pPr>
    </w:p>
    <w:p w:rsidR="00D47F15" w:rsidRDefault="00D47F15" w:rsidP="00D47F15">
      <w:pPr>
        <w:jc w:val="center"/>
        <w:rPr>
          <w:rFonts w:asciiTheme="majorHAnsi" w:hAnsiTheme="majorHAnsi"/>
          <w:b/>
        </w:rPr>
      </w:pPr>
      <w:r w:rsidRPr="00D47F15">
        <w:rPr>
          <w:rFonts w:asciiTheme="majorHAnsi" w:hAnsiTheme="majorHAnsi"/>
          <w:b/>
        </w:rPr>
        <w:lastRenderedPageBreak/>
        <w:t>List of Tables</w:t>
      </w:r>
    </w:p>
    <w:p w:rsidR="003A504F" w:rsidRDefault="003A504F" w:rsidP="00575A12">
      <w:pPr>
        <w:spacing w:after="120" w:line="276" w:lineRule="auto"/>
        <w:rPr>
          <w:rFonts w:asciiTheme="majorHAnsi" w:hAnsiTheme="majorHAnsi"/>
        </w:rPr>
      </w:pPr>
      <w:proofErr w:type="gramStart"/>
      <w:r>
        <w:rPr>
          <w:rFonts w:asciiTheme="majorHAnsi" w:hAnsiTheme="majorHAnsi"/>
          <w:b/>
        </w:rPr>
        <w:t>Table 1.1</w:t>
      </w:r>
      <w:r w:rsidRPr="0013327C">
        <w:rPr>
          <w:rFonts w:asciiTheme="majorHAnsi" w:hAnsiTheme="majorHAnsi"/>
          <w:b/>
        </w:rPr>
        <w:t>.</w:t>
      </w:r>
      <w:proofErr w:type="gramEnd"/>
      <w:r w:rsidRPr="0013327C">
        <w:rPr>
          <w:rFonts w:asciiTheme="majorHAnsi" w:hAnsiTheme="majorHAnsi"/>
          <w:b/>
        </w:rPr>
        <w:t xml:space="preserve"> </w:t>
      </w:r>
      <w:proofErr w:type="gramStart"/>
      <w:r w:rsidRPr="003A504F">
        <w:rPr>
          <w:rFonts w:asciiTheme="majorHAnsi" w:hAnsiTheme="majorHAnsi"/>
        </w:rPr>
        <w:t xml:space="preserve">A list of known human </w:t>
      </w:r>
      <w:r w:rsidRPr="003A504F">
        <w:rPr>
          <w:rFonts w:asciiTheme="majorHAnsi" w:hAnsiTheme="majorHAnsi"/>
          <w:i/>
        </w:rPr>
        <w:t>PEX</w:t>
      </w:r>
      <w:r w:rsidRPr="003A504F">
        <w:rPr>
          <w:rFonts w:asciiTheme="majorHAnsi" w:hAnsiTheme="majorHAnsi"/>
        </w:rPr>
        <w:t xml:space="preserve"> genes in </w:t>
      </w:r>
      <w:r w:rsidRPr="003A504F">
        <w:rPr>
          <w:rFonts w:asciiTheme="majorHAnsi" w:hAnsiTheme="majorHAnsi"/>
          <w:i/>
        </w:rPr>
        <w:t xml:space="preserve">H. Sapiens </w:t>
      </w:r>
      <w:r w:rsidRPr="003A504F">
        <w:rPr>
          <w:rFonts w:asciiTheme="majorHAnsi" w:hAnsiTheme="majorHAnsi"/>
        </w:rPr>
        <w:t>and their</w:t>
      </w:r>
      <w:r w:rsidRPr="003A504F">
        <w:rPr>
          <w:rFonts w:asciiTheme="majorHAnsi" w:hAnsiTheme="majorHAnsi"/>
          <w:i/>
        </w:rPr>
        <w:t xml:space="preserve"> </w:t>
      </w:r>
      <w:r w:rsidRPr="003A504F">
        <w:rPr>
          <w:rFonts w:asciiTheme="majorHAnsi" w:hAnsiTheme="majorHAnsi"/>
        </w:rPr>
        <w:t>clinical PBD phenotype.</w:t>
      </w:r>
      <w:proofErr w:type="gramEnd"/>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4</w:t>
      </w:r>
    </w:p>
    <w:p w:rsidR="000C5A82" w:rsidRDefault="003A504F" w:rsidP="00575A12">
      <w:pPr>
        <w:spacing w:after="120" w:line="276" w:lineRule="auto"/>
        <w:rPr>
          <w:rFonts w:asciiTheme="majorHAnsi" w:hAnsiTheme="majorHAnsi"/>
        </w:rPr>
      </w:pPr>
      <w:proofErr w:type="gramStart"/>
      <w:r w:rsidRPr="006A3EFB">
        <w:rPr>
          <w:rFonts w:asciiTheme="majorHAnsi" w:hAnsiTheme="majorHAnsi"/>
          <w:b/>
        </w:rPr>
        <w:t>Table 1.2.</w:t>
      </w:r>
      <w:proofErr w:type="gramEnd"/>
      <w:r w:rsidRPr="006A3EFB">
        <w:rPr>
          <w:rFonts w:asciiTheme="majorHAnsi" w:hAnsiTheme="majorHAnsi"/>
          <w:b/>
        </w:rPr>
        <w:t xml:space="preserve"> </w:t>
      </w:r>
      <w:proofErr w:type="gramStart"/>
      <w:r w:rsidRPr="003A504F">
        <w:rPr>
          <w:rFonts w:asciiTheme="majorHAnsi" w:hAnsiTheme="majorHAnsi"/>
        </w:rPr>
        <w:t>A list of known Peroxins with their general and molecular functions if known.</w:t>
      </w:r>
      <w:proofErr w:type="gramEnd"/>
      <w:r>
        <w:rPr>
          <w:rFonts w:asciiTheme="majorHAnsi" w:hAnsiTheme="majorHAnsi"/>
        </w:rPr>
        <w:tab/>
      </w:r>
      <w:r w:rsidR="000C5A82">
        <w:rPr>
          <w:rFonts w:asciiTheme="majorHAnsi" w:hAnsiTheme="majorHAnsi"/>
        </w:rPr>
        <w:tab/>
      </w:r>
      <w:r w:rsidR="000C5A82">
        <w:rPr>
          <w:rFonts w:asciiTheme="majorHAnsi" w:hAnsiTheme="majorHAnsi"/>
        </w:rPr>
        <w:tab/>
      </w:r>
      <w:r w:rsidR="000C5A82">
        <w:rPr>
          <w:rFonts w:asciiTheme="majorHAnsi" w:hAnsiTheme="majorHAnsi"/>
        </w:rPr>
        <w:tab/>
      </w:r>
      <w:r w:rsidR="000C5A82">
        <w:rPr>
          <w:rFonts w:asciiTheme="majorHAnsi" w:hAnsiTheme="majorHAnsi"/>
        </w:rPr>
        <w:tab/>
      </w:r>
      <w:r w:rsidR="000C5A82">
        <w:rPr>
          <w:rFonts w:asciiTheme="majorHAnsi" w:hAnsiTheme="majorHAnsi"/>
        </w:rPr>
        <w:tab/>
      </w:r>
      <w:r w:rsidR="000C5A82">
        <w:rPr>
          <w:rFonts w:asciiTheme="majorHAnsi" w:hAnsiTheme="majorHAnsi"/>
        </w:rPr>
        <w:tab/>
      </w:r>
      <w:r w:rsidR="000C5A82">
        <w:rPr>
          <w:rFonts w:asciiTheme="majorHAnsi" w:hAnsiTheme="majorHAnsi"/>
        </w:rPr>
        <w:tab/>
      </w:r>
      <w:r w:rsidR="000C5A82">
        <w:rPr>
          <w:rFonts w:asciiTheme="majorHAnsi" w:hAnsiTheme="majorHAnsi"/>
        </w:rPr>
        <w:tab/>
      </w:r>
      <w:r w:rsidR="000C5A82">
        <w:rPr>
          <w:rFonts w:asciiTheme="majorHAnsi" w:hAnsiTheme="majorHAnsi"/>
        </w:rPr>
        <w:tab/>
        <w:t>6</w:t>
      </w:r>
    </w:p>
    <w:p w:rsidR="00F31D98" w:rsidRDefault="000C5A82" w:rsidP="00575A12">
      <w:pPr>
        <w:spacing w:after="120" w:line="276" w:lineRule="auto"/>
        <w:rPr>
          <w:rFonts w:asciiTheme="majorHAnsi" w:hAnsiTheme="majorHAnsi"/>
        </w:rPr>
      </w:pPr>
      <w:proofErr w:type="gramStart"/>
      <w:r>
        <w:rPr>
          <w:rFonts w:asciiTheme="majorHAnsi" w:hAnsiTheme="majorHAnsi"/>
          <w:b/>
        </w:rPr>
        <w:t>Table</w:t>
      </w:r>
      <w:r w:rsidRPr="0013327C">
        <w:rPr>
          <w:rFonts w:asciiTheme="majorHAnsi" w:hAnsiTheme="majorHAnsi"/>
          <w:b/>
        </w:rPr>
        <w:t xml:space="preserve"> 1.</w:t>
      </w:r>
      <w:r>
        <w:rPr>
          <w:rFonts w:asciiTheme="majorHAnsi" w:hAnsiTheme="majorHAnsi"/>
          <w:b/>
        </w:rPr>
        <w:t>3</w:t>
      </w:r>
      <w:r w:rsidRPr="0013327C">
        <w:rPr>
          <w:rFonts w:asciiTheme="majorHAnsi" w:hAnsiTheme="majorHAnsi"/>
          <w:b/>
        </w:rPr>
        <w:t>.</w:t>
      </w:r>
      <w:proofErr w:type="gramEnd"/>
      <w:r w:rsidRPr="0013327C">
        <w:rPr>
          <w:rFonts w:asciiTheme="majorHAnsi" w:hAnsiTheme="majorHAnsi"/>
          <w:b/>
        </w:rPr>
        <w:t xml:space="preserve"> </w:t>
      </w:r>
      <w:proofErr w:type="gramStart"/>
      <w:r w:rsidRPr="000C5A82">
        <w:rPr>
          <w:rFonts w:asciiTheme="majorHAnsi" w:hAnsiTheme="majorHAnsi"/>
        </w:rPr>
        <w:t xml:space="preserve">Table of Peroxins from </w:t>
      </w:r>
      <w:r w:rsidRPr="000C5A82">
        <w:rPr>
          <w:rFonts w:asciiTheme="majorHAnsi" w:hAnsiTheme="majorHAnsi"/>
          <w:i/>
        </w:rPr>
        <w:t>S. cerevisiae, D. melanogaster</w:t>
      </w:r>
      <w:r w:rsidRPr="000C5A82">
        <w:rPr>
          <w:rFonts w:asciiTheme="majorHAnsi" w:hAnsiTheme="majorHAnsi"/>
        </w:rPr>
        <w:t xml:space="preserve"> and </w:t>
      </w:r>
      <w:r w:rsidRPr="000C5A82">
        <w:rPr>
          <w:rFonts w:asciiTheme="majorHAnsi" w:hAnsiTheme="majorHAnsi"/>
          <w:i/>
        </w:rPr>
        <w:t>H. sapiens</w:t>
      </w:r>
      <w:r w:rsidRPr="000C5A82">
        <w:rPr>
          <w:rFonts w:asciiTheme="majorHAnsi" w:hAnsiTheme="majorHAnsi"/>
        </w:rPr>
        <w:t>.</w:t>
      </w:r>
      <w:proofErr w:type="gramEnd"/>
      <w:r>
        <w:rPr>
          <w:rFonts w:asciiTheme="majorHAnsi" w:hAnsiTheme="majorHAnsi"/>
        </w:rPr>
        <w:tab/>
      </w:r>
      <w:r w:rsidR="00F31D98">
        <w:rPr>
          <w:rFonts w:asciiTheme="majorHAnsi" w:hAnsiTheme="majorHAnsi"/>
        </w:rPr>
        <w:tab/>
      </w:r>
      <w:r w:rsidR="00F31D98">
        <w:rPr>
          <w:rFonts w:asciiTheme="majorHAnsi" w:hAnsiTheme="majorHAnsi"/>
        </w:rPr>
        <w:tab/>
      </w:r>
      <w:r w:rsidR="00F31D98">
        <w:rPr>
          <w:rFonts w:asciiTheme="majorHAnsi" w:hAnsiTheme="majorHAnsi"/>
        </w:rPr>
        <w:tab/>
      </w:r>
      <w:r w:rsidR="00F31D98">
        <w:rPr>
          <w:rFonts w:asciiTheme="majorHAnsi" w:hAnsiTheme="majorHAnsi"/>
        </w:rPr>
        <w:tab/>
      </w:r>
      <w:r w:rsidR="00F31D98">
        <w:rPr>
          <w:rFonts w:asciiTheme="majorHAnsi" w:hAnsiTheme="majorHAnsi"/>
        </w:rPr>
        <w:tab/>
      </w:r>
      <w:r w:rsidR="00F31D98">
        <w:rPr>
          <w:rFonts w:asciiTheme="majorHAnsi" w:hAnsiTheme="majorHAnsi"/>
        </w:rPr>
        <w:tab/>
      </w:r>
      <w:r w:rsidR="00F31D98">
        <w:rPr>
          <w:rFonts w:asciiTheme="majorHAnsi" w:hAnsiTheme="majorHAnsi"/>
        </w:rPr>
        <w:tab/>
      </w:r>
      <w:r w:rsidR="00F31D98">
        <w:rPr>
          <w:rFonts w:asciiTheme="majorHAnsi" w:hAnsiTheme="majorHAnsi"/>
        </w:rPr>
        <w:tab/>
      </w:r>
      <w:r w:rsidR="00F31D98">
        <w:rPr>
          <w:rFonts w:asciiTheme="majorHAnsi" w:hAnsiTheme="majorHAnsi"/>
        </w:rPr>
        <w:tab/>
      </w:r>
      <w:r w:rsidR="00F31D98">
        <w:rPr>
          <w:rFonts w:asciiTheme="majorHAnsi" w:hAnsiTheme="majorHAnsi"/>
        </w:rPr>
        <w:tab/>
      </w:r>
      <w:r>
        <w:rPr>
          <w:rFonts w:asciiTheme="majorHAnsi" w:hAnsiTheme="majorHAnsi"/>
        </w:rPr>
        <w:t>21</w:t>
      </w:r>
    </w:p>
    <w:p w:rsidR="00F31D98" w:rsidRDefault="00F31D98" w:rsidP="00575A12">
      <w:pPr>
        <w:spacing w:after="120" w:line="276" w:lineRule="auto"/>
        <w:rPr>
          <w:rFonts w:asciiTheme="majorHAnsi" w:hAnsiTheme="majorHAnsi"/>
        </w:rPr>
      </w:pPr>
      <w:proofErr w:type="gramStart"/>
      <w:r>
        <w:rPr>
          <w:rFonts w:asciiTheme="majorHAnsi" w:hAnsiTheme="majorHAnsi"/>
          <w:b/>
        </w:rPr>
        <w:t>Table</w:t>
      </w:r>
      <w:r w:rsidRPr="0013327C">
        <w:rPr>
          <w:rFonts w:asciiTheme="majorHAnsi" w:hAnsiTheme="majorHAnsi"/>
          <w:b/>
        </w:rPr>
        <w:t xml:space="preserve"> 3.</w:t>
      </w:r>
      <w:r>
        <w:rPr>
          <w:rFonts w:asciiTheme="majorHAnsi" w:hAnsiTheme="majorHAnsi"/>
          <w:b/>
        </w:rPr>
        <w:t>1</w:t>
      </w:r>
      <w:r w:rsidRPr="0013327C">
        <w:rPr>
          <w:rFonts w:asciiTheme="majorHAnsi" w:hAnsiTheme="majorHAnsi"/>
          <w:b/>
        </w:rPr>
        <w:t>.</w:t>
      </w:r>
      <w:proofErr w:type="gramEnd"/>
      <w:r w:rsidRPr="0013327C">
        <w:rPr>
          <w:rFonts w:asciiTheme="majorHAnsi" w:hAnsiTheme="majorHAnsi"/>
        </w:rPr>
        <w:t xml:space="preserve"> An example of the data recorded for screen one. The data displayed is for the 2 sites compared in this chapter, taken from an early assay plate.</w:t>
      </w:r>
      <w:r>
        <w:rPr>
          <w:rFonts w:asciiTheme="majorHAnsi" w:hAnsiTheme="majorHAnsi"/>
        </w:rPr>
        <w:tab/>
      </w:r>
      <w:r>
        <w:rPr>
          <w:rFonts w:asciiTheme="majorHAnsi" w:hAnsiTheme="majorHAnsi"/>
        </w:rPr>
        <w:tab/>
        <w:t>89</w:t>
      </w:r>
    </w:p>
    <w:p w:rsidR="00F31D98" w:rsidRDefault="00F31D98" w:rsidP="00575A12">
      <w:pPr>
        <w:spacing w:after="120" w:line="276" w:lineRule="auto"/>
        <w:rPr>
          <w:rFonts w:asciiTheme="majorHAnsi" w:hAnsiTheme="majorHAnsi"/>
        </w:rPr>
      </w:pPr>
      <w:proofErr w:type="gramStart"/>
      <w:r>
        <w:rPr>
          <w:rFonts w:asciiTheme="majorHAnsi" w:hAnsiTheme="majorHAnsi"/>
          <w:b/>
        </w:rPr>
        <w:t>Table 3.2</w:t>
      </w:r>
      <w:r w:rsidRPr="0013327C">
        <w:rPr>
          <w:rFonts w:asciiTheme="majorHAnsi" w:hAnsiTheme="majorHAnsi"/>
          <w:b/>
        </w:rPr>
        <w:t>.</w:t>
      </w:r>
      <w:proofErr w:type="gramEnd"/>
      <w:r w:rsidRPr="0013327C">
        <w:rPr>
          <w:rFonts w:asciiTheme="majorHAnsi" w:hAnsiTheme="majorHAnsi"/>
        </w:rPr>
        <w:t xml:space="preserve"> </w:t>
      </w:r>
      <w:r w:rsidRPr="005348E9">
        <w:rPr>
          <w:rFonts w:asciiTheme="majorHAnsi" w:hAnsiTheme="majorHAnsi"/>
        </w:rPr>
        <w:t xml:space="preserve">Assay plate </w:t>
      </w:r>
      <w:r w:rsidR="005348E9" w:rsidRPr="005348E9">
        <w:rPr>
          <w:rFonts w:asciiTheme="majorHAnsi" w:hAnsiTheme="majorHAnsi"/>
        </w:rPr>
        <w:t xml:space="preserve">control </w:t>
      </w:r>
      <w:r w:rsidRPr="005348E9">
        <w:rPr>
          <w:rFonts w:asciiTheme="majorHAnsi" w:hAnsiTheme="majorHAnsi"/>
        </w:rPr>
        <w:t>testing</w:t>
      </w:r>
      <w:r w:rsidRPr="0013327C">
        <w:rPr>
          <w:rFonts w:asciiTheme="majorHAnsi" w:hAnsiTheme="majorHAnsi"/>
        </w:rPr>
        <w:t>.</w:t>
      </w:r>
      <w:r w:rsidR="005348E9">
        <w:rPr>
          <w:rFonts w:asciiTheme="majorHAnsi" w:hAnsiTheme="majorHAnsi"/>
        </w:rPr>
        <w:tab/>
      </w:r>
      <w:r w:rsidR="005348E9">
        <w:rPr>
          <w:rFonts w:asciiTheme="majorHAnsi" w:hAnsiTheme="majorHAnsi"/>
        </w:rPr>
        <w:tab/>
      </w:r>
      <w:r w:rsidR="005348E9">
        <w:rPr>
          <w:rFonts w:asciiTheme="majorHAnsi" w:hAnsiTheme="majorHAnsi"/>
        </w:rPr>
        <w:tab/>
      </w:r>
      <w:r w:rsidR="005348E9">
        <w:rPr>
          <w:rFonts w:asciiTheme="majorHAnsi" w:hAnsiTheme="majorHAnsi"/>
        </w:rPr>
        <w:tab/>
      </w:r>
      <w:r w:rsidR="005348E9">
        <w:rPr>
          <w:rFonts w:asciiTheme="majorHAnsi" w:hAnsiTheme="majorHAnsi"/>
        </w:rPr>
        <w:tab/>
      </w:r>
      <w:r w:rsidR="005348E9">
        <w:rPr>
          <w:rFonts w:asciiTheme="majorHAnsi" w:hAnsiTheme="majorHAnsi"/>
        </w:rPr>
        <w:tab/>
        <w:t>91</w:t>
      </w:r>
    </w:p>
    <w:p w:rsidR="005348E9" w:rsidRDefault="00F54C76" w:rsidP="00575A12">
      <w:pPr>
        <w:spacing w:after="120" w:line="276" w:lineRule="auto"/>
        <w:rPr>
          <w:rFonts w:asciiTheme="majorHAnsi" w:hAnsiTheme="majorHAnsi"/>
        </w:rPr>
      </w:pPr>
      <w:proofErr w:type="gramStart"/>
      <w:r>
        <w:rPr>
          <w:rFonts w:asciiTheme="majorHAnsi" w:hAnsiTheme="majorHAnsi"/>
          <w:b/>
        </w:rPr>
        <w:t>Table</w:t>
      </w:r>
      <w:r w:rsidR="005348E9" w:rsidRPr="0013327C">
        <w:rPr>
          <w:rFonts w:asciiTheme="majorHAnsi" w:hAnsiTheme="majorHAnsi"/>
        </w:rPr>
        <w:t xml:space="preserve"> </w:t>
      </w:r>
      <w:r w:rsidR="005348E9" w:rsidRPr="0013327C">
        <w:rPr>
          <w:rFonts w:asciiTheme="majorHAnsi" w:hAnsiTheme="majorHAnsi"/>
          <w:b/>
        </w:rPr>
        <w:t>3.</w:t>
      </w:r>
      <w:r>
        <w:rPr>
          <w:rFonts w:asciiTheme="majorHAnsi" w:hAnsiTheme="majorHAnsi"/>
          <w:b/>
        </w:rPr>
        <w:t>3</w:t>
      </w:r>
      <w:r w:rsidR="005348E9" w:rsidRPr="0013327C">
        <w:rPr>
          <w:rFonts w:asciiTheme="majorHAnsi" w:hAnsiTheme="majorHAnsi"/>
          <w:b/>
        </w:rPr>
        <w:t>.</w:t>
      </w:r>
      <w:proofErr w:type="gramEnd"/>
      <w:r w:rsidR="005348E9" w:rsidRPr="0013327C">
        <w:rPr>
          <w:rFonts w:asciiTheme="majorHAnsi" w:hAnsiTheme="majorHAnsi"/>
          <w:b/>
        </w:rPr>
        <w:t xml:space="preserve"> </w:t>
      </w:r>
      <w:proofErr w:type="gramStart"/>
      <w:r w:rsidR="005348E9" w:rsidRPr="005348E9">
        <w:rPr>
          <w:rFonts w:asciiTheme="majorHAnsi" w:hAnsiTheme="majorHAnsi"/>
        </w:rPr>
        <w:t>Probe data summary for Screen 1.</w:t>
      </w:r>
      <w:proofErr w:type="gramEnd"/>
      <w:r w:rsidR="005348E9">
        <w:rPr>
          <w:rFonts w:asciiTheme="majorHAnsi" w:hAnsiTheme="majorHAnsi"/>
        </w:rPr>
        <w:tab/>
      </w:r>
      <w:r w:rsidR="005348E9">
        <w:rPr>
          <w:rFonts w:asciiTheme="majorHAnsi" w:hAnsiTheme="majorHAnsi"/>
        </w:rPr>
        <w:tab/>
      </w:r>
      <w:r w:rsidR="005348E9">
        <w:rPr>
          <w:rFonts w:asciiTheme="majorHAnsi" w:hAnsiTheme="majorHAnsi"/>
        </w:rPr>
        <w:tab/>
      </w:r>
      <w:r w:rsidR="005348E9">
        <w:rPr>
          <w:rFonts w:asciiTheme="majorHAnsi" w:hAnsiTheme="majorHAnsi"/>
        </w:rPr>
        <w:tab/>
      </w:r>
      <w:r>
        <w:rPr>
          <w:rFonts w:asciiTheme="majorHAnsi" w:hAnsiTheme="majorHAnsi"/>
        </w:rPr>
        <w:tab/>
      </w:r>
      <w:r w:rsidR="005348E9">
        <w:rPr>
          <w:rFonts w:asciiTheme="majorHAnsi" w:hAnsiTheme="majorHAnsi"/>
        </w:rPr>
        <w:t>95</w:t>
      </w:r>
    </w:p>
    <w:p w:rsidR="005348E9" w:rsidRDefault="002D762E" w:rsidP="00575A12">
      <w:pPr>
        <w:spacing w:after="120" w:line="276" w:lineRule="auto"/>
        <w:rPr>
          <w:rFonts w:asciiTheme="majorHAnsi" w:hAnsiTheme="majorHAnsi"/>
        </w:rPr>
      </w:pPr>
      <w:proofErr w:type="gramStart"/>
      <w:r>
        <w:rPr>
          <w:rFonts w:asciiTheme="majorHAnsi" w:hAnsiTheme="majorHAnsi"/>
          <w:b/>
        </w:rPr>
        <w:t>Table</w:t>
      </w:r>
      <w:r w:rsidR="005348E9" w:rsidRPr="0013327C">
        <w:rPr>
          <w:rFonts w:asciiTheme="majorHAnsi" w:hAnsiTheme="majorHAnsi"/>
          <w:b/>
        </w:rPr>
        <w:t xml:space="preserve"> 3.</w:t>
      </w:r>
      <w:r w:rsidR="005348E9">
        <w:rPr>
          <w:rFonts w:asciiTheme="majorHAnsi" w:hAnsiTheme="majorHAnsi"/>
          <w:b/>
        </w:rPr>
        <w:t>4</w:t>
      </w:r>
      <w:r w:rsidR="005348E9" w:rsidRPr="0013327C">
        <w:rPr>
          <w:rFonts w:asciiTheme="majorHAnsi" w:hAnsiTheme="majorHAnsi"/>
          <w:b/>
        </w:rPr>
        <w:t>.</w:t>
      </w:r>
      <w:proofErr w:type="gramEnd"/>
      <w:r w:rsidR="005348E9" w:rsidRPr="0013327C">
        <w:rPr>
          <w:rFonts w:asciiTheme="majorHAnsi" w:hAnsiTheme="majorHAnsi"/>
        </w:rPr>
        <w:t xml:space="preserve"> </w:t>
      </w:r>
      <w:proofErr w:type="gramStart"/>
      <w:r w:rsidR="005348E9" w:rsidRPr="005348E9">
        <w:rPr>
          <w:rFonts w:asciiTheme="majorHAnsi" w:hAnsiTheme="majorHAnsi"/>
        </w:rPr>
        <w:t xml:space="preserve">Z-scores of known </w:t>
      </w:r>
      <w:r w:rsidR="005348E9" w:rsidRPr="005348E9">
        <w:rPr>
          <w:rFonts w:asciiTheme="majorHAnsi" w:hAnsiTheme="majorHAnsi"/>
          <w:i/>
        </w:rPr>
        <w:t>PEX</w:t>
      </w:r>
      <w:r w:rsidR="005348E9" w:rsidRPr="005348E9">
        <w:rPr>
          <w:rFonts w:asciiTheme="majorHAnsi" w:hAnsiTheme="majorHAnsi"/>
        </w:rPr>
        <w:t xml:space="preserve"> orthologues.</w:t>
      </w:r>
      <w:proofErr w:type="gramEnd"/>
      <w:r w:rsidR="005348E9">
        <w:rPr>
          <w:rFonts w:asciiTheme="majorHAnsi" w:hAnsiTheme="majorHAnsi"/>
        </w:rPr>
        <w:tab/>
      </w:r>
      <w:r w:rsidR="005348E9">
        <w:rPr>
          <w:rFonts w:asciiTheme="majorHAnsi" w:hAnsiTheme="majorHAnsi"/>
        </w:rPr>
        <w:tab/>
      </w:r>
      <w:r w:rsidR="005348E9">
        <w:rPr>
          <w:rFonts w:asciiTheme="majorHAnsi" w:hAnsiTheme="majorHAnsi"/>
        </w:rPr>
        <w:tab/>
      </w:r>
      <w:r w:rsidR="005348E9">
        <w:rPr>
          <w:rFonts w:asciiTheme="majorHAnsi" w:hAnsiTheme="majorHAnsi"/>
        </w:rPr>
        <w:tab/>
        <w:t>96</w:t>
      </w:r>
    </w:p>
    <w:p w:rsidR="005348E9" w:rsidRDefault="002D762E" w:rsidP="00575A12">
      <w:pPr>
        <w:spacing w:after="120" w:line="276" w:lineRule="auto"/>
        <w:rPr>
          <w:rFonts w:asciiTheme="majorHAnsi" w:hAnsiTheme="majorHAnsi"/>
        </w:rPr>
      </w:pPr>
      <w:proofErr w:type="gramStart"/>
      <w:r>
        <w:rPr>
          <w:rFonts w:asciiTheme="majorHAnsi" w:hAnsiTheme="majorHAnsi"/>
          <w:b/>
        </w:rPr>
        <w:t>Table</w:t>
      </w:r>
      <w:r w:rsidR="005348E9" w:rsidRPr="005A4C71">
        <w:rPr>
          <w:rFonts w:asciiTheme="majorHAnsi" w:hAnsiTheme="majorHAnsi"/>
          <w:b/>
        </w:rPr>
        <w:t xml:space="preserve"> </w:t>
      </w:r>
      <w:r w:rsidR="005348E9">
        <w:rPr>
          <w:rFonts w:asciiTheme="majorHAnsi" w:hAnsiTheme="majorHAnsi"/>
          <w:b/>
        </w:rPr>
        <w:t>3.5</w:t>
      </w:r>
      <w:r w:rsidR="005348E9" w:rsidRPr="005A4C71">
        <w:rPr>
          <w:rFonts w:asciiTheme="majorHAnsi" w:hAnsiTheme="majorHAnsi"/>
          <w:b/>
        </w:rPr>
        <w:t>.</w:t>
      </w:r>
      <w:proofErr w:type="gramEnd"/>
      <w:r w:rsidR="005348E9" w:rsidRPr="005A4C71">
        <w:rPr>
          <w:rFonts w:asciiTheme="majorHAnsi" w:hAnsiTheme="majorHAnsi"/>
          <w:b/>
        </w:rPr>
        <w:t xml:space="preserve"> </w:t>
      </w:r>
      <w:proofErr w:type="gramStart"/>
      <w:r w:rsidR="005348E9" w:rsidRPr="005348E9">
        <w:rPr>
          <w:rFonts w:asciiTheme="majorHAnsi" w:hAnsiTheme="majorHAnsi"/>
        </w:rPr>
        <w:t xml:space="preserve">Unconfirmed </w:t>
      </w:r>
      <w:r w:rsidR="00D93535" w:rsidRPr="00D93535">
        <w:rPr>
          <w:rFonts w:asciiTheme="majorHAnsi" w:hAnsiTheme="majorHAnsi"/>
          <w:i/>
        </w:rPr>
        <w:t>PEX</w:t>
      </w:r>
      <w:r w:rsidR="005348E9" w:rsidRPr="005348E9">
        <w:rPr>
          <w:rFonts w:asciiTheme="majorHAnsi" w:hAnsiTheme="majorHAnsi"/>
        </w:rPr>
        <w:t xml:space="preserve"> Genes from Screen 1.</w:t>
      </w:r>
      <w:proofErr w:type="gramEnd"/>
      <w:r w:rsidR="005348E9">
        <w:rPr>
          <w:rFonts w:asciiTheme="majorHAnsi" w:hAnsiTheme="majorHAnsi"/>
        </w:rPr>
        <w:tab/>
      </w:r>
      <w:r w:rsidR="005348E9">
        <w:rPr>
          <w:rFonts w:asciiTheme="majorHAnsi" w:hAnsiTheme="majorHAnsi"/>
        </w:rPr>
        <w:tab/>
      </w:r>
      <w:r w:rsidR="005348E9">
        <w:rPr>
          <w:rFonts w:asciiTheme="majorHAnsi" w:hAnsiTheme="majorHAnsi"/>
        </w:rPr>
        <w:tab/>
      </w:r>
      <w:r w:rsidR="005348E9">
        <w:rPr>
          <w:rFonts w:asciiTheme="majorHAnsi" w:hAnsiTheme="majorHAnsi"/>
        </w:rPr>
        <w:tab/>
      </w:r>
      <w:r w:rsidR="007F49F1">
        <w:rPr>
          <w:rFonts w:asciiTheme="majorHAnsi" w:hAnsiTheme="majorHAnsi"/>
        </w:rPr>
        <w:t>97</w:t>
      </w:r>
    </w:p>
    <w:p w:rsidR="007F49F1" w:rsidRDefault="002D762E" w:rsidP="00575A12">
      <w:pPr>
        <w:spacing w:after="120" w:line="276" w:lineRule="auto"/>
        <w:rPr>
          <w:rFonts w:asciiTheme="majorHAnsi" w:hAnsiTheme="majorHAnsi"/>
        </w:rPr>
      </w:pPr>
      <w:proofErr w:type="gramStart"/>
      <w:r>
        <w:rPr>
          <w:rFonts w:asciiTheme="majorHAnsi" w:hAnsiTheme="majorHAnsi"/>
          <w:b/>
        </w:rPr>
        <w:t>Table</w:t>
      </w:r>
      <w:r w:rsidR="007F49F1" w:rsidRPr="0013327C">
        <w:rPr>
          <w:rFonts w:asciiTheme="majorHAnsi" w:hAnsiTheme="majorHAnsi"/>
          <w:b/>
        </w:rPr>
        <w:t xml:space="preserve"> </w:t>
      </w:r>
      <w:r w:rsidR="007F49F1">
        <w:rPr>
          <w:rFonts w:asciiTheme="majorHAnsi" w:hAnsiTheme="majorHAnsi"/>
          <w:b/>
        </w:rPr>
        <w:t>3.6</w:t>
      </w:r>
      <w:r w:rsidR="007F49F1" w:rsidRPr="0013327C">
        <w:rPr>
          <w:rFonts w:asciiTheme="majorHAnsi" w:hAnsiTheme="majorHAnsi"/>
          <w:b/>
        </w:rPr>
        <w:t>.</w:t>
      </w:r>
      <w:proofErr w:type="gramEnd"/>
      <w:r w:rsidR="007F49F1" w:rsidRPr="0013327C">
        <w:rPr>
          <w:rFonts w:asciiTheme="majorHAnsi" w:hAnsiTheme="majorHAnsi"/>
          <w:b/>
        </w:rPr>
        <w:t xml:space="preserve"> </w:t>
      </w:r>
      <w:proofErr w:type="gramStart"/>
      <w:r w:rsidR="007F49F1" w:rsidRPr="007F49F1">
        <w:rPr>
          <w:rFonts w:asciiTheme="majorHAnsi" w:hAnsiTheme="majorHAnsi"/>
        </w:rPr>
        <w:t>Table of novel hits.</w:t>
      </w:r>
      <w:proofErr w:type="gramEnd"/>
      <w:r w:rsidR="007F49F1">
        <w:rPr>
          <w:rFonts w:asciiTheme="majorHAnsi" w:hAnsiTheme="majorHAnsi"/>
        </w:rPr>
        <w:tab/>
      </w:r>
      <w:r w:rsidR="007F49F1">
        <w:rPr>
          <w:rFonts w:asciiTheme="majorHAnsi" w:hAnsiTheme="majorHAnsi"/>
        </w:rPr>
        <w:tab/>
      </w:r>
      <w:r>
        <w:rPr>
          <w:rFonts w:asciiTheme="majorHAnsi" w:hAnsiTheme="majorHAnsi"/>
        </w:rPr>
        <w:tab/>
      </w:r>
      <w:r w:rsidR="007F49F1">
        <w:rPr>
          <w:rFonts w:asciiTheme="majorHAnsi" w:hAnsiTheme="majorHAnsi"/>
        </w:rPr>
        <w:tab/>
      </w:r>
      <w:r w:rsidR="007F49F1">
        <w:rPr>
          <w:rFonts w:asciiTheme="majorHAnsi" w:hAnsiTheme="majorHAnsi"/>
        </w:rPr>
        <w:tab/>
      </w:r>
      <w:r w:rsidR="007F49F1">
        <w:rPr>
          <w:rFonts w:asciiTheme="majorHAnsi" w:hAnsiTheme="majorHAnsi"/>
        </w:rPr>
        <w:tab/>
      </w:r>
      <w:r w:rsidR="007F49F1">
        <w:rPr>
          <w:rFonts w:asciiTheme="majorHAnsi" w:hAnsiTheme="majorHAnsi"/>
        </w:rPr>
        <w:tab/>
        <w:t>99</w:t>
      </w:r>
    </w:p>
    <w:p w:rsidR="005348E9" w:rsidRPr="0013327C" w:rsidRDefault="007F49F1" w:rsidP="00575A12">
      <w:pPr>
        <w:spacing w:after="120" w:line="276" w:lineRule="auto"/>
        <w:rPr>
          <w:rFonts w:asciiTheme="majorHAnsi" w:hAnsiTheme="majorHAnsi"/>
        </w:rPr>
      </w:pPr>
      <w:proofErr w:type="gramStart"/>
      <w:r w:rsidRPr="0013327C">
        <w:rPr>
          <w:rFonts w:asciiTheme="majorHAnsi" w:hAnsiTheme="majorHAnsi"/>
          <w:b/>
        </w:rPr>
        <w:t xml:space="preserve">Table </w:t>
      </w:r>
      <w:r>
        <w:rPr>
          <w:rFonts w:asciiTheme="majorHAnsi" w:hAnsiTheme="majorHAnsi"/>
          <w:b/>
        </w:rPr>
        <w:t>3.7</w:t>
      </w:r>
      <w:r w:rsidRPr="0013327C">
        <w:rPr>
          <w:rFonts w:asciiTheme="majorHAnsi" w:hAnsiTheme="majorHAnsi"/>
          <w:b/>
        </w:rPr>
        <w:t>.</w:t>
      </w:r>
      <w:proofErr w:type="gramEnd"/>
      <w:r w:rsidRPr="0013327C">
        <w:rPr>
          <w:rFonts w:asciiTheme="majorHAnsi" w:hAnsiTheme="majorHAnsi"/>
        </w:rPr>
        <w:t xml:space="preserve"> </w:t>
      </w:r>
      <w:proofErr w:type="gramStart"/>
      <w:r w:rsidRPr="007F49F1">
        <w:rPr>
          <w:rFonts w:asciiTheme="majorHAnsi" w:hAnsiTheme="majorHAnsi"/>
        </w:rPr>
        <w:t>False positives from Screen 1.</w:t>
      </w:r>
      <w:proofErr w:type="gramEnd"/>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100</w:t>
      </w:r>
    </w:p>
    <w:p w:rsidR="009D5BF8" w:rsidRDefault="009D5BF8" w:rsidP="00575A12">
      <w:pPr>
        <w:spacing w:after="120" w:line="276" w:lineRule="auto"/>
        <w:rPr>
          <w:rFonts w:asciiTheme="majorHAnsi" w:hAnsiTheme="majorHAnsi"/>
        </w:rPr>
      </w:pPr>
      <w:proofErr w:type="gramStart"/>
      <w:r>
        <w:rPr>
          <w:rFonts w:asciiTheme="majorHAnsi" w:hAnsiTheme="majorHAnsi"/>
          <w:b/>
        </w:rPr>
        <w:t>Table 4.1</w:t>
      </w:r>
      <w:r w:rsidRPr="00B93132">
        <w:rPr>
          <w:rFonts w:asciiTheme="majorHAnsi" w:hAnsiTheme="majorHAnsi"/>
          <w:b/>
        </w:rPr>
        <w:t>.</w:t>
      </w:r>
      <w:proofErr w:type="gramEnd"/>
      <w:r w:rsidRPr="00B93132">
        <w:rPr>
          <w:rFonts w:asciiTheme="majorHAnsi" w:hAnsiTheme="majorHAnsi"/>
          <w:b/>
        </w:rPr>
        <w:t xml:space="preserve"> </w:t>
      </w:r>
      <w:r w:rsidRPr="009D5BF8">
        <w:rPr>
          <w:rFonts w:asciiTheme="majorHAnsi" w:hAnsiTheme="majorHAnsi"/>
        </w:rPr>
        <w:t xml:space="preserve">A comparison of Transfluor data from both screens’ </w:t>
      </w:r>
      <w:r w:rsidRPr="009D5BF8">
        <w:rPr>
          <w:rFonts w:asciiTheme="majorHAnsi" w:hAnsiTheme="majorHAnsi"/>
          <w:i/>
        </w:rPr>
        <w:t>PEX</w:t>
      </w:r>
      <w:r w:rsidRPr="009D5BF8">
        <w:rPr>
          <w:rFonts w:asciiTheme="majorHAnsi" w:hAnsiTheme="majorHAnsi"/>
        </w:rPr>
        <w:t>5 controls.</w:t>
      </w:r>
    </w:p>
    <w:p w:rsidR="00F54C76" w:rsidRDefault="009D5BF8" w:rsidP="00575A12">
      <w:pPr>
        <w:spacing w:after="120" w:line="276" w:lineRule="auto"/>
        <w:ind w:firstLine="720"/>
        <w:rPr>
          <w:rFonts w:asciiTheme="majorHAnsi" w:hAnsiTheme="majorHAnsi"/>
        </w:rPr>
      </w:pPr>
      <w:r>
        <w:rPr>
          <w:rFonts w:asciiTheme="majorHAnsi" w:hAnsiTheme="majorHAnsi"/>
        </w:rPr>
        <w:t>112</w:t>
      </w:r>
      <w:r w:rsidR="003A504F" w:rsidRPr="009D5BF8">
        <w:rPr>
          <w:rFonts w:asciiTheme="majorHAnsi" w:hAnsiTheme="majorHAnsi"/>
        </w:rPr>
        <w:tab/>
      </w:r>
    </w:p>
    <w:p w:rsidR="00F54C76" w:rsidRDefault="00F54C76" w:rsidP="00575A12">
      <w:pPr>
        <w:spacing w:after="120" w:line="276" w:lineRule="auto"/>
        <w:rPr>
          <w:rFonts w:asciiTheme="majorHAnsi" w:hAnsiTheme="majorHAnsi"/>
        </w:rPr>
      </w:pPr>
      <w:proofErr w:type="gramStart"/>
      <w:r>
        <w:rPr>
          <w:rFonts w:asciiTheme="majorHAnsi" w:hAnsiTheme="majorHAnsi"/>
          <w:b/>
        </w:rPr>
        <w:t>Table 4.2.</w:t>
      </w:r>
      <w:proofErr w:type="gramEnd"/>
      <w:r>
        <w:rPr>
          <w:rFonts w:asciiTheme="majorHAnsi" w:hAnsiTheme="majorHAnsi"/>
          <w:b/>
        </w:rPr>
        <w:t xml:space="preserve"> </w:t>
      </w:r>
      <w:r w:rsidRPr="00F54C76">
        <w:rPr>
          <w:rFonts w:asciiTheme="majorHAnsi" w:hAnsiTheme="majorHAnsi"/>
        </w:rPr>
        <w:t>Mean Z-scores for the probes in Screen 2 for all 106 wells per probe. Z-scores are of normalised data.</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116</w:t>
      </w:r>
    </w:p>
    <w:p w:rsidR="00F54C76" w:rsidRDefault="00F54C76" w:rsidP="00575A12">
      <w:pPr>
        <w:spacing w:after="120" w:line="276" w:lineRule="auto"/>
        <w:rPr>
          <w:rFonts w:asciiTheme="majorHAnsi" w:hAnsiTheme="majorHAnsi"/>
        </w:rPr>
      </w:pPr>
      <w:proofErr w:type="gramStart"/>
      <w:r>
        <w:rPr>
          <w:rFonts w:asciiTheme="majorHAnsi" w:hAnsiTheme="majorHAnsi"/>
          <w:b/>
        </w:rPr>
        <w:t>Table 4.3.</w:t>
      </w:r>
      <w:proofErr w:type="gramEnd"/>
      <w:r>
        <w:rPr>
          <w:rFonts w:asciiTheme="majorHAnsi" w:hAnsiTheme="majorHAnsi"/>
          <w:b/>
        </w:rPr>
        <w:t xml:space="preserve"> </w:t>
      </w:r>
      <w:r w:rsidRPr="00F54C76">
        <w:rPr>
          <w:rFonts w:asciiTheme="majorHAnsi" w:hAnsiTheme="majorHAnsi"/>
        </w:rPr>
        <w:t>Controls from Screen 2 expressed in z-scores from data mean.</w:t>
      </w:r>
      <w:r>
        <w:rPr>
          <w:rFonts w:asciiTheme="majorHAnsi" w:hAnsiTheme="majorHAnsi"/>
        </w:rPr>
        <w:tab/>
        <w:t>117</w:t>
      </w:r>
    </w:p>
    <w:p w:rsidR="00BC3B3C" w:rsidRDefault="00BC3B3C" w:rsidP="00575A12">
      <w:pPr>
        <w:spacing w:after="120" w:line="276" w:lineRule="auto"/>
        <w:rPr>
          <w:rFonts w:asciiTheme="majorHAnsi" w:hAnsiTheme="majorHAnsi"/>
        </w:rPr>
      </w:pPr>
      <w:proofErr w:type="gramStart"/>
      <w:r>
        <w:rPr>
          <w:rFonts w:asciiTheme="majorHAnsi" w:hAnsiTheme="majorHAnsi"/>
          <w:b/>
        </w:rPr>
        <w:t xml:space="preserve">Table </w:t>
      </w:r>
      <w:r w:rsidRPr="0013327C">
        <w:rPr>
          <w:rFonts w:asciiTheme="majorHAnsi" w:hAnsiTheme="majorHAnsi"/>
          <w:b/>
        </w:rPr>
        <w:t>4.</w:t>
      </w:r>
      <w:r>
        <w:rPr>
          <w:rFonts w:asciiTheme="majorHAnsi" w:hAnsiTheme="majorHAnsi"/>
          <w:b/>
        </w:rPr>
        <w:t>4</w:t>
      </w:r>
      <w:r w:rsidRPr="0013327C">
        <w:rPr>
          <w:rFonts w:asciiTheme="majorHAnsi" w:hAnsiTheme="majorHAnsi"/>
          <w:b/>
        </w:rPr>
        <w:t>.</w:t>
      </w:r>
      <w:proofErr w:type="gramEnd"/>
      <w:r w:rsidRPr="0013327C">
        <w:rPr>
          <w:rFonts w:asciiTheme="majorHAnsi" w:hAnsiTheme="majorHAnsi"/>
          <w:b/>
        </w:rPr>
        <w:t xml:space="preserve"> </w:t>
      </w:r>
      <w:proofErr w:type="gramStart"/>
      <w:r w:rsidRPr="00BC3B3C">
        <w:rPr>
          <w:rFonts w:asciiTheme="majorHAnsi" w:hAnsiTheme="majorHAnsi"/>
        </w:rPr>
        <w:t xml:space="preserve">A table of non-statistically significant data from </w:t>
      </w:r>
      <w:r w:rsidRPr="00BC3B3C">
        <w:rPr>
          <w:rFonts w:asciiTheme="majorHAnsi" w:hAnsiTheme="majorHAnsi"/>
          <w:i/>
        </w:rPr>
        <w:t>PEX</w:t>
      </w:r>
      <w:r w:rsidRPr="00BC3B3C">
        <w:rPr>
          <w:rFonts w:asciiTheme="majorHAnsi" w:hAnsiTheme="majorHAnsi"/>
        </w:rPr>
        <w:t xml:space="preserve"> KDs.</w:t>
      </w:r>
      <w:proofErr w:type="gramEnd"/>
      <w:r>
        <w:rPr>
          <w:rFonts w:asciiTheme="majorHAnsi" w:hAnsiTheme="majorHAnsi"/>
        </w:rPr>
        <w:tab/>
      </w:r>
      <w:r>
        <w:rPr>
          <w:rFonts w:asciiTheme="majorHAnsi" w:hAnsiTheme="majorHAnsi"/>
        </w:rPr>
        <w:tab/>
        <w:t>120</w:t>
      </w:r>
    </w:p>
    <w:p w:rsidR="00BC3B3C" w:rsidRDefault="00BC3B3C" w:rsidP="00575A12">
      <w:pPr>
        <w:spacing w:after="120" w:line="276" w:lineRule="auto"/>
        <w:rPr>
          <w:rFonts w:asciiTheme="majorHAnsi" w:hAnsiTheme="majorHAnsi"/>
        </w:rPr>
      </w:pPr>
      <w:proofErr w:type="gramStart"/>
      <w:r>
        <w:rPr>
          <w:rFonts w:asciiTheme="majorHAnsi" w:hAnsiTheme="majorHAnsi"/>
          <w:b/>
        </w:rPr>
        <w:t>Table 4.5.</w:t>
      </w:r>
      <w:proofErr w:type="gramEnd"/>
      <w:r w:rsidRPr="0013327C">
        <w:rPr>
          <w:rFonts w:asciiTheme="majorHAnsi" w:hAnsiTheme="majorHAnsi"/>
        </w:rPr>
        <w:t xml:space="preserve"> </w:t>
      </w:r>
      <w:proofErr w:type="gramStart"/>
      <w:r w:rsidRPr="00BC3B3C">
        <w:rPr>
          <w:rFonts w:asciiTheme="majorHAnsi" w:hAnsiTheme="majorHAnsi"/>
        </w:rPr>
        <w:t>A table showing the candidate genes after statistical analysis and visual screening.</w:t>
      </w:r>
      <w:proofErr w:type="gramEnd"/>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122</w:t>
      </w:r>
    </w:p>
    <w:p w:rsidR="00B53387" w:rsidRDefault="00B53387" w:rsidP="00575A12">
      <w:pPr>
        <w:spacing w:after="120" w:line="276" w:lineRule="auto"/>
        <w:rPr>
          <w:rFonts w:asciiTheme="majorHAnsi" w:hAnsiTheme="majorHAnsi"/>
        </w:rPr>
      </w:pPr>
      <w:proofErr w:type="gramStart"/>
      <w:r>
        <w:rPr>
          <w:rFonts w:asciiTheme="majorHAnsi" w:hAnsiTheme="majorHAnsi"/>
          <w:b/>
        </w:rPr>
        <w:t>Table 4.6</w:t>
      </w:r>
      <w:r w:rsidRPr="0013327C">
        <w:rPr>
          <w:rFonts w:asciiTheme="majorHAnsi" w:hAnsiTheme="majorHAnsi"/>
          <w:b/>
        </w:rPr>
        <w:t>.</w:t>
      </w:r>
      <w:proofErr w:type="gramEnd"/>
      <w:r w:rsidRPr="0013327C">
        <w:rPr>
          <w:rFonts w:asciiTheme="majorHAnsi" w:hAnsiTheme="majorHAnsi"/>
          <w:b/>
        </w:rPr>
        <w:t xml:space="preserve"> </w:t>
      </w:r>
      <w:proofErr w:type="gramStart"/>
      <w:r w:rsidRPr="00B53387">
        <w:rPr>
          <w:rFonts w:asciiTheme="majorHAnsi" w:hAnsiTheme="majorHAnsi"/>
        </w:rPr>
        <w:t>The mean and standard deviation of each probe’s distributions of normalised data in terms of Z-scores for Screen 2.</w:t>
      </w:r>
      <w:proofErr w:type="gramEnd"/>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131</w:t>
      </w:r>
    </w:p>
    <w:p w:rsidR="00B53387" w:rsidRDefault="00B53387" w:rsidP="00575A12">
      <w:pPr>
        <w:spacing w:after="120" w:line="276" w:lineRule="auto"/>
        <w:rPr>
          <w:rFonts w:asciiTheme="majorHAnsi" w:hAnsiTheme="majorHAnsi"/>
        </w:rPr>
      </w:pPr>
      <w:proofErr w:type="gramStart"/>
      <w:r>
        <w:rPr>
          <w:rFonts w:asciiTheme="majorHAnsi" w:hAnsiTheme="majorHAnsi"/>
          <w:b/>
        </w:rPr>
        <w:t>Table 4.7.</w:t>
      </w:r>
      <w:proofErr w:type="gramEnd"/>
      <w:r>
        <w:rPr>
          <w:rFonts w:asciiTheme="majorHAnsi" w:hAnsiTheme="majorHAnsi"/>
          <w:b/>
        </w:rPr>
        <w:t xml:space="preserve"> </w:t>
      </w:r>
      <w:r w:rsidRPr="009F1752">
        <w:rPr>
          <w:rFonts w:asciiTheme="majorHAnsi" w:hAnsiTheme="majorHAnsi"/>
          <w:b/>
        </w:rPr>
        <w:t xml:space="preserve"> </w:t>
      </w:r>
      <w:proofErr w:type="gramStart"/>
      <w:r w:rsidRPr="00B53387">
        <w:rPr>
          <w:rFonts w:asciiTheme="majorHAnsi" w:hAnsiTheme="majorHAnsi"/>
        </w:rPr>
        <w:t>The complete hitlist of Screen 2.</w:t>
      </w:r>
      <w:proofErr w:type="gramEnd"/>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136</w:t>
      </w:r>
    </w:p>
    <w:p w:rsidR="00B53387" w:rsidRDefault="00B53387" w:rsidP="00575A12">
      <w:pPr>
        <w:spacing w:after="120" w:line="276" w:lineRule="auto"/>
        <w:rPr>
          <w:rFonts w:asciiTheme="majorHAnsi" w:hAnsiTheme="majorHAnsi"/>
        </w:rPr>
      </w:pPr>
      <w:proofErr w:type="gramStart"/>
      <w:r>
        <w:rPr>
          <w:rFonts w:asciiTheme="majorHAnsi" w:hAnsiTheme="majorHAnsi"/>
          <w:b/>
        </w:rPr>
        <w:t>Table</w:t>
      </w:r>
      <w:r w:rsidRPr="0013327C">
        <w:rPr>
          <w:rFonts w:asciiTheme="majorHAnsi" w:hAnsiTheme="majorHAnsi"/>
          <w:b/>
        </w:rPr>
        <w:t xml:space="preserve"> 5.1.</w:t>
      </w:r>
      <w:proofErr w:type="gramEnd"/>
      <w:r w:rsidRPr="0013327C">
        <w:rPr>
          <w:rFonts w:asciiTheme="majorHAnsi" w:hAnsiTheme="majorHAnsi"/>
          <w:b/>
        </w:rPr>
        <w:t xml:space="preserve"> </w:t>
      </w:r>
      <w:r w:rsidRPr="00B53387">
        <w:rPr>
          <w:rFonts w:asciiTheme="majorHAnsi" w:hAnsiTheme="majorHAnsi"/>
        </w:rPr>
        <w:t>The list of genes included for seeding into the Secondary Screen plate prior to final visual screening.</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140</w:t>
      </w:r>
    </w:p>
    <w:p w:rsidR="009119C6" w:rsidRDefault="009119C6" w:rsidP="00575A12">
      <w:pPr>
        <w:spacing w:after="120" w:line="276" w:lineRule="auto"/>
        <w:rPr>
          <w:rFonts w:asciiTheme="majorHAnsi" w:hAnsiTheme="majorHAnsi"/>
        </w:rPr>
      </w:pPr>
      <w:proofErr w:type="gramStart"/>
      <w:r>
        <w:rPr>
          <w:rFonts w:asciiTheme="majorHAnsi" w:hAnsiTheme="majorHAnsi"/>
          <w:b/>
        </w:rPr>
        <w:t>Table 5.2</w:t>
      </w:r>
      <w:r w:rsidRPr="0013327C">
        <w:rPr>
          <w:rFonts w:asciiTheme="majorHAnsi" w:hAnsiTheme="majorHAnsi"/>
          <w:b/>
        </w:rPr>
        <w:t>.</w:t>
      </w:r>
      <w:proofErr w:type="gramEnd"/>
      <w:r w:rsidRPr="0013327C">
        <w:rPr>
          <w:rFonts w:asciiTheme="majorHAnsi" w:hAnsiTheme="majorHAnsi"/>
          <w:b/>
        </w:rPr>
        <w:t xml:space="preserve"> </w:t>
      </w:r>
      <w:proofErr w:type="gramStart"/>
      <w:r w:rsidRPr="009119C6">
        <w:rPr>
          <w:rFonts w:asciiTheme="majorHAnsi" w:hAnsiTheme="majorHAnsi"/>
        </w:rPr>
        <w:t>A table showing the quantities of the controls, and sample probes to be added to the Secondary Screen plate.</w:t>
      </w:r>
      <w:proofErr w:type="gramEnd"/>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142</w:t>
      </w:r>
    </w:p>
    <w:p w:rsidR="009119C6" w:rsidRDefault="009119C6" w:rsidP="00575A12">
      <w:pPr>
        <w:spacing w:after="120" w:line="276" w:lineRule="auto"/>
        <w:rPr>
          <w:rFonts w:asciiTheme="majorHAnsi" w:hAnsiTheme="majorHAnsi"/>
        </w:rPr>
      </w:pPr>
      <w:proofErr w:type="gramStart"/>
      <w:r>
        <w:rPr>
          <w:rFonts w:asciiTheme="majorHAnsi" w:hAnsiTheme="majorHAnsi"/>
          <w:b/>
        </w:rPr>
        <w:t>Table 5.3</w:t>
      </w:r>
      <w:r w:rsidRPr="0013327C">
        <w:rPr>
          <w:rFonts w:asciiTheme="majorHAnsi" w:hAnsiTheme="majorHAnsi"/>
          <w:b/>
        </w:rPr>
        <w:t>.</w:t>
      </w:r>
      <w:proofErr w:type="gramEnd"/>
      <w:r w:rsidRPr="0013327C">
        <w:rPr>
          <w:rFonts w:asciiTheme="majorHAnsi" w:hAnsiTheme="majorHAnsi"/>
          <w:b/>
        </w:rPr>
        <w:t xml:space="preserve"> </w:t>
      </w:r>
      <w:r w:rsidRPr="009119C6">
        <w:rPr>
          <w:rFonts w:asciiTheme="majorHAnsi" w:hAnsiTheme="majorHAnsi"/>
        </w:rPr>
        <w:t xml:space="preserve">A list of genes </w:t>
      </w:r>
      <w:proofErr w:type="gramStart"/>
      <w:r w:rsidRPr="009119C6">
        <w:rPr>
          <w:rFonts w:asciiTheme="majorHAnsi" w:hAnsiTheme="majorHAnsi"/>
        </w:rPr>
        <w:t>whose</w:t>
      </w:r>
      <w:proofErr w:type="gramEnd"/>
      <w:r w:rsidRPr="009119C6">
        <w:rPr>
          <w:rFonts w:asciiTheme="majorHAnsi" w:hAnsiTheme="majorHAnsi"/>
        </w:rPr>
        <w:t xml:space="preserve"> KDs caused visual aberrations in eGFP-PTS1 phenotype in the secondary screen.</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148</w:t>
      </w:r>
    </w:p>
    <w:p w:rsidR="00B57EFF" w:rsidRDefault="00B57EFF" w:rsidP="00575A12">
      <w:pPr>
        <w:spacing w:after="120" w:line="276" w:lineRule="auto"/>
        <w:rPr>
          <w:rFonts w:asciiTheme="majorHAnsi" w:hAnsiTheme="majorHAnsi"/>
        </w:rPr>
      </w:pPr>
      <w:proofErr w:type="gramStart"/>
      <w:r>
        <w:rPr>
          <w:rFonts w:asciiTheme="majorHAnsi" w:hAnsiTheme="majorHAnsi"/>
          <w:b/>
        </w:rPr>
        <w:t>Table 5.4</w:t>
      </w:r>
      <w:r w:rsidRPr="0013327C">
        <w:rPr>
          <w:rFonts w:asciiTheme="majorHAnsi" w:hAnsiTheme="majorHAnsi"/>
          <w:b/>
        </w:rPr>
        <w:t>.</w:t>
      </w:r>
      <w:proofErr w:type="gramEnd"/>
      <w:r w:rsidRPr="00B57EFF">
        <w:rPr>
          <w:rFonts w:asciiTheme="majorHAnsi" w:hAnsiTheme="majorHAnsi"/>
        </w:rPr>
        <w:t xml:space="preserve"> Mean z-scores peroxisome count per cell for controls across all replicates.</w:t>
      </w:r>
    </w:p>
    <w:p w:rsidR="00B57EFF" w:rsidRDefault="00B57EFF" w:rsidP="00575A12">
      <w:pPr>
        <w:spacing w:after="120" w:line="276" w:lineRule="auto"/>
        <w:rPr>
          <w:rFonts w:asciiTheme="majorHAnsi" w:hAnsiTheme="majorHAnsi"/>
        </w:rPr>
      </w:pP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171</w:t>
      </w:r>
    </w:p>
    <w:p w:rsidR="00B57EFF" w:rsidRPr="0013327C" w:rsidRDefault="00B57EFF" w:rsidP="00575A12">
      <w:pPr>
        <w:spacing w:after="120" w:line="276" w:lineRule="auto"/>
        <w:rPr>
          <w:rFonts w:asciiTheme="majorHAnsi" w:hAnsiTheme="majorHAnsi"/>
        </w:rPr>
      </w:pPr>
      <w:proofErr w:type="gramStart"/>
      <w:r>
        <w:rPr>
          <w:rFonts w:asciiTheme="majorHAnsi" w:hAnsiTheme="majorHAnsi"/>
          <w:b/>
        </w:rPr>
        <w:t>Table 5.5</w:t>
      </w:r>
      <w:r w:rsidRPr="0013327C">
        <w:rPr>
          <w:rFonts w:asciiTheme="majorHAnsi" w:hAnsiTheme="majorHAnsi"/>
          <w:b/>
        </w:rPr>
        <w:t>.</w:t>
      </w:r>
      <w:proofErr w:type="gramEnd"/>
      <w:r w:rsidRPr="0013327C">
        <w:rPr>
          <w:rFonts w:asciiTheme="majorHAnsi" w:hAnsiTheme="majorHAnsi"/>
          <w:b/>
        </w:rPr>
        <w:t xml:space="preserve"> </w:t>
      </w:r>
      <w:proofErr w:type="gramStart"/>
      <w:r w:rsidRPr="00B57EFF">
        <w:rPr>
          <w:rFonts w:asciiTheme="majorHAnsi" w:hAnsiTheme="majorHAnsi"/>
        </w:rPr>
        <w:t>A list of the probes with the highest and lowest median z-scores for peroxisome count per cell.</w:t>
      </w:r>
      <w:proofErr w:type="gramEnd"/>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173</w:t>
      </w:r>
    </w:p>
    <w:p w:rsidR="009119C6" w:rsidRPr="00B53387" w:rsidRDefault="009119C6" w:rsidP="00575A12">
      <w:pPr>
        <w:spacing w:after="0"/>
        <w:rPr>
          <w:rFonts w:asciiTheme="majorHAnsi" w:hAnsiTheme="majorHAnsi"/>
        </w:rPr>
      </w:pPr>
    </w:p>
    <w:p w:rsidR="00B53387" w:rsidRPr="001152A4" w:rsidRDefault="00B53387" w:rsidP="00F54C76">
      <w:pPr>
        <w:jc w:val="both"/>
        <w:rPr>
          <w:rFonts w:asciiTheme="majorHAnsi" w:hAnsiTheme="majorHAnsi"/>
          <w:b/>
        </w:rPr>
      </w:pPr>
    </w:p>
    <w:p w:rsidR="003A504F" w:rsidRDefault="003A504F" w:rsidP="009D5BF8">
      <w:pPr>
        <w:spacing w:after="120" w:line="276" w:lineRule="auto"/>
        <w:ind w:left="6480" w:firstLine="720"/>
        <w:jc w:val="both"/>
        <w:rPr>
          <w:rFonts w:asciiTheme="majorHAnsi" w:hAnsiTheme="majorHAnsi"/>
        </w:rPr>
      </w:pP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p>
    <w:p w:rsidR="003A504F" w:rsidRPr="003A504F" w:rsidRDefault="003A504F" w:rsidP="003A504F">
      <w:pPr>
        <w:spacing w:after="120" w:line="276" w:lineRule="auto"/>
        <w:jc w:val="both"/>
        <w:rPr>
          <w:rFonts w:asciiTheme="majorHAnsi" w:hAnsiTheme="majorHAnsi"/>
        </w:rPr>
      </w:pPr>
    </w:p>
    <w:p w:rsidR="00D47F15" w:rsidRDefault="003A504F" w:rsidP="00D47F15">
      <w:pPr>
        <w:rPr>
          <w:rFonts w:asciiTheme="majorHAnsi" w:hAnsiTheme="majorHAnsi"/>
          <w:b/>
        </w:rPr>
      </w:pPr>
      <w:r>
        <w:rPr>
          <w:rFonts w:asciiTheme="majorHAnsi" w:hAnsiTheme="majorHAnsi"/>
        </w:rPr>
        <w:tab/>
      </w:r>
    </w:p>
    <w:p w:rsidR="003A504F" w:rsidRDefault="003A504F" w:rsidP="00D47F15">
      <w:pPr>
        <w:rPr>
          <w:rFonts w:asciiTheme="majorHAnsi" w:hAnsiTheme="majorHAnsi"/>
          <w:b/>
        </w:rPr>
      </w:pPr>
    </w:p>
    <w:p w:rsidR="003A504F" w:rsidRPr="00D47F15" w:rsidRDefault="003A504F" w:rsidP="00D47F15">
      <w:pPr>
        <w:rPr>
          <w:rFonts w:asciiTheme="majorHAnsi" w:hAnsiTheme="majorHAnsi"/>
          <w:b/>
        </w:rPr>
        <w:sectPr w:rsidR="003A504F" w:rsidRPr="00D47F15" w:rsidSect="002852E1">
          <w:footerReference w:type="default" r:id="rId9"/>
          <w:pgSz w:w="11906" w:h="16838"/>
          <w:pgMar w:top="1440" w:right="1440" w:bottom="1440" w:left="2325" w:header="709" w:footer="709" w:gutter="0"/>
          <w:pgNumType w:fmt="upperRoman"/>
          <w:cols w:space="708"/>
          <w:docGrid w:linePitch="360"/>
        </w:sectPr>
      </w:pPr>
    </w:p>
    <w:p w:rsidR="00770986" w:rsidRPr="0013327C" w:rsidRDefault="00770986" w:rsidP="00770986">
      <w:pPr>
        <w:pStyle w:val="Heading1"/>
        <w:jc w:val="both"/>
      </w:pPr>
      <w:bookmarkStart w:id="12" w:name="_Toc348423277"/>
      <w:proofErr w:type="gramStart"/>
      <w:r w:rsidRPr="0013327C">
        <w:lastRenderedPageBreak/>
        <w:t>Introduction.</w:t>
      </w:r>
      <w:bookmarkEnd w:id="12"/>
      <w:proofErr w:type="gramEnd"/>
    </w:p>
    <w:p w:rsidR="00770986" w:rsidRPr="0013327C" w:rsidRDefault="00770986" w:rsidP="00770986">
      <w:pPr>
        <w:pStyle w:val="Heading2"/>
        <w:jc w:val="both"/>
      </w:pPr>
      <w:bookmarkStart w:id="13" w:name="_Toc348423278"/>
      <w:r w:rsidRPr="0013327C">
        <w:t>Peroxisomes and their functions</w:t>
      </w:r>
      <w:bookmarkEnd w:id="13"/>
    </w:p>
    <w:p w:rsidR="00770986" w:rsidRPr="0013327C" w:rsidRDefault="00770986" w:rsidP="00770986">
      <w:pPr>
        <w:jc w:val="both"/>
        <w:rPr>
          <w:rFonts w:asciiTheme="majorHAnsi" w:hAnsiTheme="majorHAnsi"/>
        </w:rPr>
      </w:pPr>
      <w:r w:rsidRPr="0013327C">
        <w:rPr>
          <w:rFonts w:asciiTheme="majorHAnsi" w:hAnsiTheme="majorHAnsi"/>
        </w:rPr>
        <w:t xml:space="preserve">Peroxisomes are single membrane-bound, spherical organelles found ubiquitously in eukaryotic organisms in almost all tissue types. They are very small, in the region of 0.1-2.0 µm in diameter and can vary in size between tissues of the same organism. They are abundant in the cells of tissues which are involved in storage, synthesis and metabolism of lipids. They were described originally as vesicular compartments present in mouse kidney tubule cells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"Rhodin", "given" : "J", "non-dropping-particle" : "", "parse-names" : false, "suffix" : "" } ], "id" : "ITEM-1", "issued" : { "date-parts" : [ [ "1954" ] ] }, "publisher" : "Stockholm", "title" : "Correlation of ultrastructural organisationand function in normal and experimentally change proximal convoluted tubule cells of the mouse kidney.", "type" : "thesis" }, "uris" : [ "http://www.mendeley.com/documents/?uuid=e105739d-a1bb-46bd-a905-c28bf5bf7dbe" ] } ], "mendeley" : { "previouslyFormattedCitation" : "(Rhodin 1954)"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(Rhodin 1954)</w:t>
      </w:r>
      <w:r w:rsidR="009A1FEC" w:rsidRPr="0013327C">
        <w:rPr>
          <w:rFonts w:asciiTheme="majorHAnsi" w:hAnsiTheme="majorHAnsi"/>
        </w:rPr>
        <w:fldChar w:fldCharType="end"/>
      </w:r>
      <w:r w:rsidRPr="0013327C">
        <w:rPr>
          <w:rFonts w:asciiTheme="majorHAnsi" w:hAnsiTheme="majorHAnsi"/>
        </w:rPr>
        <w:t xml:space="preserve">. They would later be purified in cell-fractionation techniques and subsequently characterised based on their function in the production and metabolism of the hydrogen peroxide-catalysing enzyme catalase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"Duve", "given" : "C", "non-dropping-particle" : "De", "parse-names" : false, "suffix" : "" }, { "dropping-particle" : "", "family" : "Baudhuin", "given" : "P", "non-dropping-particle" : "", "parse-names" : false, "suffix" : "" } ], "container-title" : "Physiological reviews", "id" : "ITEM-1", "issued" : { "date-parts" : [ [ "1966" ] ] }, "page" : "323-57", "title" : "Peroxisomes (microbodies and related particles)", "type" : "article-journal", "volume" : "46" }, "uris" : [ "http://www.mendeley.com/documents/?uuid=9b3dc4d6-3f74-42ea-8a86-8c42db65f6f6" ] }, { "id" : "ITEM-2", "itemData" : { "author" : [ { "dropping-particle" : "", "family" : "Baudhuin", "given" : "P", "non-dropping-particle" : "", "parse-names" : false, "suffix" : "" }, { "dropping-particle" : "", "family" : "Beaufay", "given" : "H", "non-dropping-particle" : "", "parse-names" : false, "suffix" : "" }, { "dropping-particle" : "", "family" : "Duve", "given" : "C", "non-dropping-particle" : "De", "parse-names" : false, "suffix" : "" } ], "container-title" : "Journal of Cell Biology", "id" : "ITEM-2", "issue" : "1", "issued" : { "date-parts" : [ [ "1965" ] ] }, "page" : "219-43", "title" : "Combined biochemical and morphological studyof particulate fractions from rat liver. Analysis of preparations enriched in lysosomes or in particles containing urate oxidase, D-amino acid oxidase and catalase.", "type" : "article-journal", "volume" : "26" }, "uris" : [ "http://www.mendeley.com/documents/?uuid=bee0f291-49f4-4f53-a369-de73995327cb" ] } ], "mendeley" : { "previouslyFormattedCitation" : "(De Duve &amp; Baudhuin 1966; Baudhuin, Beaufay &amp; De Duve 1965)"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(De Duve &amp; Baudhuin 1966; Baudhuin, Beaufay &amp; De Duve 1965)</w:t>
      </w:r>
      <w:r w:rsidR="009A1FEC" w:rsidRPr="0013327C">
        <w:rPr>
          <w:rFonts w:asciiTheme="majorHAnsi" w:hAnsiTheme="majorHAnsi"/>
        </w:rPr>
        <w:fldChar w:fldCharType="end"/>
      </w:r>
      <w:r w:rsidRPr="0013327C">
        <w:rPr>
          <w:rFonts w:asciiTheme="majorHAnsi" w:hAnsiTheme="majorHAnsi"/>
        </w:rPr>
        <w:t>.</w:t>
      </w:r>
    </w:p>
    <w:p w:rsidR="00770986" w:rsidRPr="0013327C" w:rsidRDefault="00770986" w:rsidP="00770986">
      <w:pPr>
        <w:jc w:val="both"/>
        <w:rPr>
          <w:rFonts w:asciiTheme="majorHAnsi" w:hAnsiTheme="majorHAnsi"/>
        </w:rPr>
      </w:pPr>
      <w:r w:rsidRPr="0013327C">
        <w:rPr>
          <w:rFonts w:asciiTheme="majorHAnsi" w:hAnsiTheme="majorHAnsi"/>
        </w:rPr>
        <w:t xml:space="preserve"> As part of the evolution of eukaryotes to compartmentalise cellular functions, peroxisomes are the organelles which contain the enzymes necessary for key conserved metabolic functions. These include the metabolism of medium, long and very long-chain fatty acids (MCFAs, LCFAs and VLCFAs) mainly by and β-oxidation, oxidative stress defence and peroxide mediated respiration reactions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"Lazarow", "given" : "Paul B", "non-dropping-particle" : "", "parse-names" : false, "suffix" : "" }, { "dropping-particle" : "", "family" : "Fujiki", "given" : "Yukio", "non-dropping-particle" : "", "parse-names" : false, "suffix" : "" } ], "container-title" : "Annual review of Cellular Biology", "id" : "ITEM-1", "issued" : { "date-parts" : [ [ "1985" ] ] }, "page" : "489-530", "title" : "Biogenesis of peroxisomes", "type" : "article-journal", "volume" : "1" }, "uris" : [ "http://www.mendeley.com/documents/?uuid=aa2f3694-5594-4c1d-9e7f-f1c336b8b615" ] } ], "mendeley" : { "previouslyFormattedCitation" : "(Lazarow &amp; Fujiki 1985)"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(Lazarow &amp; Fujiki 1985)</w:t>
      </w:r>
      <w:r w:rsidR="009A1FEC" w:rsidRPr="0013327C">
        <w:rPr>
          <w:rFonts w:asciiTheme="majorHAnsi" w:hAnsiTheme="majorHAnsi"/>
        </w:rPr>
        <w:fldChar w:fldCharType="end"/>
      </w:r>
      <w:r w:rsidRPr="0013327C">
        <w:rPr>
          <w:rFonts w:asciiTheme="majorHAnsi" w:hAnsiTheme="majorHAnsi"/>
        </w:rPr>
        <w:t>.</w:t>
      </w:r>
    </w:p>
    <w:p w:rsidR="00770986" w:rsidRPr="0013327C" w:rsidRDefault="00770986" w:rsidP="00770986">
      <w:pPr>
        <w:jc w:val="both"/>
        <w:rPr>
          <w:rFonts w:asciiTheme="majorHAnsi" w:hAnsiTheme="majorHAnsi"/>
        </w:rPr>
      </w:pPr>
      <w:r w:rsidRPr="0013327C">
        <w:rPr>
          <w:rFonts w:asciiTheme="majorHAnsi" w:hAnsiTheme="majorHAnsi"/>
        </w:rPr>
        <w:t xml:space="preserve"> While there are other functions peroxisomes perform these generally depend on the organism and tissue type. β-oxidation is the main function in mammalian cells and is the biochemical process by which MCFAs, LCFAs and VLCFAs are reduced in chain length as well as long and very long chain unsaturated fatty acids and dicarboxylic acids. Peroxisomes are also instrumental in bile acid and plasmalogen synthesis. Human peroxisomes are able to convert glyoxylate into its non-toxic metabolite alanine (summarised by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"10.1146/annurev.biochem.74.082803.133329", "abstract" : "In this review, we describe the current state of knowledge about the biochemistry of mammalian peroxisomes, especially human peroxisomes. The identification and characterization of yeast mutants defective either in the biogenesis of peroxisomes or in one of its metabolic functions, notably fatty acid beta-oxidation, combined with the recognition of a group of genetic diseases in man, wherein these processes are also defective, have provided new insights in all aspects of peroxisomes. As a result of these and other studies, the indispensable role of peroxisomes in multiple metabolic pathways has been clarified, and many of the enzymes involved in these pathways have been characterized, purified, and cloned. One aspect of peroxisomes, which has remained ill defined, is the transport of metabolites across the peroxisomal membrane. Although it is clear that mammalian peroxisomes under in vivo conditions are closed structures, which require the active presence of metabolite transporter proteins, much remains to be learned about the permeability properties of mammalian peroxisomes and the role of the four half ATP-binding cassette (ABC) transporters therein.", "author" : [ { "dropping-particle" : "", "family" : "Wanders", "given" : "Ronald J a", "non-dropping-particle" : "", "parse-names" : false, "suffix" : "" }, { "dropping-particle" : "", "family" : "Waterham", "given" : "Hans R", "non-dropping-particle" : "", "parse-names" : false, "suffix" : "" } ], "container-title" : "Annual review of biochemistry", "id" : "ITEM-1", "issued" : { "date-parts" : [ [ "2006", "1" ] ] }, "page" : "295-332", "title" : "Biochemistry of mammalian peroxisomes revisited.", "type" : "article-journal", "volume" : "75" }, "uris" : [ "http://www.mendeley.com/documents/?uuid=abc7f6a7-d0c7-4b2b-af28-e300452344d2" ] } ], "mendeley" : { "manualFormatting" : "Wanders &amp; Waterham, 2006)", "previouslyFormattedCitation" : "(Wanders &amp; Waterham 2006)"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Wanders &amp; Waterham, 2006)</w:t>
      </w:r>
      <w:r w:rsidR="009A1FEC" w:rsidRPr="0013327C">
        <w:rPr>
          <w:rFonts w:asciiTheme="majorHAnsi" w:hAnsiTheme="majorHAnsi"/>
        </w:rPr>
        <w:fldChar w:fldCharType="end"/>
      </w:r>
      <w:r w:rsidRPr="0013327C">
        <w:rPr>
          <w:rFonts w:asciiTheme="majorHAnsi" w:hAnsiTheme="majorHAnsi"/>
        </w:rPr>
        <w:t>.</w:t>
      </w:r>
    </w:p>
    <w:p w:rsidR="00770986" w:rsidRPr="0013327C" w:rsidRDefault="00770986" w:rsidP="00770986">
      <w:pPr>
        <w:jc w:val="both"/>
        <w:rPr>
          <w:rFonts w:asciiTheme="majorHAnsi" w:hAnsiTheme="majorHAnsi"/>
        </w:rPr>
      </w:pPr>
      <w:r w:rsidRPr="0013327C">
        <w:rPr>
          <w:rFonts w:asciiTheme="majorHAnsi" w:hAnsiTheme="majorHAnsi"/>
        </w:rPr>
        <w:t xml:space="preserve">Plant peroxisomes differ in a number of types according their function. Glyoxisomes are predominantly found in seedlings where the glyoxylate cycle is present; they contain the enzymes required for these metabolic processes. These are mainly involved in degrading lipid rich cells in seeds which is a vital process in germination. In contrast, leaf cells contain peroxisomes whose enzymes are crucial for photorespiration. Cell signalling is another role played by peroxisomes in plants. Molecules including nitric acid, jasmonate, and indole acetic acid are generated by plant peroxisomal enzymes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"Brown", "given" : "Laura-anne", "non-dropping-particle" : "", "parse-names" : false, "suffix" : "" }, { "dropping-particle" : "", "family" : "Baker", "given" : "Alison", "non-dropping-particle" : "", "parse-names" : false, "suffix" : "" } ], "container-title" : "Journal of Cellular and Molecular Medicine", "id" : "ITEM-1", "issue" : "4", "issued" : { "date-parts" : [ [ "2003" ] ] }, "page" : "388-400", "title" : "Peroxisome biogenesis and the role of protein import", "type" : "article-journal", "volume" : "7" }, "uris" : [ "http://www.mendeley.com/documents/?uuid=3c86f45a-e89e-4475-883e-37627be6ef99" ] } ], "mendeley" : { "previouslyFormattedCitation" : "(Brown &amp; Baker 2003)"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(Brown &amp; Baker 2003)</w:t>
      </w:r>
      <w:r w:rsidR="009A1FEC" w:rsidRPr="0013327C">
        <w:rPr>
          <w:rFonts w:asciiTheme="majorHAnsi" w:hAnsiTheme="majorHAnsi"/>
        </w:rPr>
        <w:fldChar w:fldCharType="end"/>
      </w:r>
      <w:r w:rsidRPr="0013327C">
        <w:rPr>
          <w:rFonts w:asciiTheme="majorHAnsi" w:hAnsiTheme="majorHAnsi"/>
        </w:rPr>
        <w:t>.</w:t>
      </w:r>
    </w:p>
    <w:p w:rsidR="00770986" w:rsidRPr="0013327C" w:rsidRDefault="00770986" w:rsidP="00770986">
      <w:pPr>
        <w:jc w:val="both"/>
        <w:rPr>
          <w:rFonts w:asciiTheme="majorHAnsi" w:hAnsiTheme="majorHAnsi"/>
        </w:rPr>
      </w:pPr>
      <w:proofErr w:type="gramStart"/>
      <w:r w:rsidRPr="0013327C">
        <w:rPr>
          <w:rFonts w:asciiTheme="majorHAnsi" w:hAnsiTheme="majorHAnsi"/>
        </w:rPr>
        <w:lastRenderedPageBreak/>
        <w:t>β-oxidation</w:t>
      </w:r>
      <w:proofErr w:type="gramEnd"/>
      <w:r w:rsidRPr="0013327C">
        <w:rPr>
          <w:rFonts w:asciiTheme="majorHAnsi" w:hAnsiTheme="majorHAnsi"/>
        </w:rPr>
        <w:t xml:space="preserve"> is a</w:t>
      </w:r>
      <w:r>
        <w:rPr>
          <w:rFonts w:asciiTheme="majorHAnsi" w:hAnsiTheme="majorHAnsi"/>
        </w:rPr>
        <w:t xml:space="preserve"> </w:t>
      </w:r>
      <w:r w:rsidRPr="0013327C">
        <w:rPr>
          <w:rFonts w:asciiTheme="majorHAnsi" w:hAnsiTheme="majorHAnsi"/>
        </w:rPr>
        <w:t xml:space="preserve">process that is completely compartmentalised to peroxisomes in yeast cells, while some other catalytic metabolic pathways occur in part in peroxisomes, like those of amino acids and hydrogen peroxide. Some of the metabolic stages of the glyoxylate cycle occur in peroxisomes as well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"Eckert", "given" : "J H", "non-dropping-particle" : "", "parse-names" : false, "suffix" : "" }, { "dropping-particle" : "", "family" : "Erdmann", "given" : "Ralf", "non-dropping-particle" : "", "parse-names" : false, "suffix" : "" } ], "container-title" : "Rev Physiol Biochem Pharmacol", "id" : "ITEM-1", "issued" : { "date-parts" : [ [ "2003" ] ] }, "page" : "75-121", "title" : "Peroxisome Biogenesis", "type" : "article-journal", "volume" : "147" }, "uris" : [ "http://www.mendeley.com/documents/?uuid=67c3b7fc-de08-4ccc-8d55-13ac7c286083" ] } ], "mendeley" : { "manualFormatting" : "(reviewed by Eckert &amp; Erdmann, 2003)", "previouslyFormattedCitation" : "(Eckert &amp; Erdmann 2003)"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(reviewed by Eckert &amp; Erdmann, 2003)</w:t>
      </w:r>
      <w:r w:rsidR="009A1FEC" w:rsidRPr="0013327C">
        <w:rPr>
          <w:rFonts w:asciiTheme="majorHAnsi" w:hAnsiTheme="majorHAnsi"/>
        </w:rPr>
        <w:fldChar w:fldCharType="end"/>
      </w:r>
    </w:p>
    <w:p w:rsidR="00770986" w:rsidRPr="0013327C" w:rsidRDefault="00770986" w:rsidP="00770986">
      <w:pPr>
        <w:jc w:val="both"/>
        <w:rPr>
          <w:rFonts w:asciiTheme="majorHAnsi" w:hAnsiTheme="majorHAnsi"/>
          <w:noProof/>
        </w:rPr>
      </w:pPr>
    </w:p>
    <w:p w:rsidR="00770986" w:rsidRPr="0013327C" w:rsidRDefault="00770986" w:rsidP="00770986">
      <w:pPr>
        <w:pStyle w:val="Heading2"/>
        <w:jc w:val="both"/>
      </w:pPr>
      <w:bookmarkStart w:id="14" w:name="_Toc348423279"/>
      <w:r w:rsidRPr="0013327C">
        <w:t>Peroxisome Biogenesis Disorders (PBDs)</w:t>
      </w:r>
      <w:bookmarkEnd w:id="14"/>
    </w:p>
    <w:p w:rsidR="00770986" w:rsidRPr="0013327C" w:rsidRDefault="00770986" w:rsidP="00770986">
      <w:pPr>
        <w:jc w:val="both"/>
        <w:rPr>
          <w:rFonts w:asciiTheme="majorHAnsi" w:hAnsiTheme="majorHAnsi"/>
          <w:lang w:val="nl-NL"/>
        </w:rPr>
      </w:pPr>
      <w:r w:rsidRPr="0013327C">
        <w:rPr>
          <w:rFonts w:asciiTheme="majorHAnsi" w:hAnsiTheme="majorHAnsi"/>
        </w:rPr>
        <w:t xml:space="preserve">Despite the early identity and classification of peroxisomes their importance in the association of human diseases was more recently determined with the observation that renal and hepatic cells from patients with Zellweger syndrome did not contain peroxisomes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"Goldfischer", "given" : "S", "non-dropping-particle" : "", "parse-names" : false, "suffix" : "" }, { "dropping-particle" : "", "family" : "Moore", "given" : "C L", "non-dropping-particle" : "", "parse-names" : false, "suffix" : "" }, { "dropping-particle" : "", "family" : "Johnson", "given" : "A B", "non-dropping-particle" : "", "parse-names" : false, "suffix" : "" }, { "dropping-particle" : "", "family" : "Spiro", "given" : "A J", "non-dropping-particle" : "", "parse-names" : false, "suffix" : "" }, { "dropping-particle" : "", "family" : "Valsamis", "given" : "M P", "non-dropping-particle" : "", "parse-names" : false, "suffix" : "" }, { "dropping-particle" : "", "family" : "Wisniewski", "given" : "H K", "non-dropping-particle" : "", "parse-names" : false, "suffix" : "" } ], "container-title" : "Science", "id" : "ITEM-1", "issue" : "107", "issued" : { "date-parts" : [ [ "1973" ] ] }, "page" : "62-4", "title" : "Peroxisomal and mitochondrial defects in the cerebro-hepato-renal syndrome", "type" : "article-journal", "volume" : "182" }, "uris" : [ "http://www.mendeley.com/documents/?uuid=90ded4f5-2d69-4e79-8852-0daa067f3582" ] } ], "mendeley" : { "previouslyFormattedCitation" : "(Goldfischer et al. 1973)"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(Goldfischer </w:t>
      </w:r>
      <w:r w:rsidR="00466108" w:rsidRPr="00466108">
        <w:rPr>
          <w:rFonts w:asciiTheme="majorHAnsi" w:hAnsiTheme="majorHAnsi"/>
          <w:i/>
          <w:noProof/>
        </w:rPr>
        <w:t>et al</w:t>
      </w:r>
      <w:r w:rsidRPr="0013327C">
        <w:rPr>
          <w:rFonts w:asciiTheme="majorHAnsi" w:hAnsiTheme="majorHAnsi"/>
          <w:noProof/>
        </w:rPr>
        <w:t>. 1973)</w:t>
      </w:r>
      <w:r w:rsidR="009A1FEC" w:rsidRPr="0013327C">
        <w:rPr>
          <w:rFonts w:asciiTheme="majorHAnsi" w:hAnsiTheme="majorHAnsi"/>
        </w:rPr>
        <w:fldChar w:fldCharType="end"/>
      </w:r>
      <w:r w:rsidRPr="0013327C">
        <w:rPr>
          <w:rFonts w:asciiTheme="majorHAnsi" w:hAnsiTheme="majorHAnsi"/>
        </w:rPr>
        <w:t xml:space="preserve">. Since then two main classes of heritable disease involving whole or partial loss of function of peroxisome associated metabolic pathways have been compiled and studied. The first are the peroxisomal biogenesis disorders and the second, the single peroxisomal enzyme deficiencies, the biochemical principles and clinical presentations of which are reviewed by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"10.1146/annurev.biochem.74.082803.133329", "abstract" : "In this review, we describe the current state of knowledge about the biochemistry of mammalian peroxisomes, especially human peroxisomes. The identification and characterization of yeast mutants defective either in the biogenesis of peroxisomes or in one of its metabolic functions, notably fatty acid beta-oxidation, combined with the recognition of a group of genetic diseases in man, wherein these processes are also defective, have provided new insights in all aspects of peroxisomes. As a result of these and other studies, the indispensable role of peroxisomes in multiple</w:instrText>
      </w:r>
      <w:r w:rsidR="00D72F07" w:rsidRPr="00D93535">
        <w:rPr>
          <w:rFonts w:asciiTheme="majorHAnsi" w:hAnsiTheme="majorHAnsi"/>
        </w:rPr>
        <w:instrText xml:space="preserve"> metabolic pathways has been clarified, and many of the enzymes involved in these pathways have been characterized, purified, and cloned. One aspect of peroxisomes, which has remained ill defined, is the transport of metabolites across the peroxisomal membrane. Although it is clear that mammalian peroxisomes under in vivo conditions are closed structures, which require the active presence of metabolite transporter proteins, much remains to be learned about the permeability properties of mammalian peroxisomes and the role of the four half ATP-binding cassette (ABC) transporters therei</w:instrText>
      </w:r>
      <w:r w:rsidR="00D72F07" w:rsidRPr="00D72F07">
        <w:rPr>
          <w:rFonts w:asciiTheme="majorHAnsi" w:hAnsiTheme="majorHAnsi"/>
          <w:lang w:val="nl-NL"/>
        </w:rPr>
        <w:instrText>n.", "author" : [ { "dropping-particle" : "", "family" : "Wanders", "given" : "Ronald J a", "non-dropping-particle" : "", "parse-names" : false, "suffix" : "" }, { "dropping-particle" : "", "family" : "Waterham", "given" : "Hans R", "non-dropping-particle" : "", "parse-names" : false, "suffix" : "" } ], "container-title" : "Annual review of biochemistry", "id" : "ITEM-1", "issued" : { "date-parts" : [ [ "2006", "1" ] ] }, "page" : "295-332", "title" : "Biochemistry of mammalian peroxisomes revisited.", "type" : "article-journal", "volume" : "75" }, "uris" : [ "http://www.mendeley.com/documents/?uuid=abc7f6a7-d0c7-4b2b-af28-e300452344d2" ] } ], "mendeley" : { "manualFormatting" : "Wanders &amp; Waterham, (2006", "previouslyFormattedCitation" : "(Wanders &amp; Waterham 2006)"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lang w:val="nl-NL"/>
        </w:rPr>
        <w:t>Wanders &amp; Waterham, (2006</w:t>
      </w:r>
      <w:r w:rsidR="009A1FEC" w:rsidRPr="0013327C">
        <w:rPr>
          <w:rFonts w:asciiTheme="majorHAnsi" w:hAnsiTheme="majorHAnsi"/>
        </w:rPr>
        <w:fldChar w:fldCharType="end"/>
      </w:r>
      <w:r w:rsidRPr="0013327C">
        <w:rPr>
          <w:rFonts w:asciiTheme="majorHAnsi" w:hAnsiTheme="majorHAnsi"/>
          <w:lang w:val="nl-NL"/>
        </w:rPr>
        <w:t>);</w:t>
      </w:r>
      <w:r w:rsidR="009A1FEC" w:rsidRPr="0013327C">
        <w:rPr>
          <w:rFonts w:asciiTheme="majorHAnsi" w:hAnsiTheme="majorHAnsi"/>
        </w:rPr>
        <w:fldChar w:fldCharType="begin" w:fldLock="1"/>
      </w:r>
      <w:r w:rsidR="00D72F07">
        <w:rPr>
          <w:rFonts w:asciiTheme="majorHAnsi" w:hAnsiTheme="majorHAnsi"/>
          <w:lang w:val="nl-NL"/>
        </w:rPr>
        <w:instrText>ADDIN CSL_CITATION { "citationItems" : [ { "id" : "ITEM-1", "itemData" : { "DOI" : "10.1016/j.bbamcr.2006.09.010", "abstract" : "Defects in PEX genes impair peroxisome assembly and multiple metabolic pathways confined to this organelle, thus providing the biochemical and molecular bases of the peroxisome biogenesis disorders (PBD). PBD are divided into two types--Zellweger syndrome spectrum (ZSS) and rhizomelic chondrodysplasia punctata (RCDP). Biochemical studies performed in blood and urine are used to screen for the PBD. DNA testing is possible for all of the disorders, but is more challenging for the ZSS since 12 PEX genes are known to be associated with this spectrum of PBD. In contrast, PBD-RCDP is associated with defects in the PEX7 gene alone. Studies of the cellular and molecular defects in PBD patients have contributed significantly to our understanding of the role of each PEX gene in peroxisome assembly.", "author" : [ { "dropping-particle" : "", "family" : "Steinberg", "given" : "Steven J", "non-dropping-particle" : "", "parse-names" : false, "suffix" : "" }, { "dropping-particle" : "", "family" : "Dodt", "given" : "Gabriele", "non-dropping-particle" : "", "parse-names" : false, "suffix" : "" }, { "dropping-particle" : "V", "family" : "Raymond", "given" : "Gerald", "non-dropping-particle" : "", "parse-names" : false, "suffix" : "" }, { "dropping-particle" : "", "family" : "Braverman", "given" : "Nancy E", "non-dropping-particle" : "", "parse-names" : false, "suffix" : "" }, { "dropping-particle" : "", "family" : "Moser", "given" : "Ann B", "non-dropping-particle" : "", "parse-names" : false, "suffix" : "" }, { "dropping-particle" : "", "family" : "Moser", "given" : "Hugo W", "non-dropping-particle" : "", "parse-names" : false, "suffix" : "" } ], "container-title" : "Biochimica et biophysica acta", "id" : "ITEM-1", "issue" : "12", "issued" : { "date-parts" : [ [ "2006", "12" ] ] }, "page" : "1733-48", "title" : "Peroxisome biogenesis disorders.", "type" : "article-journal", "volume" : "1763" }, "uris" : [ "http://www.mendeley.com/documents/?uuid=29350a08-c3a5-46eb-b6cb-45d492bf0cae" ] } ], "mendeley" : { "manualFormatting" : " and Steinberg et al., (2006)", "previouslyFormattedCitation" : "(Steinberg et al. 2006)"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lang w:val="nl-NL"/>
        </w:rPr>
        <w:t xml:space="preserve"> and Steinberg </w:t>
      </w:r>
      <w:r w:rsidR="00466108" w:rsidRPr="00466108">
        <w:rPr>
          <w:rFonts w:asciiTheme="majorHAnsi" w:hAnsiTheme="majorHAnsi"/>
          <w:i/>
          <w:noProof/>
          <w:lang w:val="nl-NL"/>
        </w:rPr>
        <w:t>et al</w:t>
      </w:r>
      <w:r w:rsidRPr="0013327C">
        <w:rPr>
          <w:rFonts w:asciiTheme="majorHAnsi" w:hAnsiTheme="majorHAnsi"/>
          <w:noProof/>
          <w:lang w:val="nl-NL"/>
        </w:rPr>
        <w:t>., (2006)</w:t>
      </w:r>
      <w:r w:rsidR="009A1FEC" w:rsidRPr="0013327C">
        <w:rPr>
          <w:rFonts w:asciiTheme="majorHAnsi" w:hAnsiTheme="majorHAnsi"/>
        </w:rPr>
        <w:fldChar w:fldCharType="end"/>
      </w:r>
      <w:r w:rsidRPr="0013327C">
        <w:rPr>
          <w:rFonts w:asciiTheme="majorHAnsi" w:hAnsiTheme="majorHAnsi"/>
          <w:lang w:val="nl-NL"/>
        </w:rPr>
        <w:t xml:space="preserve"> and </w:t>
      </w:r>
      <w:r w:rsidR="009A1FEC" w:rsidRPr="0013327C">
        <w:rPr>
          <w:rFonts w:asciiTheme="majorHAnsi" w:hAnsiTheme="majorHAnsi"/>
        </w:rPr>
        <w:fldChar w:fldCharType="begin" w:fldLock="1"/>
      </w:r>
      <w:r w:rsidR="00D72F07">
        <w:rPr>
          <w:rFonts w:asciiTheme="majorHAnsi" w:hAnsiTheme="majorHAnsi"/>
          <w:lang w:val="nl-NL"/>
        </w:rPr>
        <w:instrText>ADDIN CSL_CITATION { "citationItems" : [ { "id" : "ITEM-1", "itemData" : { "DOI" : "10.1016/j.bbadis.2012.04.006", "author" : [ { "dropping-particle" : "", "family" : "Waterham", "given" : "Hans R.", "non-dropping-particle" : "", "parse-names" : false, "suffix" : "" }, { "dropping-particle" : "", "family" : "Ebberink", "given" : "Merel S.", "non-dropping-particle" : "", "parse-names" : false, "suffix" : "" } ], "container-title" : "Biochimica et Biophysica Acta (BBA) - Molecular Basis of Disease", "id" : "ITEM-1", "issue" : "9", "issued" : { "date-parts" : [ [ "2012", "9" ] ] }, "page" : "1430-1441", "publisher" : "Elsevier B.V.", "title" : "Genetics and molecular basis of human peroxisome biogenesis disorders", "type" : "article-journal", "volume" : "1822" }, "uris" : [ "http://www.mendeley.com/documents/?uuid=c27996a1-2818-4898-ad2a-1f5d3dfa57d3" ] } ], "mendeley" : { "manualFormatting" : "Waterham &amp; Ebberink, (2012", "previouslyFormattedCitation" : "(Waterham &amp; Ebberink 2012)"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lang w:val="nl-NL"/>
        </w:rPr>
        <w:t>Waterham &amp; Ebberink, (2012</w:t>
      </w:r>
      <w:r w:rsidR="009A1FEC" w:rsidRPr="0013327C">
        <w:rPr>
          <w:rFonts w:asciiTheme="majorHAnsi" w:hAnsiTheme="majorHAnsi"/>
        </w:rPr>
        <w:fldChar w:fldCharType="end"/>
      </w:r>
      <w:r w:rsidRPr="0013327C">
        <w:rPr>
          <w:rFonts w:asciiTheme="majorHAnsi" w:hAnsiTheme="majorHAnsi"/>
          <w:lang w:val="nl-NL"/>
        </w:rPr>
        <w:t>).</w:t>
      </w:r>
    </w:p>
    <w:p w:rsidR="00770986" w:rsidRPr="0013327C" w:rsidRDefault="00770986" w:rsidP="00770986">
      <w:pPr>
        <w:jc w:val="both"/>
        <w:rPr>
          <w:rFonts w:asciiTheme="majorHAnsi" w:hAnsiTheme="majorHAnsi"/>
          <w:lang w:val="nl-NL"/>
        </w:rPr>
      </w:pPr>
    </w:p>
    <w:p w:rsidR="00770986" w:rsidRPr="0013327C" w:rsidRDefault="00770986" w:rsidP="00770986">
      <w:pPr>
        <w:jc w:val="both"/>
        <w:rPr>
          <w:rFonts w:asciiTheme="majorHAnsi" w:hAnsiTheme="majorHAnsi"/>
        </w:rPr>
      </w:pPr>
      <w:r w:rsidRPr="00D93535">
        <w:rPr>
          <w:rFonts w:asciiTheme="majorHAnsi" w:hAnsiTheme="majorHAnsi"/>
        </w:rPr>
        <w:t xml:space="preserve">Peroxisomal biogenesis disorders (PBDs) are by far the most profoundly severe of the peroxisome associated diseases. </w:t>
      </w:r>
      <w:r w:rsidRPr="0013327C">
        <w:rPr>
          <w:rFonts w:asciiTheme="majorHAnsi" w:hAnsiTheme="majorHAnsi"/>
        </w:rPr>
        <w:t>They present with defects ranging across complete loss of multiple peroxisomal metabolic functions and are characterised either by the loss of peroxisomal matrix protein import or the loss of peroxisomes themselves. There are four different autosomal recessive disorders: Zellweger syndrome (ZS), neonatal adrenoleukodystrophy (NALD) Infantile Refsum disease (IRD) and rhizomelic chondrodysplasia punctata (RCDP). Mutations that are responsible for the diseases have been mapped to 14 different genes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"10.1016/j.bbadis.2012.04.006", "author" : [ { "dropping-particle" : "", "family" : "Waterham", "given" : "Hans R.", "non-dropping-particle" : "", "parse-names" : false, "suffix" : "" }, { "dropping-particle" : "", "family" : "Ebberink", "given" : "Merel S.", "non-dropping-particle" : "", "parse-names" : false, "suffix" : "" } ], "container-title" : "Biochimica et Biophysica Acta (BBA) - Molecular Basis of Disease", "id" : "ITEM-1", "issue" : "9", "issued" : { "date-parts" : [ [ "2012", "9" ] ] }, "page" : "1430-1441", "publisher" : "Elsevier B.V.", "title" : "Genetics and molecular basis of human peroxisome biogenesis disorders", "type" : "article-journal", "volume" : "1822" }, "uris" : [ "http://www.mendeley.com/documents/?uuid=c27996a1-2818-4898-ad2a-1f5d3dfa57d3" ] } ], "mendeley" : { "manualFormatting" : "Waterham &amp; Ebberink, 2012", "previouslyFormattedCitation" : "(Waterham &amp; Ebberink 2012)"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Waterham &amp; Ebberink, 2012</w:t>
      </w:r>
      <w:r w:rsidR="009A1FEC" w:rsidRPr="0013327C">
        <w:rPr>
          <w:rFonts w:asciiTheme="majorHAnsi" w:hAnsiTheme="majorHAnsi"/>
        </w:rPr>
        <w:fldChar w:fldCharType="end"/>
      </w:r>
      <w:r w:rsidRPr="0013327C">
        <w:rPr>
          <w:rFonts w:asciiTheme="majorHAnsi" w:hAnsiTheme="majorHAnsi"/>
        </w:rPr>
        <w:t>). These genes are known as peroxins or peroxisomal biogenesis genes (</w:t>
      </w:r>
      <w:r w:rsidRPr="000C26B2">
        <w:rPr>
          <w:rFonts w:asciiTheme="majorHAnsi" w:hAnsiTheme="majorHAnsi"/>
          <w:i/>
        </w:rPr>
        <w:t>PEX</w:t>
      </w:r>
      <w:r w:rsidRPr="0013327C">
        <w:rPr>
          <w:rFonts w:asciiTheme="majorHAnsi" w:hAnsiTheme="majorHAnsi"/>
        </w:rPr>
        <w:t>)</w:t>
      </w:r>
    </w:p>
    <w:p w:rsidR="00770986" w:rsidRPr="0013327C" w:rsidRDefault="00770986" w:rsidP="00770986">
      <w:pPr>
        <w:pStyle w:val="Heading3"/>
        <w:jc w:val="both"/>
        <w:rPr>
          <w:lang w:val="nl-NL"/>
        </w:rPr>
      </w:pPr>
      <w:bookmarkStart w:id="15" w:name="_Toc348423280"/>
      <w:r w:rsidRPr="0013327C">
        <w:rPr>
          <w:lang w:val="nl-NL"/>
        </w:rPr>
        <w:t>Zellweger Syndrome (ZS) Spectrum Disorders</w:t>
      </w:r>
      <w:bookmarkEnd w:id="15"/>
    </w:p>
    <w:p w:rsidR="00770986" w:rsidRPr="0013327C" w:rsidRDefault="00770986" w:rsidP="00770986">
      <w:pPr>
        <w:jc w:val="both"/>
        <w:rPr>
          <w:rFonts w:asciiTheme="majorHAnsi" w:hAnsiTheme="majorHAnsi"/>
          <w:i/>
        </w:rPr>
      </w:pPr>
      <w:r w:rsidRPr="0013327C">
        <w:rPr>
          <w:rFonts w:asciiTheme="majorHAnsi" w:hAnsiTheme="majorHAnsi"/>
        </w:rPr>
        <w:t xml:space="preserve">Also known as cerebrohepatorenal syndrome, ZS is an autosomal-recessive congenital disease. It is diagnosed in neo-natals and </w:t>
      </w:r>
      <w:r w:rsidRPr="0013327C">
        <w:rPr>
          <w:rFonts w:asciiTheme="majorHAnsi" w:hAnsiTheme="majorHAnsi"/>
          <w:i/>
        </w:rPr>
        <w:t>in utero</w:t>
      </w:r>
      <w:r w:rsidRPr="0013327C">
        <w:rPr>
          <w:rFonts w:asciiTheme="majorHAnsi" w:hAnsiTheme="majorHAnsi"/>
        </w:rPr>
        <w:t xml:space="preserve"> and is a consequence of severely retarded peroxisomal function. It presents with hypotonia and neuropathological defects due to inhibited neuronal migration, craniofacial abnormalities, chondrodysplasia punctata and hepatomegaly. The craniofacial disturbances include high forehead, hypoplastic supraorbital ridges, mid</w:t>
      </w:r>
      <w:r>
        <w:rPr>
          <w:rFonts w:asciiTheme="majorHAnsi" w:hAnsiTheme="majorHAnsi"/>
        </w:rPr>
        <w:t>-</w:t>
      </w:r>
      <w:r w:rsidRPr="0013327C">
        <w:rPr>
          <w:rFonts w:asciiTheme="majorHAnsi" w:hAnsiTheme="majorHAnsi"/>
        </w:rPr>
        <w:t xml:space="preserve">face hypoplasia, epicanthal folds and a large anterior fontanel. Patients experience seizures and have difficulty feeding. </w:t>
      </w:r>
      <w:r w:rsidRPr="0013327C">
        <w:rPr>
          <w:rFonts w:asciiTheme="majorHAnsi" w:hAnsiTheme="majorHAnsi"/>
        </w:rPr>
        <w:lastRenderedPageBreak/>
        <w:t xml:space="preserve">Almost every tissue type is affected due to the near-universal absence of peroxisomes, cysts occur in the kidney, bones undergo a “stippling” appearance and the eyes are profoundly and thoroughly underdeveloped and atrophied showing retinal disease, cataracts, clouding of the cornea and glaucoma. The adrenal glands are also affected displaying accumulations of esterified VLCFAs in the cytoplasm. Patients are most likely to die within the first 12 months </w:t>
      </w:r>
      <w:r w:rsidRPr="0013327C">
        <w:rPr>
          <w:rFonts w:asciiTheme="majorHAnsi" w:hAnsiTheme="majorHAnsi"/>
          <w:i/>
        </w:rPr>
        <w:t xml:space="preserve">post partem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"10.1016/j.bbadis.2012.04.006", "author" : [ { "dropping-particle" : "", "family" : "Waterham", "given" : "Hans R.", "non-dropping-particle" : "", "parse-names" : false, "suffix" : "" }, { "dropping-particle" : "", "family" : "Ebberink", "given" : "Merel S.", "non-dropping-particle" : "", "parse-names" : false, "suffix" : "" } ], "container-title" : "Biochimica et Biophysica Acta (BBA) - Molecular Basis of Disease", "id" : "ITEM-1", "issue" : "9", "issued" : { "date-parts" : [ [ "2012", "9" ] ] }, "page" : "1430-1441", "publisher" : "Elsevier B.V.", "title" : "Genetics and molecular basis of human peroxisome biogenesis disorders", "type" : "article-journal", "volume" : "1822" }, "uris" : [ "http://www.mendeley.com/documents/?uuid=c27996a1-2818-4898-ad2a-1f5d3dfa57d3" ] }, { "id" : "ITEM-2", "itemData" : { "DOI" : "10.1016/j.bbamcr.2006.09.010", "abstract" : "Defects in PEX genes impair peroxisome assembly and multiple metabolic pathways confined to this organelle, thus providing the biochemical and molecular bases of the peroxisome biogenesis disorders (PBD). PBD are divided into two types--Zellweger syndrome spectrum (ZSS) and rhizomelic chondrodysplasia punctata (RCDP). Biochemical studies performed in blood and urine are used to screen for the PBD. DNA testing is possible for all of the disorders, but is more challenging for the ZSS since 12 PEX genes are known to be associated with this spectrum of PBD. In contrast, PBD-RCDP is associated with defects in the PEX7 gene alone. Studies of the cellular and molecular defects in PBD patients have contributed significantly to our understanding of the role of each PEX gene in peroxisome assembly.", "author" : [ { "dropping-particle" : "", "family" : "Steinberg", "given" : "Steven J", "non-dropping-particle" : "", "parse-names" : false, "suffix" : "" }, { "dropping-particle" : "", "family" : "Dodt", "given" : "Gabriele", "non-dropping-particle" : "", "parse-names" : false, "suffix" : "" }, { "dropping-particle" : "V", "family" : "Raymond", "given" : "Gerald", "non-dropping-particle" : "", "parse-names" : false, "suffix" : "" }, { "dropping-particle" : "", "family" : "Braverman", "given" : "Nancy E", "non-dropping-particle" : "", "parse-names" : false, "suffix" : "" }, { "dropping-particle" : "", "family" : "Moser", "given" : "Ann B", "non-dropping-particle" : "", "parse-names" : false, "suffix" : "" }, { "dropping-particle" : "", "family" : "Moser", "given" : "Hugo W", "non-dropping-particle" : "", "parse-names" : false, "suffix" : "" } ], "container-title" : "Biochimica et biophysica acta", "id" : "ITEM-2", "issue" : "12", "issued" : { "date-parts" : [ [ "2006", "12" ] ] }, "page" : "1733-48", "title" : "Peroxisome biogenesis disorders.", "type" : "article-journal", "volume" : "1763" }, "uris" : [ "http://www.mendeley.com/documents/?uuid=29350a08-c3a5-46eb-b6cb-45d492bf0cae" ] } ], "mendeley" : { "manualFormatting" : "(Reviewed by Steinberg et al., 2006; Waterham &amp; Ebberink, 2012)", "previouslyFormattedCitation" : "(Waterham &amp; Ebberink 2012; Steinberg et al. 2006)"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(Reviewed by Steinberg </w:t>
      </w:r>
      <w:r w:rsidR="00466108" w:rsidRPr="00466108">
        <w:rPr>
          <w:rFonts w:asciiTheme="majorHAnsi" w:hAnsiTheme="majorHAnsi"/>
          <w:i/>
          <w:noProof/>
        </w:rPr>
        <w:t>et al</w:t>
      </w:r>
      <w:r w:rsidRPr="0013327C">
        <w:rPr>
          <w:rFonts w:asciiTheme="majorHAnsi" w:hAnsiTheme="majorHAnsi"/>
          <w:noProof/>
        </w:rPr>
        <w:t>., 2006; Waterham &amp; Ebberink, 2012)</w:t>
      </w:r>
      <w:r w:rsidR="009A1FEC" w:rsidRPr="0013327C">
        <w:rPr>
          <w:rFonts w:asciiTheme="majorHAnsi" w:hAnsiTheme="majorHAnsi"/>
        </w:rPr>
        <w:fldChar w:fldCharType="end"/>
      </w:r>
      <w:r w:rsidRPr="0013327C">
        <w:rPr>
          <w:rFonts w:asciiTheme="majorHAnsi" w:hAnsiTheme="majorHAnsi"/>
        </w:rPr>
        <w:t>.</w:t>
      </w:r>
    </w:p>
    <w:p w:rsidR="00770986" w:rsidRPr="0013327C" w:rsidRDefault="00770986" w:rsidP="00770986">
      <w:pPr>
        <w:pStyle w:val="Heading3"/>
        <w:jc w:val="both"/>
      </w:pPr>
      <w:bookmarkStart w:id="16" w:name="_Toc348423281"/>
      <w:r w:rsidRPr="0013327C">
        <w:t>Non-Zellweger presentations of PBDs</w:t>
      </w:r>
      <w:bookmarkEnd w:id="16"/>
    </w:p>
    <w:p w:rsidR="00770986" w:rsidRPr="0013327C" w:rsidRDefault="00770986" w:rsidP="00770986">
      <w:pPr>
        <w:jc w:val="both"/>
        <w:rPr>
          <w:rFonts w:asciiTheme="majorHAnsi" w:hAnsiTheme="majorHAnsi"/>
        </w:rPr>
      </w:pPr>
      <w:r w:rsidRPr="0013327C">
        <w:rPr>
          <w:rFonts w:asciiTheme="majorHAnsi" w:hAnsiTheme="majorHAnsi"/>
        </w:rPr>
        <w:t>Less profound biochemical disturbances in peroxisome biogenesis lead to the presentation of clinically milder phenotypes in patients. While these are named for the presentation of their original biochemical defects they are considered less severe forms of PBD. They typically are fatal later in life, sometimes patients survive to adulthood. These diseases include neonatal adrenoleukodystrophy (NALD), infantile refsum disease (IRD) and hyperpipecolic acidaemia. These diseases fall into a continuous cline of severity within the Zellweger spectrum. Consequently</w:t>
      </w:r>
      <w:r>
        <w:rPr>
          <w:rFonts w:asciiTheme="majorHAnsi" w:hAnsiTheme="majorHAnsi"/>
        </w:rPr>
        <w:t>,</w:t>
      </w:r>
      <w:r w:rsidRPr="0013327C">
        <w:rPr>
          <w:rFonts w:asciiTheme="majorHAnsi" w:hAnsiTheme="majorHAnsi"/>
        </w:rPr>
        <w:t xml:space="preserve"> nominally classifying patients into a disease class gives way in importance to the need to determine the genetic abnormality and therefore its accompanied biochemical consequences to optimise treatment.</w:t>
      </w:r>
    </w:p>
    <w:p w:rsidR="00770986" w:rsidRDefault="00770986" w:rsidP="00770986">
      <w:pPr>
        <w:jc w:val="both"/>
        <w:rPr>
          <w:rFonts w:asciiTheme="majorHAnsi" w:hAnsiTheme="majorHAnsi"/>
        </w:rPr>
      </w:pPr>
      <w:r w:rsidRPr="0013327C">
        <w:rPr>
          <w:rFonts w:asciiTheme="majorHAnsi" w:hAnsiTheme="majorHAnsi"/>
        </w:rPr>
        <w:t>Firstly neurological symptoms vary in severity. Motor systems are affected, and children will function at levels of that below their own age in being able to control their own body; controlled head movement, speech, unsupported walking and sitting are examples. Sensorineural deafness is more commonly diagnosed in these patients due to better prognosis of neonatal survival. The organ and skeletal ZS symptoms mentioned above also present in less severe fashion though are likely to deteriorate with age as childhood and adolescent development become impaired. Renal and hepatic pathologies are likely to progress, and neurological degeneration will lead to the loss of motor and cognitive function and ultimately premature death.</w:t>
      </w:r>
      <w:r w:rsidR="00427735">
        <w:rPr>
          <w:rFonts w:asciiTheme="majorHAnsi" w:hAnsiTheme="majorHAnsi"/>
        </w:rPr>
        <w:t xml:space="preserve"> </w:t>
      </w:r>
    </w:p>
    <w:p w:rsidR="00427735" w:rsidRPr="0013327C" w:rsidRDefault="00427735" w:rsidP="00770986">
      <w:pPr>
        <w:jc w:val="both"/>
        <w:rPr>
          <w:rFonts w:asciiTheme="majorHAnsi" w:hAnsiTheme="majorHAnsi"/>
        </w:rPr>
      </w:pPr>
      <w:r>
        <w:rPr>
          <w:rFonts w:asciiTheme="majorHAnsi" w:hAnsiTheme="majorHAnsi"/>
        </w:rPr>
        <w:t>A list of known peroxins is given in Table 1.1 together with their associated clinical phenotype and the function of the protein.</w:t>
      </w:r>
    </w:p>
    <w:p w:rsidR="00770986" w:rsidRPr="0013327C" w:rsidRDefault="00FD4EE3" w:rsidP="00770986">
      <w:pPr>
        <w:pStyle w:val="Heading3"/>
        <w:numPr>
          <w:ilvl w:val="0"/>
          <w:numId w:val="0"/>
        </w:numPr>
        <w:jc w:val="both"/>
      </w:pPr>
      <w:r>
        <w:rPr>
          <w:noProof/>
          <w:lang w:eastAsia="en-GB"/>
        </w:rPr>
        <w:lastRenderedPageBreak/>
        <w:drawing>
          <wp:inline distT="0" distB="0" distL="0" distR="0">
            <wp:extent cx="5313690" cy="4485736"/>
            <wp:effectExtent l="0" t="0" r="0" b="0"/>
            <wp:docPr id="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313756" cy="4485792"/>
                    </a:xfrm>
                    <a:prstGeom prst="rect">
                      <a:avLst/>
                    </a:prstGeom>
                    <a:noFill/>
                  </pic:spPr>
                </pic:pic>
              </a:graphicData>
            </a:graphic>
          </wp:inline>
        </w:drawing>
      </w:r>
    </w:p>
    <w:p w:rsidR="00770986" w:rsidRPr="0013327C" w:rsidRDefault="00264968" w:rsidP="00770986">
      <w:pPr>
        <w:jc w:val="both"/>
        <w:rPr>
          <w:rFonts w:asciiTheme="majorHAnsi" w:hAnsiTheme="majorHAnsi"/>
          <w:b/>
        </w:rPr>
      </w:pPr>
      <w:proofErr w:type="gramStart"/>
      <w:r>
        <w:rPr>
          <w:rFonts w:asciiTheme="majorHAnsi" w:hAnsiTheme="majorHAnsi"/>
          <w:b/>
        </w:rPr>
        <w:t>Table 1.1</w:t>
      </w:r>
      <w:r w:rsidR="00770986" w:rsidRPr="0013327C">
        <w:rPr>
          <w:rFonts w:asciiTheme="majorHAnsi" w:hAnsiTheme="majorHAnsi"/>
          <w:b/>
        </w:rPr>
        <w:t>.</w:t>
      </w:r>
      <w:proofErr w:type="gramEnd"/>
      <w:r w:rsidR="00770986" w:rsidRPr="0013327C">
        <w:rPr>
          <w:rFonts w:asciiTheme="majorHAnsi" w:hAnsiTheme="majorHAnsi"/>
          <w:b/>
        </w:rPr>
        <w:t xml:space="preserve"> </w:t>
      </w:r>
      <w:proofErr w:type="gramStart"/>
      <w:r w:rsidR="00770986" w:rsidRPr="0013327C">
        <w:rPr>
          <w:rFonts w:asciiTheme="majorHAnsi" w:hAnsiTheme="majorHAnsi"/>
          <w:b/>
        </w:rPr>
        <w:t xml:space="preserve">A list of known human </w:t>
      </w:r>
      <w:r w:rsidR="00770986" w:rsidRPr="000C26B2">
        <w:rPr>
          <w:rFonts w:asciiTheme="majorHAnsi" w:hAnsiTheme="majorHAnsi"/>
          <w:b/>
          <w:i/>
        </w:rPr>
        <w:t>PEX</w:t>
      </w:r>
      <w:r w:rsidR="00770986" w:rsidRPr="0013327C">
        <w:rPr>
          <w:rFonts w:asciiTheme="majorHAnsi" w:hAnsiTheme="majorHAnsi"/>
          <w:b/>
        </w:rPr>
        <w:t xml:space="preserve"> genes in </w:t>
      </w:r>
      <w:r w:rsidR="00770986" w:rsidRPr="0013327C">
        <w:rPr>
          <w:rFonts w:asciiTheme="majorHAnsi" w:hAnsiTheme="majorHAnsi"/>
          <w:b/>
          <w:i/>
        </w:rPr>
        <w:t xml:space="preserve">H. Sapiens </w:t>
      </w:r>
      <w:r w:rsidR="00770986" w:rsidRPr="0013327C">
        <w:rPr>
          <w:rFonts w:asciiTheme="majorHAnsi" w:hAnsiTheme="majorHAnsi"/>
          <w:b/>
        </w:rPr>
        <w:t>and their</w:t>
      </w:r>
      <w:r w:rsidR="00770986" w:rsidRPr="0013327C">
        <w:rPr>
          <w:rFonts w:asciiTheme="majorHAnsi" w:hAnsiTheme="majorHAnsi"/>
          <w:b/>
          <w:i/>
        </w:rPr>
        <w:t xml:space="preserve"> </w:t>
      </w:r>
      <w:r w:rsidR="00770986" w:rsidRPr="0013327C">
        <w:rPr>
          <w:rFonts w:asciiTheme="majorHAnsi" w:hAnsiTheme="majorHAnsi"/>
          <w:b/>
        </w:rPr>
        <w:t>clinical PBD phenotype.</w:t>
      </w:r>
      <w:proofErr w:type="gramEnd"/>
    </w:p>
    <w:p w:rsidR="00770986" w:rsidRPr="0013327C" w:rsidRDefault="00770986" w:rsidP="00770986">
      <w:pPr>
        <w:pStyle w:val="Heading3"/>
        <w:jc w:val="both"/>
      </w:pPr>
      <w:bookmarkStart w:id="17" w:name="_Toc348423282"/>
      <w:r w:rsidRPr="0013327C">
        <w:t>Rhizomelic chondrodysplasia punctate (RCDP)</w:t>
      </w:r>
      <w:bookmarkEnd w:id="17"/>
    </w:p>
    <w:p w:rsidR="00770986" w:rsidRPr="0013327C" w:rsidRDefault="00770986" w:rsidP="00770986">
      <w:pPr>
        <w:jc w:val="both"/>
        <w:rPr>
          <w:rFonts w:asciiTheme="majorHAnsi" w:hAnsiTheme="majorHAnsi"/>
        </w:rPr>
      </w:pPr>
      <w:r w:rsidRPr="0013327C">
        <w:rPr>
          <w:rFonts w:asciiTheme="majorHAnsi" w:hAnsiTheme="majorHAnsi"/>
        </w:rPr>
        <w:t xml:space="preserve">A distinct clinical presentation of PBDs is rhizomelic chondrodysplasia punctate. Named for its anomalies in long bone development, the eponymous presentation is of shortened proximal long bones (rhizomelia) and epiphyseal stippling (chondrodysplasia punctata) accompanied by vertebral coronal clefts and metaphyseal cupping. Ichthyosis is a possible development, while facial and eye disfiguration and cerebral atrophy is also present. Neuronal migration defects in the midbrain and errors in axonal myelination also occur. While some children may survive to adulthood morbidly fatal respiratory complications are most likely to cause infantile death, accompanied with seizure disorders. Its only known cause presently is loss of function of the PTS2 receptor </w:t>
      </w:r>
      <w:r w:rsidRPr="000C26B2">
        <w:rPr>
          <w:rFonts w:asciiTheme="majorHAnsi" w:hAnsiTheme="majorHAnsi"/>
          <w:i/>
        </w:rPr>
        <w:t>PEX</w:t>
      </w:r>
      <w:r w:rsidRPr="0013327C">
        <w:rPr>
          <w:rFonts w:asciiTheme="majorHAnsi" w:hAnsiTheme="majorHAnsi"/>
        </w:rPr>
        <w:t xml:space="preserve">7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"10.1016/j.bbadis.2012.04.006", "author" : [ { "dropping-particle" : "", "family" : "Waterham", "given" : "Hans R.", "non-dropping-particle" : "", "parse-names" : false, "suffix" : "" }, { "dropping-particle" : "", "family" : "Ebberink", "given" : "Merel S.", "non-dropping-particle" : "", "parse-names" : false, "suffix" : "" } ], "container-title" : "Biochimica et Biophysica Acta (BBA) - Molecular Basis of Disease", "id" : "ITEM-1", "issue" : "9", "issued" : { "date-parts" : [ [ "2012", "9" ] ] }, "page" : "1430-1441", "publisher" : "Elsevier B.V.", "title" : "Genetics and molecular basis of human peroxisome biogenesis disorders", "type" : "article-journal", "volume" : "1822" }, "uris" : [ "http://www.mendeley.com/documents/?uuid=c27996a1-2818-4898-ad2a-1f5d3dfa57d3" ] }, { "id" : "ITEM-2", "itemData" : { "DOI" : "10.1016/j.bbamcr.2006.09.010", "abstract" : "Defects in PEX genes impair peroxisome assembly and multiple metabolic pathways confined to this organelle, thus providing the biochemical and molecular bases of the peroxisome biogenesis disorders (PBD). PBD are divided into two types--Zellweger syndrome spectrum (ZSS) and rhizomelic chondrodysplasia punctata (RCDP). Biochemical studies performed in blood and urine are used to screen for the PBD. DNA testing is possible for all of the disorders, but is more challenging for the ZSS since 12 PEX genes are known to be associated with this spectrum of PBD. In contrast, PBD-RCDP is associated with defects in the PEX7 gene alone. Studies of the cellular and molecular defects in PBD patients have contributed significantly to our understanding of the role of each PEX gene in peroxisome assembly.", "author" : [ { "dropping-particle" : "", "family" : "Steinberg", "given" : "Steven J", "non-dropping-particle" : "", "parse-names" : false, "suffix" : "" }, { "dropping-particle" : "", "family" : "Dodt", "given" : "Gabriele", "non-dropping-particle" : "", "parse-names" : false, "suffix" : "" }, { "dropping-particle" : "V", "family" : "Raymond", "given" : "Gerald", "non-dropping-particle" : "", "parse-names" : false, "suffix" : "" }, { "dropping-particle" : "", "family" : "Braverman", "given" : "Nancy E", "non-dropping-particle" : "", "parse-names" : false, "suffix" : "" }, { "dropping-particle" : "", "family" : "Moser", "given" : "Ann B", "non-dropping-particle" : "", "parse-names" : false, "suffix" : "" }, { "dropping-particle" : "", "family" : "Moser", "given" : "Hugo W", "non-dropping-particle" : "", "parse-names" : false, "suffix" : "" } ], "container-title" : "Biochimica et biophysica acta", "id" : "ITEM-2", "issue" : "12", "issued" : { "date-parts" : [ [ "2006", "12" ] ] }, "page" : "1733-48", "title" : "Peroxisome biogenesis disorders.", "type" : "article-journal", "volume" : "1763" }, "uris" : [ "http://www.mendeley.com/documents/?uuid=29350a08-c3a5-46eb-b6cb-45d492bf0cae" ] } ], "mendeley" : { "manualFormatting" : "(Reviewed by Steinberg et al., 2006; Waterham &amp; Ebberink, 2012)", "previouslyFormattedCitation" : "(Waterham &amp; Ebberink 2012; Steinberg et al. 2006)"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(Reviewed by Steinberg </w:t>
      </w:r>
      <w:r w:rsidR="00466108" w:rsidRPr="00466108">
        <w:rPr>
          <w:rFonts w:asciiTheme="majorHAnsi" w:hAnsiTheme="majorHAnsi"/>
          <w:i/>
          <w:noProof/>
        </w:rPr>
        <w:t>et al</w:t>
      </w:r>
      <w:r w:rsidRPr="0013327C">
        <w:rPr>
          <w:rFonts w:asciiTheme="majorHAnsi" w:hAnsiTheme="majorHAnsi"/>
          <w:noProof/>
        </w:rPr>
        <w:t>., 2006; Waterham &amp; Ebberink, 2012)</w:t>
      </w:r>
      <w:r w:rsidR="009A1FEC" w:rsidRPr="0013327C">
        <w:rPr>
          <w:rFonts w:asciiTheme="majorHAnsi" w:hAnsiTheme="majorHAnsi"/>
        </w:rPr>
        <w:fldChar w:fldCharType="end"/>
      </w:r>
      <w:r w:rsidRPr="0013327C">
        <w:rPr>
          <w:rFonts w:asciiTheme="majorHAnsi" w:hAnsiTheme="majorHAnsi"/>
        </w:rPr>
        <w:t>.</w:t>
      </w:r>
    </w:p>
    <w:p w:rsidR="00770986" w:rsidRPr="0013327C" w:rsidRDefault="00770986" w:rsidP="00770986">
      <w:pPr>
        <w:pStyle w:val="Heading3"/>
        <w:jc w:val="both"/>
      </w:pPr>
      <w:bookmarkStart w:id="18" w:name="_Toc348423283"/>
      <w:r w:rsidRPr="0013327C">
        <w:lastRenderedPageBreak/>
        <w:t>Complementation groups</w:t>
      </w:r>
      <w:bookmarkEnd w:id="18"/>
    </w:p>
    <w:p w:rsidR="00770986" w:rsidRPr="0013327C" w:rsidRDefault="00770986" w:rsidP="00770986">
      <w:pPr>
        <w:jc w:val="both"/>
        <w:rPr>
          <w:rFonts w:asciiTheme="majorHAnsi" w:hAnsiTheme="majorHAnsi"/>
        </w:rPr>
      </w:pPr>
      <w:r w:rsidRPr="0013327C">
        <w:rPr>
          <w:rFonts w:asciiTheme="majorHAnsi" w:hAnsiTheme="majorHAnsi"/>
        </w:rPr>
        <w:t xml:space="preserve">Summarised by Steinberg </w:t>
      </w:r>
      <w:r w:rsidR="00466108" w:rsidRPr="00466108">
        <w:rPr>
          <w:rFonts w:asciiTheme="majorHAnsi" w:hAnsiTheme="majorHAnsi"/>
          <w:i/>
        </w:rPr>
        <w:t>et al</w:t>
      </w:r>
      <w:r w:rsidRPr="0013327C">
        <w:rPr>
          <w:rFonts w:asciiTheme="majorHAnsi" w:hAnsiTheme="majorHAnsi"/>
        </w:rPr>
        <w:t xml:space="preserve"> (2006) 14 complementation groups (CGs) had been identified in </w:t>
      </w:r>
      <w:r w:rsidRPr="000C26B2">
        <w:rPr>
          <w:rFonts w:asciiTheme="majorHAnsi" w:hAnsiTheme="majorHAnsi"/>
          <w:i/>
        </w:rPr>
        <w:t>PEX</w:t>
      </w:r>
      <w:r w:rsidRPr="0013327C">
        <w:rPr>
          <w:rFonts w:asciiTheme="majorHAnsi" w:hAnsiTheme="majorHAnsi"/>
        </w:rPr>
        <w:t xml:space="preserve"> genes, collected from three research groups in Amsterdam, Baltimore and Gifu. Each one typically is caused by mutations in one </w:t>
      </w:r>
      <w:r w:rsidRPr="000C26B2">
        <w:rPr>
          <w:rFonts w:asciiTheme="majorHAnsi" w:hAnsiTheme="majorHAnsi"/>
          <w:i/>
        </w:rPr>
        <w:t>PEX</w:t>
      </w:r>
      <w:r w:rsidRPr="0013327C">
        <w:rPr>
          <w:rFonts w:asciiTheme="majorHAnsi" w:hAnsiTheme="majorHAnsi"/>
        </w:rPr>
        <w:t xml:space="preserve"> gene though some </w:t>
      </w:r>
      <w:r w:rsidRPr="000C26B2">
        <w:rPr>
          <w:rFonts w:asciiTheme="majorHAnsi" w:hAnsiTheme="majorHAnsi"/>
          <w:i/>
        </w:rPr>
        <w:t>PEX</w:t>
      </w:r>
      <w:r w:rsidRPr="0013327C">
        <w:rPr>
          <w:rFonts w:asciiTheme="majorHAnsi" w:hAnsiTheme="majorHAnsi"/>
        </w:rPr>
        <w:t xml:space="preserve"> genes affect more than one CG but with different alleles. The mutant alleles of the most common PBD-causing </w:t>
      </w:r>
      <w:r w:rsidRPr="000C26B2">
        <w:rPr>
          <w:rFonts w:asciiTheme="majorHAnsi" w:hAnsiTheme="majorHAnsi"/>
          <w:i/>
        </w:rPr>
        <w:t>PEX</w:t>
      </w:r>
      <w:r w:rsidRPr="0013327C">
        <w:rPr>
          <w:rFonts w:asciiTheme="majorHAnsi" w:hAnsiTheme="majorHAnsi"/>
        </w:rPr>
        <w:t xml:space="preserve"> gene are of </w:t>
      </w:r>
      <w:r w:rsidRPr="000C26B2">
        <w:rPr>
          <w:rFonts w:asciiTheme="majorHAnsi" w:hAnsiTheme="majorHAnsi"/>
          <w:i/>
        </w:rPr>
        <w:t>PEX</w:t>
      </w:r>
      <w:r w:rsidRPr="0013327C">
        <w:rPr>
          <w:rFonts w:asciiTheme="majorHAnsi" w:hAnsiTheme="majorHAnsi"/>
        </w:rPr>
        <w:t xml:space="preserve">1, responsible for approximately 59% of clinical phenotypes of ZS, NALD and IRD with </w:t>
      </w:r>
      <w:r w:rsidRPr="000C26B2">
        <w:rPr>
          <w:rFonts w:asciiTheme="majorHAnsi" w:hAnsiTheme="majorHAnsi"/>
          <w:i/>
        </w:rPr>
        <w:t>PEX</w:t>
      </w:r>
      <w:r w:rsidRPr="0013327C">
        <w:rPr>
          <w:rFonts w:asciiTheme="majorHAnsi" w:hAnsiTheme="majorHAnsi"/>
        </w:rPr>
        <w:t xml:space="preserve">6 responsible for 16% of cases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"10.1016/j.bbadis.2012.04.006", "author" : [ { "dropping-particle" : "", "family" : "Waterham", "given" : "Hans R.", "non-dropping-particle" : "", "parse-names" : false, "suffix" : "" }, { "dropping-particle" : "", "family" : "Ebberink", "given" : "Merel S.", "non-dropping-particle" : "", "parse-names" : false, "suffix" : "" } ], "container-title" : "Biochimica et Biophysica Acta (BBA) - Molecular Basis of Disease", "id" : "ITEM-1", "issue" : "9", "issued" : { "date-parts" : [ [ "2012", "9" ] ] }, "page" : "1430-1441", "publisher" : "Elsevier B.V.", "title" : "Genetics and molecular basis of human peroxisome biogenesis disorders", "type" : "article-journal", "volume" : "1822" }, "uris" : [ "http://www.mendeley.com/documents/?uuid=c27996a1-2818-4898-ad2a-1f5d3dfa57d3" ] } ], "mendeley" : { "previouslyFormattedCitation" : "(Waterham &amp; Ebberink 2012)"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(Waterham &amp; Ebberink 2012)</w:t>
      </w:r>
      <w:r w:rsidR="009A1FEC" w:rsidRPr="0013327C">
        <w:rPr>
          <w:rFonts w:asciiTheme="majorHAnsi" w:hAnsiTheme="majorHAnsi"/>
        </w:rPr>
        <w:fldChar w:fldCharType="end"/>
      </w:r>
      <w:r w:rsidRPr="0013327C">
        <w:rPr>
          <w:rFonts w:asciiTheme="majorHAnsi" w:hAnsiTheme="majorHAnsi"/>
        </w:rPr>
        <w:t xml:space="preserve">. </w:t>
      </w:r>
    </w:p>
    <w:p w:rsidR="00770986" w:rsidRPr="0013327C" w:rsidRDefault="00770986" w:rsidP="00770986">
      <w:pPr>
        <w:pStyle w:val="Heading2"/>
        <w:jc w:val="both"/>
      </w:pPr>
      <w:bookmarkStart w:id="19" w:name="_Toc348423284"/>
      <w:r w:rsidRPr="0013327C">
        <w:t>Peroxisome Biogenesis Genes (Peroxins/</w:t>
      </w:r>
      <w:r w:rsidRPr="000C26B2">
        <w:rPr>
          <w:i/>
        </w:rPr>
        <w:t>PEX</w:t>
      </w:r>
      <w:r w:rsidRPr="0013327C">
        <w:t xml:space="preserve"> genes)</w:t>
      </w:r>
      <w:bookmarkEnd w:id="19"/>
    </w:p>
    <w:p w:rsidR="00770986" w:rsidRPr="0013327C" w:rsidRDefault="00770986" w:rsidP="00770986">
      <w:pPr>
        <w:jc w:val="both"/>
        <w:rPr>
          <w:rFonts w:asciiTheme="majorHAnsi" w:hAnsiTheme="majorHAnsi"/>
          <w:lang w:val="nl-NL"/>
        </w:rPr>
      </w:pPr>
      <w:r w:rsidRPr="0013327C">
        <w:rPr>
          <w:rFonts w:asciiTheme="majorHAnsi" w:hAnsiTheme="majorHAnsi"/>
        </w:rPr>
        <w:t xml:space="preserve">Research into peroxisome biogenesis was instigated with the discovery that </w:t>
      </w:r>
      <w:r w:rsidRPr="0013327C">
        <w:rPr>
          <w:rFonts w:asciiTheme="majorHAnsi" w:hAnsiTheme="majorHAnsi"/>
          <w:i/>
        </w:rPr>
        <w:t>Saccharomyces cerevisiae</w:t>
      </w:r>
      <w:r w:rsidRPr="0013327C">
        <w:rPr>
          <w:rFonts w:asciiTheme="majorHAnsi" w:hAnsiTheme="majorHAnsi"/>
        </w:rPr>
        <w:t xml:space="preserve"> cells grown on oleic acid had greatly increased peroxisome numbers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"Veenhuis", "given" : "Marten", "non-dropping-particle" : "", "parse-names" : false, "suffix" : "" }, { "dropping-particle" : "", "family" : "Mateblowski", "given" : "M", "non-dropping-particle" : "", "parse-names" : false, "suffix" : "" }, { "dropping-particle" : "", "family" : "Kunau", "given" : "W H", "non-dropping-particle" : "", "parse-names" : false, "suffix" : "" }, { "dropping-particle" : "", "family" : "Harder", "given" : "H", "non-dropping-particle" : "", "parse-names" : false, "suffix" : "" } ], "container-title" : "Yeast", "id" : "ITEM-1", "issue" : "2", "issued" : { "date-parts" : [ [ "1987" ] ] }, "page" : "77-84", "title" : "Proliferation of microbodies in Saccharomyces cerevisiae", "type" : "article-journal", "volume" : "3" }, "uris" : [ "http://www.mendeley.com/documents/?uuid=0d4b5693-6786-44de-99c9-bdf2467681b7" ] } ], "mendeley" : { "manualFormatting" : "(Veenhuis et al., 1987)", "previouslyFormattedCitation" : "(Veenhuis et al. 1987)"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(Veenhuis </w:t>
      </w:r>
      <w:r w:rsidR="00466108" w:rsidRPr="00466108">
        <w:rPr>
          <w:rFonts w:asciiTheme="majorHAnsi" w:hAnsiTheme="majorHAnsi"/>
          <w:i/>
          <w:noProof/>
        </w:rPr>
        <w:t>et al</w:t>
      </w:r>
      <w:r w:rsidRPr="0013327C">
        <w:rPr>
          <w:rFonts w:asciiTheme="majorHAnsi" w:hAnsiTheme="majorHAnsi"/>
          <w:i/>
          <w:noProof/>
        </w:rPr>
        <w:t>.</w:t>
      </w:r>
      <w:r w:rsidRPr="0013327C">
        <w:rPr>
          <w:rFonts w:asciiTheme="majorHAnsi" w:hAnsiTheme="majorHAnsi"/>
          <w:noProof/>
        </w:rPr>
        <w:t>, 1987)</w:t>
      </w:r>
      <w:r w:rsidR="009A1FEC" w:rsidRPr="0013327C">
        <w:rPr>
          <w:rFonts w:asciiTheme="majorHAnsi" w:hAnsiTheme="majorHAnsi"/>
        </w:rPr>
        <w:fldChar w:fldCharType="end"/>
      </w:r>
      <w:r w:rsidRPr="0013327C">
        <w:rPr>
          <w:rFonts w:asciiTheme="majorHAnsi" w:hAnsiTheme="majorHAnsi"/>
        </w:rPr>
        <w:t xml:space="preserve">. It was subsequently learned that peroxisomes are essential for growth with oleate as the only carbon source and that mutants deficient in peroxisome structures could be screened for using this approach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"Two mutants of Saccharomyces cerevisiae affected in peroxisomal assembly (pas mutants) have been isolated and characterized. Each strain contains a single mutation that results in (i) the inability to grow on oleic acid, (ii) accumulation of peroxisomal matrix enzymes in the cytosol, and (iii) absence of detectable peroxisomes at the ultrastructural level. These lesions (pas1-1 and pas2) are shown to be nonallelic and recessive. Crossing of pas1-1 and pas2 strains resulted in diploid cells that had regained the ability to grow on oleic acid as sole carbon source and to form peroxisomes. These pas mutants may provide useful tools for future studies on the molecular mechanisms involved in peroxisomal assembly.", "author" : [ { "dropping-particle" : "", "family" : "Erdmann", "given" : "R", "non-dropping-particle" : "", "parse-names" : false, "suffix" : "" }, { "dropping-particle" : "", "family" : "Veenhuis", "given" : "M", "non-dropping-particle" : "", "parse-names" : false, "suffix" : "" }, { "dropping-particle" : "", "family" : "Mertens", "given" : "D", "non-dropping-particle" : "", "parse-names" : false, "suffix" : "" }, { "dropping-particle" : "", "family" : "Kunau", "given" : "W H", "non-dropping-particle" : "", "parse-names" : false, "suffix" : "" } ], "container-title" : "Proceedings of the National Academy of Sciences of the United States of America", "id" : "ITEM-1", "issue" : "14", "issued" : { "date-parts" : [ [ "1989", "7" ] ] }, "page" : "5419-23", "title" : "Isolation of peroxisome-deficient mutants of Saccharomyces cerevisiae.", "type" : "article-journal", "volume" : "86" }, "uris" : [ "http://www.mendeley.com/documents/?uuid=405c7c2c-538a-4b89-81c2-100bed771650" ] } ], "mendeley" : { "previouslyFormattedCitation" : "(Erdmann et al. 1989)"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(Erdmann </w:t>
      </w:r>
      <w:r w:rsidR="00466108" w:rsidRPr="00466108">
        <w:rPr>
          <w:rFonts w:asciiTheme="majorHAnsi" w:hAnsiTheme="majorHAnsi"/>
          <w:i/>
          <w:noProof/>
        </w:rPr>
        <w:t>et al</w:t>
      </w:r>
      <w:r w:rsidRPr="0013327C">
        <w:rPr>
          <w:rFonts w:asciiTheme="majorHAnsi" w:hAnsiTheme="majorHAnsi"/>
          <w:noProof/>
        </w:rPr>
        <w:t>. 1989)</w:t>
      </w:r>
      <w:r w:rsidR="009A1FEC" w:rsidRPr="0013327C">
        <w:rPr>
          <w:rFonts w:asciiTheme="majorHAnsi" w:hAnsiTheme="majorHAnsi"/>
        </w:rPr>
        <w:fldChar w:fldCharType="end"/>
      </w:r>
      <w:r w:rsidRPr="0013327C">
        <w:rPr>
          <w:rFonts w:asciiTheme="majorHAnsi" w:hAnsiTheme="majorHAnsi"/>
        </w:rPr>
        <w:t xml:space="preserve">. A similar approach involved screening for Chinese hamster ovary (CHO) cells unable to synthesise plasmalogens for which peroxisomes are an essential requirement, thus identifying mutants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"We made use of autoradiographic screening to isolate two Chinese hamster ovary (CHO) cell mutants deficient in peroxisomal dihydroxyacetonephosphate acyltransferase, a key enzyme for the biosynthesis of ether glycerolipids such as plasmalogens. Morphological analysis revealed no evidence of peroxisome in these mutants. Catalase was as active as in the normal cells but was not sedimentable. Pulse-chase radiolabeling experiments and cell-free translation of RNA demonstrated that acyl-CoA oxidase, the first enzyme of the peroxisomal beta-oxidation system, was synthesized as the 75-kD form but was not converted to 53- and 22-kD mature components that were present in the wild-type CHO cells; rather, degradation was apparent. Peroxisomal thiolase was synthesized as in normal cells but remained as a larger, 44-kD precursor, whereas maturation to the 41-kD enzyme was detected in the wild-type cells. The peroxisomal 70-kD integral membrane protein was also equally synthesized, as in the wild-type cells, and was not degraded. These results suggest that assembly of the peroxisomes is defective in the mutants, whereas the synthesis of peroxisomal proteins appears to be normal. Cell-fusion studies revealed that the two mutants are recessive to the wild-type CHO cells and belong to different complementation groups. Thus, these mutants presumably contain different lesions in gene(s) encoding factor(s) required for peroxisome assembly.", "author" : [ { "dropping-particle" : "", "family" : "Tsukamoto", "given" : "T", "non-dropping-particle" : "", "parse-names" : false, "suffix" : "" }, { "dropping-particle" : "", "family" : "Yokota", "given" : "S", "non-dropping-particle" : "", "parse-names" : false, "suffix" : "" }, { "dropping-particle" : "", "family" : "Fujiki", "given" : "Y", "non-dropping-particle" : "", "parse-names" : false, "suffix" : "" } ], "container-title" : "The Journal of cell biology", "id" : "ITEM-1", "issue" : "3", "issued" : { "date-parts" : [ [ "1990", "3" ] ] }, "page" : "651-60", "title" : "Isolation and characterization of Chinese hamster ovary cell mutants defective in assembly of peroxisomes.", "type" : "article-journal", "volume" : "110" }, "uris" : [ "http://www.mendeley.com/documents/?uuid=c04fcc75-8690-43f3-ada7-45cf9724bd45" ] } ], "mendeley" : { "manualFormatting" : "(Tsukamoto et al., 1990)", "previouslyFormattedCitation" : "(Tsukamoto, Yokota &amp; Fujiki 1990)"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(Tsukamoto </w:t>
      </w:r>
      <w:r w:rsidR="00466108" w:rsidRPr="00466108">
        <w:rPr>
          <w:rFonts w:asciiTheme="majorHAnsi" w:hAnsiTheme="majorHAnsi"/>
          <w:i/>
          <w:noProof/>
        </w:rPr>
        <w:t>et al</w:t>
      </w:r>
      <w:r w:rsidRPr="0013327C">
        <w:rPr>
          <w:rFonts w:asciiTheme="majorHAnsi" w:hAnsiTheme="majorHAnsi"/>
          <w:noProof/>
        </w:rPr>
        <w:t>., 1990)</w:t>
      </w:r>
      <w:r w:rsidR="009A1FEC" w:rsidRPr="0013327C">
        <w:rPr>
          <w:rFonts w:asciiTheme="majorHAnsi" w:hAnsiTheme="majorHAnsi"/>
        </w:rPr>
        <w:fldChar w:fldCharType="end"/>
      </w:r>
      <w:r w:rsidRPr="0013327C">
        <w:rPr>
          <w:rFonts w:asciiTheme="majorHAnsi" w:hAnsiTheme="majorHAnsi"/>
        </w:rPr>
        <w:t xml:space="preserve">. Genes involved in peroxisome biogenesis were identified by complementation studies using these mutants. Other research applied similar approaches to the identification of peroxisome biogenesis mutants in a variety of yeasts including </w:t>
      </w:r>
      <w:r w:rsidRPr="0013327C">
        <w:rPr>
          <w:rFonts w:asciiTheme="majorHAnsi" w:hAnsiTheme="majorHAnsi"/>
          <w:i/>
        </w:rPr>
        <w:t xml:space="preserve">Hansenula polymorpha, Pichia pastoris and Yarrowia lipolytica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"Gould", "given" : "Stephen J", "non-dropping-particle" : "", "parse-names" : false, "suffix" : "" }, { "dropping-particle" : "", "family" : "Mccollum", "given" : "Dannel", "non-dropping-particle" : "", "parse-names" : false, "suffix" : "" }, { "dropping-particle" : "", "family" : "Spong", "given" : "A P", "non-dropping-particle" : "", "parse-names" : false, "suffix" : "" }, { "dropping-particle" : "", "family" : "Heyman", "given" : "J A", "non-dropping-particle" : "", "parse-names" : false, "suffix" : "" }, { "dropping-particle" : "", "family" : "Subramani", "given" : "Suresh", "non-dropping-particle" : "", "parse-names" : false, "suffix" : "" } ], "container-title" : "Yeast", "id" : "ITEM-1", "issue" : "8", "issued" : { "date-parts" : [ [ "1992" ] ] }, "page" : "613-28", "title" : "Development of the yeast Pichia pastoris as a model organism for a genetic and molecular analysis of peroxisome assembly.", "type" : "article-journal", "volume" : "8" }, "uris" : [ "http://www.mendeley.com/documents/?uuid=366737ca-1651-47a5-86e9-f514b46b0157" ] }, { "id" : "ITEM-2", "itemData" : { "abstract" : "We describe a rapid and efficient screen for peroxisome-deficient (per) mutants in the yeast Pichia pastoris. The screen relies on the unusual ability of P. pastoris to grow on two carbon sources, methanol and oleic acid, both of which absolutely require peroxisomes to be metabolized. A collection of 280 methanol utilization-defective (Mut-) P. pastoris mutants was isolated, organized into 46 complementation groups, and tested for those that were also oleate-utilization defective (Out-) but still capable of growth on ethanol and glucose. Mutants in 10 groups met this phenotypic description, and 8 of these were observed by electron microscopy to be peroxisome deficient (Per-). In each per mutant, Mut-, Out-, and Per- phenotypes were tightly linked and therefore were most likely due to a mutation at a single locus. Subcellular fractionation experiments indicated that the peroxisomal marker enzyme catalase was mislocalized to the cytosol in both methanol- and oleate-induced cultures of the mutants. In contrast, alcohol oxidase, a peroxisomal methanol utilization pathway enzyme, was virtually absent from per mutant cells. The relative e</w:instrText>
      </w:r>
      <w:r w:rsidR="00D72F07" w:rsidRPr="00D72F07">
        <w:rPr>
          <w:rFonts w:asciiTheme="majorHAnsi" w:hAnsiTheme="majorHAnsi"/>
          <w:lang w:val="nl-NL"/>
        </w:rPr>
        <w:instrText>ase of per mutant isolation in P. pastoris, in conjunction with well-developed procedures for its molecular and genetic manipulation, makes this organism an attractive system for studies on peroxisome biogenesis.", "author" : [ { "dropping-particle" : "", "family" : "Liu", "given" : "H", "non-dropping-particle" : "", "parse-names" : false, "suffix" : "" }, { "dropping-particle" : "", "family" : "Tan", "given" : "X", "non-dropping-particle" : "", "parse-names" : false, "suffix" : "" }, { "dropping-particle" : "", "family" : "Veenhuis", "given" : "M", "non-dropping-particle" : "", "parse-names" : false, "suffix" : "" }, { "dropping-particle" : "", "family" : "McCollum", "given" : "D", "non-dropping-particle" : "", "parse-names" : false, "suffix" : "" }, { "dropping-particle" : "", "family" : "Cregg", "given" : "J M", "non-dropping-particle" : "", "parse-names" : false, "suffix" : "" } ], "container-title" : "Journal of bacteriology", "id" : "ITEM-2", "issue" : "15", "issued" : { "date-parts" : [ [ "1992", "8" ] ] }, "page" : "4943-51", "title" : "An efficient screen for peroxisome-deficient mutants of Pichia pastoris.", "type" : "article-journal", "volume" : "174" }, "uris" : [ "http://www.mendeley.com/documents/?uuid=30cf24f7-9904-4936-b5e0-c3013685e6be" ] } ], "mendeley" : { "previouslyFormattedCitation" : "(Gould et al. 1992; Liu et al. 1992)"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lang w:val="nl-NL"/>
        </w:rPr>
        <w:t xml:space="preserve">(Gould </w:t>
      </w:r>
      <w:r w:rsidR="00466108" w:rsidRPr="00466108">
        <w:rPr>
          <w:rFonts w:asciiTheme="majorHAnsi" w:hAnsiTheme="majorHAnsi"/>
          <w:i/>
          <w:noProof/>
          <w:lang w:val="nl-NL"/>
        </w:rPr>
        <w:t>et al</w:t>
      </w:r>
      <w:r w:rsidRPr="0013327C">
        <w:rPr>
          <w:rFonts w:asciiTheme="majorHAnsi" w:hAnsiTheme="majorHAnsi"/>
          <w:noProof/>
          <w:lang w:val="nl-NL"/>
        </w:rPr>
        <w:t xml:space="preserve">. 1992; Liu </w:t>
      </w:r>
      <w:r w:rsidR="00466108" w:rsidRPr="00466108">
        <w:rPr>
          <w:rFonts w:asciiTheme="majorHAnsi" w:hAnsiTheme="majorHAnsi"/>
          <w:i/>
          <w:noProof/>
          <w:lang w:val="nl-NL"/>
        </w:rPr>
        <w:t>et al</w:t>
      </w:r>
      <w:r w:rsidRPr="0013327C">
        <w:rPr>
          <w:rFonts w:asciiTheme="majorHAnsi" w:hAnsiTheme="majorHAnsi"/>
          <w:noProof/>
          <w:lang w:val="nl-NL"/>
        </w:rPr>
        <w:t>. 1992)</w:t>
      </w:r>
      <w:r w:rsidR="009A1FEC" w:rsidRPr="0013327C">
        <w:rPr>
          <w:rFonts w:asciiTheme="majorHAnsi" w:hAnsiTheme="majorHAnsi"/>
        </w:rPr>
        <w:fldChar w:fldCharType="end"/>
      </w:r>
    </w:p>
    <w:p w:rsidR="00770986" w:rsidRPr="0013327C" w:rsidRDefault="00770986" w:rsidP="00770986">
      <w:pPr>
        <w:jc w:val="both"/>
        <w:rPr>
          <w:rFonts w:asciiTheme="majorHAnsi" w:hAnsiTheme="majorHAnsi"/>
        </w:rPr>
      </w:pPr>
      <w:r w:rsidRPr="00115B33">
        <w:rPr>
          <w:rFonts w:asciiTheme="majorHAnsi" w:hAnsiTheme="majorHAnsi"/>
          <w:lang w:val="nl-NL"/>
        </w:rPr>
        <w:t>Research that used a positiv</w:t>
      </w:r>
      <w:r w:rsidRPr="0013327C">
        <w:rPr>
          <w:rFonts w:asciiTheme="majorHAnsi" w:hAnsiTheme="majorHAnsi"/>
        </w:rPr>
        <w:t xml:space="preserve">e-selection screening process included </w:t>
      </w:r>
      <w:r w:rsidR="009A1FEC" w:rsidRPr="0013327C">
        <w:rPr>
          <w:rFonts w:asciiTheme="majorHAnsi" w:hAnsiTheme="majorHAnsi"/>
          <w:lang w:val="nl-NL"/>
        </w:rPr>
        <w:fldChar w:fldCharType="begin" w:fldLock="1"/>
      </w:r>
      <w:r w:rsidR="00D72F07">
        <w:rPr>
          <w:rFonts w:asciiTheme="majorHAnsi" w:hAnsiTheme="majorHAnsi"/>
        </w:rPr>
        <w:instrText>ADDIN CSL_CITATION { "citationItems" : [ { "id" : "ITEM-1", "itemData" : { "author" : [ { "dropping-particle" : "", "family" : "Elgersma", "given" : "Y", "non-dropping-particle" : "", "parse-names" : false, "suffix" : "" }, { "dropping-particle" : "", "family" : "Berg", "given" : "M", "non-dropping-particle" : "van den", "parse-names" : false, "suffix" : "" }, { "dropping-particle" : "", "family" : "Tabak", "given" : "Henk F", "non-dropping-particle" : "", "parse-names" : false, "suffix" : "" }, { "dropping-particle" : "", "family" : "Distel", "given" : "Ben", "non-dropping-particle" : "", "parse-names" : false, "suffix" : "" } ], "container-title" : "Genetics", "id" : "ITEM-1", "issue" : "3", "issued" : { "date-parts" : [ [ "1993" ] ] }, "page" : "731-40", "title" : "An efficient positive selection procedure for the isolation of peroxisomal import and peroxisome assembly mutants of Saccharomyces cerevisiae.", "type" : "article-journal", "volume" : "135" }, "uris" : [ "http://www.mendeley.com/documents/?uuid=dcdf935a-0aec-4dad-9c89-040dc412908e" ] } ], "mendeley" : { "previouslyFormattedCitation" : "(Elgersma et al. 1993)" }, "properties" : { "noteIndex" : 0 }, "schema" : "https://github.com/citation-style-language/schema/raw/master/csl-citation.json" }</w:instrText>
      </w:r>
      <w:r w:rsidR="009A1FEC" w:rsidRPr="0013327C">
        <w:rPr>
          <w:rFonts w:asciiTheme="majorHAnsi" w:hAnsiTheme="majorHAnsi"/>
          <w:lang w:val="nl-NL"/>
        </w:rPr>
        <w:fldChar w:fldCharType="separate"/>
      </w:r>
      <w:r w:rsidRPr="0013327C">
        <w:rPr>
          <w:rFonts w:asciiTheme="majorHAnsi" w:hAnsiTheme="majorHAnsi"/>
          <w:noProof/>
        </w:rPr>
        <w:t xml:space="preserve">(Elgersma </w:t>
      </w:r>
      <w:r w:rsidR="00466108" w:rsidRPr="00466108">
        <w:rPr>
          <w:rFonts w:asciiTheme="majorHAnsi" w:hAnsiTheme="majorHAnsi"/>
          <w:i/>
          <w:noProof/>
        </w:rPr>
        <w:t>et al</w:t>
      </w:r>
      <w:r w:rsidRPr="0013327C">
        <w:rPr>
          <w:rFonts w:asciiTheme="majorHAnsi" w:hAnsiTheme="majorHAnsi"/>
          <w:noProof/>
        </w:rPr>
        <w:t>. 1993)</w:t>
      </w:r>
      <w:r w:rsidR="009A1FEC" w:rsidRPr="0013327C">
        <w:rPr>
          <w:rFonts w:asciiTheme="majorHAnsi" w:hAnsiTheme="majorHAnsi"/>
          <w:lang w:val="nl-NL"/>
        </w:rPr>
        <w:fldChar w:fldCharType="end"/>
      </w:r>
      <w:r w:rsidRPr="0013327C">
        <w:rPr>
          <w:rFonts w:asciiTheme="majorHAnsi" w:hAnsiTheme="majorHAnsi"/>
        </w:rPr>
        <w:t xml:space="preserve">. They used a chimeric fusion protein of the bleomycin resistance protein and luciferase, a peroxisomal matrix protein. The bleomycin would give resistance to the antibiotic phleomycin in </w:t>
      </w:r>
      <w:r w:rsidRPr="0013327C">
        <w:rPr>
          <w:rFonts w:asciiTheme="majorHAnsi" w:hAnsiTheme="majorHAnsi"/>
          <w:i/>
        </w:rPr>
        <w:t>S. cerevisiae</w:t>
      </w:r>
      <w:r w:rsidRPr="0013327C">
        <w:rPr>
          <w:rFonts w:asciiTheme="majorHAnsi" w:hAnsiTheme="majorHAnsi"/>
        </w:rPr>
        <w:t xml:space="preserve"> peroxisome mutants. WT cells compartmented the enzyme into the peroxisomes and were killed when treated. Mutants lacking peroxisomes or import machinery were resistant as the chimera remained active in the cytosol. Similar studies were performed by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"Leij", "given" : "Inge", "non-dropping-particle" : "van der", "parse-names" : false, "suffix" : "" }, { "dropping-particle" : "", "family" : "Berg", "given" : "Marlene", "non-dropping-particle" : "VanDen", "parse-names" : false, "suffix" : "" }, { "dropping-particle" : "", "family" : "Boot", "given" : "Rolf", "non-dropping-particle" : "", "parse-names" : false, "suffix" : "" }, { "dropping-particle" : "", "family" : "Franse", "given" : "Maartje", "non-dropping-particle" : "", "parse-names" : false, "suffix" : "" }, { "dropping-particle" : "", "family" : "Distel", "given" : "Ben", "non-dropping-particle" : "", "parse-names" : false, "suffix" : "" }, { "dropping-particle" : "", "family" : "Tabak", "given" : "Henk F.", "non-dropping-particle" : "", "parse-names" : false, "suffix" : "" } ], "container-title" : "Journal of Cell Biology", "id" : "ITEM-1", "issue" : "1", "issued" : { "date-parts" : [ [ "1992" ] ] }, "page" : "153-162", "title" : "Isolation of Peroxisome Assembly Mutants from Saccharomyces cerevisiae with Different Morphologies Using a Novel Positive Selection Procedure", "type" : "article-journal", "volume" : "119" }, "uris" : [ "http://www.mendeley.com/documents/?uuid=1c1c9945-4827-430b-8b62-b0794ef0581e" ] }, { "id" : "ITEM-2", "itemData" : { "author" : [ { "dropping-particle" : "", "family" : "Zhang", "given" : "Jing Wei", "non-dropping-particle" : "", "parse-names" : false, "suffix" : "" }, { "dropping-particle" : "", "family" : "Han", "given" : "Yingshi", "non-dropping-particle" : "", "parse-names" : false, "suffix" : "" }, { "dropping-particle" : "", "family" : "Lazar", "given" : "", "non-dropping-particle" : "", "parse-names" : false, "suffix" : "" } ], "container-title" : "Journal of Cell Biology", "id" : "ITEM-2", "issue" : "5", "issued" : { "date-parts" : [ [ "1993" ] ] }, "page" : "1933-47", "title" : "Novel Peroxisome Clustering Mutants and Peroxisome Biogenesis Mutants of Saccharomyces cerevisiae", "type" : "article-journal", "volume" : "123" }, "uris" : [ "http://www.mendeley.com/documents/?uuid=d99f8362-e34d-415e-9ca9-1faa3c7e5d0d" ] } ], "mendeley" : { "previouslyFormattedCitation" : "(Van der Leij et al. 1992; Zhang, Han &amp; Lazar 1993)" }, "properties" : { "noteIndex" : 0 }, "schema" : "https://github.com/citation-style-language/schema/raw/master/csl-citation.json" }</w:instrText>
      </w:r>
      <w:r w:rsidR="009A1FEC" w:rsidRPr="0013327C">
        <w:rPr>
          <w:rFonts w:asciiTheme="majorHAnsi" w:hAnsiTheme="majorHAnsi"/>
        </w:rPr>
        <w:fldChar w:fldCharType="separate"/>
      </w:r>
      <w:r w:rsidRPr="00E63FE0">
        <w:rPr>
          <w:rFonts w:asciiTheme="majorHAnsi" w:hAnsiTheme="majorHAnsi"/>
          <w:noProof/>
        </w:rPr>
        <w:t xml:space="preserve">(Van der Leij </w:t>
      </w:r>
      <w:r w:rsidR="00466108" w:rsidRPr="00466108">
        <w:rPr>
          <w:rFonts w:asciiTheme="majorHAnsi" w:hAnsiTheme="majorHAnsi"/>
          <w:i/>
          <w:noProof/>
        </w:rPr>
        <w:t>et al</w:t>
      </w:r>
      <w:r w:rsidRPr="00E63FE0">
        <w:rPr>
          <w:rFonts w:asciiTheme="majorHAnsi" w:hAnsiTheme="majorHAnsi"/>
          <w:noProof/>
        </w:rPr>
        <w:t>. 1992; Zhang, Han &amp; Lazar 1993)</w:t>
      </w:r>
      <w:r w:rsidR="009A1FEC" w:rsidRPr="0013327C">
        <w:rPr>
          <w:rFonts w:asciiTheme="majorHAnsi" w:hAnsiTheme="majorHAnsi"/>
        </w:rPr>
        <w:fldChar w:fldCharType="end"/>
      </w:r>
    </w:p>
    <w:p w:rsidR="00770986" w:rsidRPr="0013327C" w:rsidRDefault="00770986" w:rsidP="00770986">
      <w:pPr>
        <w:jc w:val="both"/>
        <w:rPr>
          <w:rFonts w:asciiTheme="majorHAnsi" w:hAnsiTheme="majorHAnsi"/>
          <w:lang w:val="nl-NL"/>
        </w:rPr>
      </w:pPr>
      <w:r w:rsidRPr="0013327C">
        <w:rPr>
          <w:rFonts w:asciiTheme="majorHAnsi" w:hAnsiTheme="majorHAnsi"/>
        </w:rPr>
        <w:t xml:space="preserve">A summary of the genes identified in these screens was compiled and they were named peroxins and given the code </w:t>
      </w:r>
      <w:r w:rsidRPr="000C26B2">
        <w:rPr>
          <w:rFonts w:asciiTheme="majorHAnsi" w:hAnsiTheme="majorHAnsi"/>
          <w:i/>
        </w:rPr>
        <w:t>PEX</w:t>
      </w:r>
      <w:r w:rsidRPr="0013327C">
        <w:rPr>
          <w:rFonts w:asciiTheme="majorHAnsi" w:hAnsiTheme="majorHAnsi"/>
        </w:rPr>
        <w:t xml:space="preserve"> on account of their roles in peroxisomal biogenesis and import pathways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"Distel", "given" : "Ben", "non-dropping-particle" : "", "parse-names" : false, "suffix" : "" }, { "dropping-particle" : "", "family" : "Erdmann", "given" : "Ralf", "non-dropping-particle" : "", "parse-names" : false, "suffix" : "" }, { "dropping-particle" : "", "family" : "Gould", "given" : "Stephen J", "non-dropping-particle" : "", "parse-names" : false, "suffix" : "" }, { "dropping-particle" : "", "family" : "Blobel", "given" : "Gtinter", "non-dropping-particle" : "", "parse-names" : false, "suffix" : "" }, { "dropping-particle" : "", "family" : "Crane", "given" : "I Denis I", "non-dropping-particle" : "", "parse-names" : false, "suffix" : "" }, { "dropping-particle" : "", "family" : "Cregg", "given" : "I James M", "non-dropping-particle" : "", "parse-names" : false, "suffix" : "" }, { "dropping-particle" : "", "family" : "Dodt", "given" : "Gabriele", "non-dropping-particle" : "", "parse-names" : false, "suffix" : "" }, { "dropping-particle" : "", "family" : "Fujiki", "given" : "Yukio", "non-dropping-particle" : "", "parse-names" : false, "suffix" : "" }, { "dropping-particle" : "", "family" : "Goodman", "given" : "Joel M", "non-dropping-particle" : "", "parse-names" : false, "suffix" : "" }, { "dropping-particle" : "", "family" : "Just", "given" : "Wilhelm W", "non-dropping-particle" : "", "parse-names" : false, "suffix" : "" }, { "dropping-particle" : "", "family" : "Kiel", "given" : "D Jan A K W", "non-dropping-particle" : "", "parse-names" : false, "suffix" : "" }, { "dropping-particle" : "", "family" : "Kunau", "given" : "Wolf-hubert", "non-dropping-particle" : "", "parse-names" : false, "suffix" : "" }, { "dropping-particle" : "", "family" : "Lazarow", "given" : "Paul B", "non-dropping-particle" : "", "parse-names" : false, "suffix" : "" }, { "dropping-particle" : "", "family" : "Mannaerts", "given" : "Guy P", "non-dropping-particle" : "", "parse-names" : false, "suffix" : "" }, { "dropping-particle" : "", "family" : "Moser", "given" : "Hugo W", "non-dropping-particle" : "", "parse-names" : false, "suffix" : "" }, { "dropping-particle" : "", "family" : "Osumi", "given" : "Takashi", "non-dropping-particle" : "", "parse-names" : false, "suffix" : "" }, { "dropping-particle" : "", "family" : "Rachubinski", "given" : "Richard A", "non-dropping-particle" : "", "parse-names" : false, "suffix" : "" }, { "dropping-particle" : "", "family" : "Roscher", "given" : "Adelbert", "non-dropping-particle" : "", "parse-names" : false, "suffix" : "" }, { "dropping-particle" : "", "family" : "Subramani", "given" : "Suresh", "non-dropping-particle" : "", "parse-names" : false, "suffix" : "" }, { "dropping-particle" : "", "family" : "Tabak", "given" : "Henk F", "non-dropping-particle" : "", "parse-names" : false, "suffix" : "" }, { "dropping-particle" : "", "family" : "Tsukamoto", "given" : "Toshiro", "non-dropping-particle" : "", "parse-names" : false, "suffix" : "" }, { "dropping-particle" : "", "family" : "Valle", "given" : "David", "non-dropping-particle" : "", "parse-names" : false, "suffix" : "" }, { "dropping-particle" : "Van Der", "family" : "Klei", "given" : "Ida", "non-dropping-particle" : "", "parse-names" : false, "suffix" : "" }, { "dropping-particle" : "Van", "family" : "Veldhoven", "given" : "Paul P", "non-dropping-particle" : "", "parse-names" : false, "suffix" : "" }, { "dropping-particle" : "", "family" : "I", "given" : "Marten Veenhuis I", "non-dropping-particle" : "", "parse-names" : false, "suffix" : "" } ], "container-title" : "Journal of Cell Biology", "id" : "ITEM-1", "issue" : "1", "issued" : { "date-parts" : [ [ "1996" ] ] }, "page" : "1-3", "title" : "Mini-Review A Unified Nomenclature for Peroxisome Biogenesis Factors", "type" : "article-journal", "volume" : "135" }, "uris" : [ "http://www.mendeley.com/documents/?uuid=7e8a18fd-32d1-4ba3-bf4e-1bdab37c04f7" ] } ], "mendeley" : { "previouslyFormattedCitation" : "(Distel et al. 1996)"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(Distel </w:t>
      </w:r>
      <w:r w:rsidR="00466108" w:rsidRPr="00466108">
        <w:rPr>
          <w:rFonts w:asciiTheme="majorHAnsi" w:hAnsiTheme="majorHAnsi"/>
          <w:i/>
          <w:noProof/>
        </w:rPr>
        <w:t>et al</w:t>
      </w:r>
      <w:r w:rsidRPr="0013327C">
        <w:rPr>
          <w:rFonts w:asciiTheme="majorHAnsi" w:hAnsiTheme="majorHAnsi"/>
          <w:noProof/>
        </w:rPr>
        <w:t>. 1996)</w:t>
      </w:r>
      <w:r w:rsidR="009A1FEC" w:rsidRPr="0013327C">
        <w:rPr>
          <w:rFonts w:asciiTheme="majorHAnsi" w:hAnsiTheme="majorHAnsi"/>
        </w:rPr>
        <w:fldChar w:fldCharType="end"/>
      </w:r>
      <w:r w:rsidRPr="0013327C">
        <w:rPr>
          <w:rFonts w:asciiTheme="majorHAnsi" w:hAnsiTheme="majorHAnsi"/>
        </w:rPr>
        <w:t xml:space="preserve">. Since then proteomic assays and DNA microarray screens have been able to identify novel genes </w:t>
      </w:r>
      <w:r w:rsidR="009A1FEC" w:rsidRPr="0013327C">
        <w:rPr>
          <w:rFonts w:asciiTheme="majorHAnsi" w:hAnsiTheme="majorHAnsi"/>
        </w:rPr>
        <w:fldChar w:fldCharType="begin" w:fldLock="1"/>
      </w:r>
      <w:r w:rsidR="00D72F07">
        <w:rPr>
          <w:rFonts w:asciiTheme="majorHAnsi" w:hAnsiTheme="majorHAnsi"/>
        </w:rPr>
        <w:instrText xml:space="preserve">ADDIN CSL_CITATION { "citationItems" : [ { "id" : "ITEM-1", "itemData" : { "DOI" : "10.1083/jcb.200210130", "abstract" : "The peroxin Pex24p of the yeast Yarrowia lipolytica exhibits high sequence similarity to two hypothetical proteins, Yhr150p and Ydr479p, encoded by the Saccharomyces cerevisiae genome. Like YlPex24p, both Yhr150p and Ydr479p have been shown to be integral to the peroxisomal membrane, but unlike YlPex24p, their levels of synthesis are not increased upon a shift of cells from glucose- to oleic acid-containing medium. Peroxisomes of cells deleted for either or both of the YHR150w and YDR479c genes are increased in number, exhibit extensive clustering, are smaller in area than peroxisomes of wild-type cells, and often exhibit membrane thickening between adjacent peroxisomes in a cluster. Peroxisomes isolated from cells deleted for both genes have a decreased buoyant density compared with peroxisomes isolated from wild-type cells and still exhibit clustering and peroxisomal membrane thickening. Overexpression of the genes PEX25 or VPS1, but not the gene PEX11, restored the wild-type phenotype to cells deleted for one or both of the YHR150w and YDR479c genes. Together, our data suggest a role for Yhr150p and Ydr479p, together with Pex25p and Vps1p, in regulating peroxisome number, size, and distribution in S. cerevisiae. Because of their role in peroxisome dynamics, YHR150w and YDR479c have been designated as PEX28 and PEX29, respectively, and their encoded peroxins as Pex28p and Pex29p.", "author" : [ { "dropping-particle" : "", "family" : "Vizeacoumar", "given" : "Franco J", "non-dropping-particle" : "", "parse-names" : false, "suffix" : "" }, { "dropping-particle" : "", "family" : "Torres-Guzman", "given" : "Juan C", "non-dropping-particle" : "", "parse-names" : false, "suffix" : "" }, { "dropping-particle" : "", "family" : "Tam", "given" : "Yuen Yi C",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cell biology", "id" : "ITEM-1", "issue" : "2", "issued" : { "date-parts" : [ [ "2003", "4", "28" ] ] }, "page" : "321-32", "title" : "YHR150w and YDR479c encode peroxisomal integral membrane proteins involved in the regulation of peroxisome number, size, and distribution in Saccharomyces cerevisiae.", "type" : "article-journal", "volume" : "161" }, "uris" : [ "http://www.mendeley.com/documents/?uuid=73f4fd25-4cef-4c6a-b82e-8369471a0926" ] }, { "id" : "ITEM-2", "itemData" : { "DOI" : "10.1091/mbc.E03", "author" : [ { "dropping-particle" : "", "family" : "Tam", "given" : "Yuen Yi C", "non-dropping-particle" : "", "parse-names" : false, "suffix" : "" }, { "dropping-particle" : "", "family" : "Torres-guzman", "given" : "Juan C", "non-dropping-particle" : "", "parse-names" : false, "suffix" : "" }, { "dropping-particle" : "", "family" : "Vizeacoumar", "given" : "Franco J", "non-dropping-particle" : "", "parse-names" : false, "suffix" : "" }, { "dropping-particle" : "", "family" : "Smith", "given" : "Jennifer J", "non-dropping-particle" : "", "parse-names" : false, "suffix" : "" }, { "dropping-particle" : "", "family" : "Marelli", "given" : "Marcello", "non-dropping-particle" : "", "parse-names" : false, "suffix" : "" }, { "dropping-particle" : "", "family" : "Aitchison", "given" : "John D", "non-dropping-particle" : "", "parse-names" : false, "suffix" : "" }, { "dropping-particle" : "", "family" : "Rachubinski", "given" : "Richard A", "non-dropping-particle" : "", "parse-names" : false, "suffix" : "" } ], "container-title" : "journal of biological chemistry", "id" : "ITEM-2", "issue" : "October", "issued" : { "date-parts" : [ [ "2003" ] ] }, "page" : "4089-4102", "title" : "Pex11-related Proteins in Peroxisome Dynamics : A Role for the Novel Peroxin Pex27p in Controlling Peroxisome Size and Number in Saccharomyces cerevisiae", "type" : "article-journal", "volume" : "14" }, "uris" : [ "http://www.mendeley.com/documents/?uuid=e90e7d81-5d2a-4929-ad55-bf62cb233a47" ] }, { "id" : "ITEM-3", "itemData" : { "DOI" : "10.1091/mbc.E03", "author" : [ { "dropping-particle" : "", "family" : "Vizeacoumar", "given" : "Franco J", "non-dropping-particle" : "", "parse-names" : false, "suffix" : "" }, { "dropping-particle" : "", "family" : "Torres-guzman", "given" : "Juan C", "non-dropping-particle" : "", "parse-names" : false, "suffix" : "" }, { "dropping-particle" : "", "family" : "Bouard", "given" : "David", "non-dropping-particle" : "", "parse-names" : false, "suffix" : "" }, { "dropping-particle" : "", "family" : "Aitchison", "given" : "John D", "non-dropping-particle" : "", "parse-names" : false, "suffix" : "" }, { "dropping-particle" : "", "family" : "Rachubinski", "given" : "Richard A", "non-dropping-particle" : "", "parse-names" : false, "suffix" : "" } ], "container-title" : "Molecular biology of the cell", "id" : "ITEM-3", "issue" : "February", "issued" : { "date-parts" : [ [ "2004" ] ] }, "page" : "665-677", "title" : "Pex30p , Pex31p , and Pex32p Form a Family of Peroxisomal Integral Membrane Proteins Regulating Peroxisome Size and Number in Saccharomyces cerevisiae", "type" : "article-journal", "volume" : "15" }, "uris" : [ "http://www.mendeley.com/documents/?uuid=ea30ba79-b0c5-40aa-ad36-40d0af83a97f" ] }, { "id" : "ITEM-4", "itemData" : { "DOI" : "10.1083/jcb.200204059", "abstract" : "Yeast cells were induced to proliferate peroxisomes, and microarray transcriptional profiling was used to identify PEX genes encoding peroxins involved in peroxisome assembly and genes involved in peroxisome function. Clustering algorithms identified 224 genes with expression profiles similar to those of genes encoding peroxisomal proteins and genes involved in peroxisome biogenesis. Several previously uncharacterized genes were identified, two of which, YPL112c and YOR084w, encode proteins of the peroxisomal membrane and matrix, respectively. Ypl112p, renamed Pex25p, is a novel peroxin required for the regulation of peroxisome size and maintenance. These studies demonstrate the utility of comparative gene profiling as an alternative to functional assays to identify genes with roles in peroxisome biogenesis.", "author" : [ { "dropping-particle" : "", "family" : "Smith", "given" : "Jennifer J", "non-dropping-particle" : "", "parse-names" : false, "suffix" : "" }, { "dropping-particle" : "", "family" : "Marelli", "given" : "Marcello", "non-dropping-particle" : "", "parse-names" : false, "suffix" : "" }, { "dropping-particle" : "", "family" : "Christmas", "given" : "Rowan H", "non-dropping-particle" : "", "parse-names" : false, "suffix" : "" }, { "dropping-particle" : "", "family" : "Vizeacoumar", "given" : "Franco J", "non-dropping-particle" : "", "parse-names" : false, "suffix" : "" }, { "dropping-particle" : "", "family" : "Dilworth", "given" : "David J", "non-dropping-particle" : "", "parse-names" : false, "suffix" : "" </w:instrText>
      </w:r>
      <w:r w:rsidR="00D72F07" w:rsidRPr="00D72F07">
        <w:rPr>
          <w:rFonts w:asciiTheme="majorHAnsi" w:hAnsiTheme="majorHAnsi"/>
          <w:lang w:val="nl-NL"/>
        </w:rPr>
        <w:instrText>}, { "dropping-particle" : "", "family" : "Ideker", "given" : "Trey", "non-dropping-particle" : "", "parse-names" : false, "suffix" : "" }, { "dropping-particle" : "", "family" : "Galitski", "given" : "Timothy", "non-dropping-particle" : "", "parse-names" : false, "suffix" : "" }, { "dropping-particle" : "", "family" : "Dimitrov", "given" : "Krassen", "non-dropping-particle" : "", "parse-names" : false, "suffix" : "" }, { "dropping-particle" : "", "family" : "Rachubinski", "given" : "Richard a", "non-dropping-particle" : "", "parse-names" : false, "suffix" : "" }, { "dropping-particle" : "", "family" : "Aitchison", "given" : "John D", "non-dropping-particle" : "", "parse-names" : false, "suffix" : "" } ], "container-title" : "The Journal of cell biology", "id" : "ITEM-4", "issue" : "2", "issued" : { "date-parts" : [ [ "2002", "7", "22" ] ] }, "page" : "259-71", "title" : "Transcriptome profiling to identify genes involved in peroxisome assembly and function.", "type" : "article-journal", "volume" : "158" }, "uris" : [ "http://www.mendeley.com/documents/?uuid=53e132ef-9ba0-493e-9943-4a5a3857378e" ] } ], "mendeley" : { "manualFormatting" : "(Smith et al. 2002; Vizeacoumar et al. 2003; Tam et al. 2003; Vizeacoumar et al. 2004)", "previouslyFormattedCitation" : "(Vizeacoumar et al. 2003; Tam et al. 2003; Vizeacoumar et al. 2004; Smith et al. 2002)"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lang w:val="nl-NL"/>
        </w:rPr>
        <w:t xml:space="preserve">(Smith </w:t>
      </w:r>
      <w:r w:rsidR="00466108" w:rsidRPr="00466108">
        <w:rPr>
          <w:rFonts w:asciiTheme="majorHAnsi" w:hAnsiTheme="majorHAnsi"/>
          <w:i/>
          <w:noProof/>
          <w:lang w:val="nl-NL"/>
        </w:rPr>
        <w:t>et al</w:t>
      </w:r>
      <w:r w:rsidRPr="0013327C">
        <w:rPr>
          <w:rFonts w:asciiTheme="majorHAnsi" w:hAnsiTheme="majorHAnsi"/>
          <w:noProof/>
          <w:lang w:val="nl-NL"/>
        </w:rPr>
        <w:t xml:space="preserve">. 2002; Vizeacoumar </w:t>
      </w:r>
      <w:r w:rsidR="00466108" w:rsidRPr="00466108">
        <w:rPr>
          <w:rFonts w:asciiTheme="majorHAnsi" w:hAnsiTheme="majorHAnsi"/>
          <w:i/>
          <w:noProof/>
          <w:lang w:val="nl-NL"/>
        </w:rPr>
        <w:t>et al</w:t>
      </w:r>
      <w:r w:rsidRPr="0013327C">
        <w:rPr>
          <w:rFonts w:asciiTheme="majorHAnsi" w:hAnsiTheme="majorHAnsi"/>
          <w:noProof/>
          <w:lang w:val="nl-NL"/>
        </w:rPr>
        <w:t xml:space="preserve">. 2003; Tam </w:t>
      </w:r>
      <w:r w:rsidR="00466108" w:rsidRPr="00466108">
        <w:rPr>
          <w:rFonts w:asciiTheme="majorHAnsi" w:hAnsiTheme="majorHAnsi"/>
          <w:i/>
          <w:noProof/>
          <w:lang w:val="nl-NL"/>
        </w:rPr>
        <w:t>et al</w:t>
      </w:r>
      <w:r w:rsidRPr="0013327C">
        <w:rPr>
          <w:rFonts w:asciiTheme="majorHAnsi" w:hAnsiTheme="majorHAnsi"/>
          <w:noProof/>
          <w:lang w:val="nl-NL"/>
        </w:rPr>
        <w:t xml:space="preserve">. 2003; Vizeacoumar </w:t>
      </w:r>
      <w:r w:rsidR="00466108" w:rsidRPr="00466108">
        <w:rPr>
          <w:rFonts w:asciiTheme="majorHAnsi" w:hAnsiTheme="majorHAnsi"/>
          <w:i/>
          <w:noProof/>
          <w:lang w:val="nl-NL"/>
        </w:rPr>
        <w:t>et al</w:t>
      </w:r>
      <w:r w:rsidRPr="0013327C">
        <w:rPr>
          <w:rFonts w:asciiTheme="majorHAnsi" w:hAnsiTheme="majorHAnsi"/>
          <w:noProof/>
          <w:lang w:val="nl-NL"/>
        </w:rPr>
        <w:t>. 2004)</w:t>
      </w:r>
      <w:r w:rsidR="009A1FEC" w:rsidRPr="0013327C">
        <w:rPr>
          <w:rFonts w:asciiTheme="majorHAnsi" w:hAnsiTheme="majorHAnsi"/>
        </w:rPr>
        <w:fldChar w:fldCharType="end"/>
      </w:r>
      <w:r w:rsidRPr="0013327C">
        <w:rPr>
          <w:rFonts w:asciiTheme="majorHAnsi" w:hAnsiTheme="majorHAnsi"/>
          <w:lang w:val="nl-NL"/>
        </w:rPr>
        <w:t>.</w:t>
      </w:r>
    </w:p>
    <w:tbl>
      <w:tblPr>
        <w:tblW w:w="8658" w:type="dxa"/>
        <w:tblInd w:w="97"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ayout w:type="fixed"/>
        <w:tblLook w:val="04A0"/>
      </w:tblPr>
      <w:tblGrid>
        <w:gridCol w:w="1004"/>
        <w:gridCol w:w="3543"/>
        <w:gridCol w:w="4111"/>
      </w:tblGrid>
      <w:tr w:rsidR="00770986" w:rsidRPr="0013327C" w:rsidTr="00782EC1">
        <w:trPr>
          <w:trHeight w:val="112"/>
        </w:trPr>
        <w:tc>
          <w:tcPr>
            <w:tcW w:w="1004" w:type="dxa"/>
            <w:shd w:val="clear" w:color="auto" w:fill="auto"/>
            <w:hideMark/>
          </w:tcPr>
          <w:p w:rsidR="00770986" w:rsidRPr="00A7567E" w:rsidRDefault="00770986" w:rsidP="00770986">
            <w:pPr>
              <w:spacing w:after="0" w:line="240" w:lineRule="auto"/>
              <w:jc w:val="both"/>
              <w:rPr>
                <w:rFonts w:asciiTheme="majorHAnsi" w:eastAsia="Times New Roman" w:hAnsiTheme="majorHAnsi" w:cs="Times New Roman"/>
                <w:b/>
                <w:bCs/>
                <w:color w:val="000000"/>
                <w:sz w:val="20"/>
                <w:szCs w:val="20"/>
                <w:lang w:eastAsia="en-GB"/>
              </w:rPr>
            </w:pPr>
            <w:r w:rsidRPr="00A7567E">
              <w:rPr>
                <w:rFonts w:asciiTheme="majorHAnsi" w:eastAsia="Times New Roman" w:hAnsiTheme="majorHAnsi" w:cs="Times New Roman"/>
                <w:b/>
                <w:bCs/>
                <w:color w:val="000000"/>
                <w:sz w:val="20"/>
                <w:szCs w:val="20"/>
                <w:lang w:eastAsia="en-GB"/>
              </w:rPr>
              <w:lastRenderedPageBreak/>
              <w:t>Protein</w:t>
            </w:r>
          </w:p>
        </w:tc>
        <w:tc>
          <w:tcPr>
            <w:tcW w:w="3543" w:type="dxa"/>
            <w:shd w:val="clear" w:color="auto" w:fill="auto"/>
            <w:hideMark/>
          </w:tcPr>
          <w:p w:rsidR="00770986" w:rsidRPr="00A7567E" w:rsidRDefault="00770986" w:rsidP="00770986">
            <w:pPr>
              <w:spacing w:after="0" w:line="240" w:lineRule="auto"/>
              <w:jc w:val="both"/>
              <w:rPr>
                <w:rFonts w:asciiTheme="majorHAnsi" w:eastAsia="Times New Roman" w:hAnsiTheme="majorHAnsi" w:cs="Times New Roman"/>
                <w:b/>
                <w:bCs/>
                <w:color w:val="000000"/>
                <w:sz w:val="20"/>
                <w:szCs w:val="20"/>
                <w:lang w:eastAsia="en-GB"/>
              </w:rPr>
            </w:pPr>
            <w:r w:rsidRPr="00A7567E">
              <w:rPr>
                <w:rFonts w:asciiTheme="majorHAnsi" w:eastAsia="Times New Roman" w:hAnsiTheme="majorHAnsi" w:cs="Times New Roman"/>
                <w:b/>
                <w:bCs/>
                <w:color w:val="000000"/>
                <w:sz w:val="20"/>
                <w:szCs w:val="20"/>
                <w:lang w:eastAsia="en-GB"/>
              </w:rPr>
              <w:t>General Function</w:t>
            </w:r>
          </w:p>
        </w:tc>
        <w:tc>
          <w:tcPr>
            <w:tcW w:w="4111" w:type="dxa"/>
            <w:shd w:val="clear" w:color="auto" w:fill="auto"/>
            <w:hideMark/>
          </w:tcPr>
          <w:p w:rsidR="00770986" w:rsidRPr="00A7567E" w:rsidRDefault="00770986" w:rsidP="00770986">
            <w:pPr>
              <w:spacing w:after="0" w:line="240" w:lineRule="auto"/>
              <w:jc w:val="both"/>
              <w:rPr>
                <w:rFonts w:asciiTheme="majorHAnsi" w:eastAsia="Times New Roman" w:hAnsiTheme="majorHAnsi" w:cs="Times New Roman"/>
                <w:b/>
                <w:bCs/>
                <w:color w:val="000000"/>
                <w:sz w:val="20"/>
                <w:szCs w:val="20"/>
                <w:lang w:eastAsia="en-GB"/>
              </w:rPr>
            </w:pPr>
            <w:r w:rsidRPr="00A7567E">
              <w:rPr>
                <w:rFonts w:asciiTheme="majorHAnsi" w:eastAsia="Times New Roman" w:hAnsiTheme="majorHAnsi" w:cs="Times New Roman"/>
                <w:b/>
                <w:bCs/>
                <w:color w:val="000000"/>
                <w:sz w:val="20"/>
                <w:szCs w:val="20"/>
                <w:lang w:eastAsia="en-GB"/>
              </w:rPr>
              <w:t>Molecular Function/Features</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Pex1p*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AAA-ATPase required for recycling of Pex5p</w:t>
            </w:r>
          </w:p>
        </w:tc>
      </w:tr>
      <w:tr w:rsidR="00770986" w:rsidRPr="0013327C" w:rsidTr="00782EC1">
        <w:trPr>
          <w:trHeight w:val="54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RING-finger protein, required for poly or monoubiquitination of Pex5p</w:t>
            </w:r>
          </w:p>
        </w:tc>
      </w:tr>
      <w:tr w:rsidR="00770986" w:rsidRPr="0013327C" w:rsidTr="00782EC1">
        <w:trPr>
          <w:trHeight w:val="54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Pex3p*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 xml:space="preserve">PMP targeting and </w:t>
            </w:r>
            <w:r w:rsidRPr="00BD5893">
              <w:rPr>
                <w:rFonts w:asciiTheme="majorHAnsi" w:eastAsia="Times New Roman" w:hAnsiTheme="majorHAnsi" w:cs="Times New Roman"/>
                <w:i/>
                <w:iCs/>
                <w:color w:val="000000"/>
                <w:sz w:val="18"/>
                <w:szCs w:val="18"/>
                <w:lang w:eastAsia="en-GB"/>
              </w:rPr>
              <w:t>de novo</w:t>
            </w:r>
            <w:r w:rsidRPr="00BD5893">
              <w:rPr>
                <w:rFonts w:asciiTheme="majorHAnsi" w:eastAsia="Times New Roman" w:hAnsiTheme="majorHAnsi" w:cs="Times New Roman"/>
                <w:color w:val="000000"/>
                <w:sz w:val="18"/>
                <w:szCs w:val="18"/>
                <w:lang w:eastAsia="en-GB"/>
              </w:rPr>
              <w:t xml:space="preserve"> synthesis</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Membrane docking factor for Pex19p</w:t>
            </w:r>
          </w:p>
        </w:tc>
      </w:tr>
      <w:tr w:rsidR="00770986" w:rsidRPr="0013327C" w:rsidTr="00782EC1">
        <w:trPr>
          <w:trHeight w:val="54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Pex4p*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E2-ubiquitin-conjugating enzyme required for the mono-ubiquitination and recycling of Pex5p</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Pex5p*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PTS1-receptor</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Pex6p*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AAA-ATPase required for recycling of Pex5p</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Pex7p*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PTS-receptor</w:t>
            </w:r>
          </w:p>
        </w:tc>
      </w:tr>
      <w:tr w:rsidR="00770986" w:rsidRPr="0013327C" w:rsidTr="00782EC1">
        <w:trPr>
          <w:trHeight w:val="54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Pex8p*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Forms the connection between the docking and RING complex of the importomer</w:t>
            </w:r>
          </w:p>
        </w:tc>
      </w:tr>
      <w:tr w:rsidR="00770986" w:rsidRPr="0013327C" w:rsidTr="00782EC1">
        <w:trPr>
          <w:trHeight w:val="54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bCs/>
                <w:color w:val="000000"/>
                <w:sz w:val="18"/>
                <w:szCs w:val="18"/>
                <w:lang w:eastAsia="en-GB"/>
              </w:rPr>
              <w:t>Pex10p*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RING-finger protein, links Pex4p to the importomer, required for ubiquitination of Pex5p</w:t>
            </w:r>
          </w:p>
        </w:tc>
      </w:tr>
      <w:tr w:rsidR="00770986" w:rsidRPr="0013327C" w:rsidTr="00782EC1">
        <w:trPr>
          <w:trHeight w:val="54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bCs/>
                <w:color w:val="000000"/>
                <w:sz w:val="18"/>
                <w:szCs w:val="18"/>
                <w:lang w:eastAsia="en-GB"/>
              </w:rPr>
              <w:t>Pex11p*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Regulation of peroxisome size and number</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bookmarkStart w:id="20" w:name="RANGE!D12"/>
            <w:r w:rsidRPr="00BD5893">
              <w:rPr>
                <w:rFonts w:asciiTheme="majorHAnsi" w:eastAsia="Times New Roman" w:hAnsiTheme="majorHAnsi" w:cs="Times New Roman"/>
                <w:color w:val="000000"/>
                <w:sz w:val="18"/>
                <w:szCs w:val="18"/>
                <w:lang w:eastAsia="en-GB"/>
              </w:rPr>
              <w:t>Peroxisomal fission co-ordination.</w:t>
            </w:r>
            <w:bookmarkEnd w:id="20"/>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Pex12p*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RING-finger protein, required for ubiquitination of Pex5p</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Pex13p*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Component of the docking complex of the importomer</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Pex14p*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Component of the docking complex of the importomer</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Pex15p*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Membrane anchor for Pex6p</w:t>
            </w:r>
          </w:p>
        </w:tc>
      </w:tr>
      <w:tr w:rsidR="00770986" w:rsidRPr="0013327C" w:rsidTr="00782EC1">
        <w:trPr>
          <w:trHeight w:val="54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Pex16p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PMP targeting and de novo synthesis</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Recruitment of proteins to the peroxisomal membrane</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Pex17p*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bookmarkStart w:id="21" w:name="OLE_LINK12"/>
            <w:bookmarkStart w:id="22" w:name="RANGE!C18"/>
            <w:r w:rsidRPr="00BD5893">
              <w:rPr>
                <w:rFonts w:asciiTheme="majorHAnsi" w:eastAsia="Times New Roman" w:hAnsiTheme="majorHAnsi" w:cs="Times New Roman"/>
                <w:color w:val="000000"/>
                <w:sz w:val="18"/>
                <w:szCs w:val="18"/>
                <w:lang w:eastAsia="en-GB"/>
              </w:rPr>
              <w:t>Matrix protein import</w:t>
            </w:r>
            <w:bookmarkEnd w:id="21"/>
            <w:bookmarkEnd w:id="22"/>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Component of the docking complex of the importomer</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Pex18p*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bookmarkStart w:id="23" w:name="OLE_LINK14"/>
            <w:bookmarkStart w:id="24" w:name="RANGE!D19"/>
            <w:r w:rsidRPr="00BD5893">
              <w:rPr>
                <w:rFonts w:asciiTheme="majorHAnsi" w:eastAsia="Times New Roman" w:hAnsiTheme="majorHAnsi" w:cs="Times New Roman"/>
                <w:color w:val="000000"/>
                <w:sz w:val="18"/>
                <w:szCs w:val="18"/>
                <w:lang w:eastAsia="en-GB"/>
              </w:rPr>
              <w:t>PTS2 co-receptor in yeast</w:t>
            </w:r>
            <w:bookmarkEnd w:id="23"/>
            <w:bookmarkEnd w:id="24"/>
          </w:p>
        </w:tc>
      </w:tr>
      <w:tr w:rsidR="00770986" w:rsidRPr="0013327C" w:rsidTr="00782EC1">
        <w:trPr>
          <w:trHeight w:val="54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Pex19p*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 xml:space="preserve">PMP targeting and </w:t>
            </w:r>
            <w:r w:rsidRPr="00BD5893">
              <w:rPr>
                <w:rFonts w:asciiTheme="majorHAnsi" w:eastAsia="Times New Roman" w:hAnsiTheme="majorHAnsi" w:cs="Times New Roman"/>
                <w:i/>
                <w:iCs/>
                <w:color w:val="000000"/>
                <w:sz w:val="18"/>
                <w:szCs w:val="18"/>
                <w:lang w:eastAsia="en-GB"/>
              </w:rPr>
              <w:t>de novo</w:t>
            </w:r>
            <w:r w:rsidRPr="00BD5893">
              <w:rPr>
                <w:rFonts w:asciiTheme="majorHAnsi" w:eastAsia="Times New Roman" w:hAnsiTheme="majorHAnsi" w:cs="Times New Roman"/>
                <w:color w:val="000000"/>
                <w:sz w:val="18"/>
                <w:szCs w:val="18"/>
                <w:lang w:eastAsia="en-GB"/>
              </w:rPr>
              <w:t xml:space="preserve"> synthesis</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PMP chaperone and import receptor</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Pex20p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PTS2 co-receptor in most fungi</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Pex21p*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PTS2 co-receptor in yeast</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Pex22p*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bookmarkStart w:id="25" w:name="OLE_LINK20"/>
            <w:bookmarkStart w:id="26" w:name="OLE_LINK21"/>
            <w:bookmarkStart w:id="27" w:name="RANGE!C23"/>
            <w:r w:rsidRPr="00BD5893">
              <w:rPr>
                <w:rFonts w:asciiTheme="majorHAnsi" w:eastAsia="Times New Roman" w:hAnsiTheme="majorHAnsi" w:cs="Times New Roman"/>
                <w:color w:val="000000"/>
                <w:sz w:val="18"/>
                <w:szCs w:val="18"/>
                <w:lang w:eastAsia="en-GB"/>
              </w:rPr>
              <w:t>Matrix protein import</w:t>
            </w:r>
            <w:bookmarkEnd w:id="25"/>
            <w:bookmarkEnd w:id="26"/>
            <w:bookmarkEnd w:id="27"/>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Membrane anchor for Pex4p</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Pex23p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 xml:space="preserve">Matrix protein import in </w:t>
            </w:r>
            <w:r w:rsidRPr="00BD5893">
              <w:rPr>
                <w:rFonts w:asciiTheme="majorHAnsi" w:eastAsia="Times New Roman" w:hAnsiTheme="majorHAnsi" w:cs="Times New Roman"/>
                <w:i/>
                <w:iCs/>
                <w:color w:val="000000"/>
                <w:sz w:val="18"/>
                <w:szCs w:val="18"/>
                <w:lang w:eastAsia="en-GB"/>
              </w:rPr>
              <w:t>Yarrowia Lipolytica</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Pex24p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 xml:space="preserve">Required for peroxisome assembly in </w:t>
            </w:r>
            <w:r w:rsidRPr="00BD5893">
              <w:rPr>
                <w:rFonts w:asciiTheme="majorHAnsi" w:eastAsia="Times New Roman" w:hAnsiTheme="majorHAnsi" w:cs="Times New Roman"/>
                <w:i/>
                <w:iCs/>
                <w:color w:val="000000"/>
                <w:sz w:val="18"/>
                <w:szCs w:val="18"/>
                <w:lang w:eastAsia="en-GB"/>
              </w:rPr>
              <w:t>Yarrowia lipolytica</w:t>
            </w:r>
          </w:p>
        </w:tc>
      </w:tr>
      <w:tr w:rsidR="00770986" w:rsidRPr="0013327C" w:rsidTr="00782EC1">
        <w:trPr>
          <w:trHeight w:val="239"/>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Pex25p*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Regulation of peroxisome size and number</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 xml:space="preserve">Interacts with Pex11p </w:t>
            </w:r>
          </w:p>
        </w:tc>
      </w:tr>
      <w:tr w:rsidR="00770986" w:rsidRPr="0013327C" w:rsidTr="00782EC1">
        <w:trPr>
          <w:trHeight w:val="300"/>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Pex26p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Membrane anchor for Pex6p in Human cells</w:t>
            </w:r>
          </w:p>
        </w:tc>
      </w:tr>
      <w:tr w:rsidR="00770986" w:rsidRPr="0013327C" w:rsidTr="00782EC1">
        <w:trPr>
          <w:trHeight w:val="247"/>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Pex27p*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Regulation of peroxisome size and number</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 xml:space="preserve">Interacts with Pex11p </w:t>
            </w:r>
          </w:p>
        </w:tc>
      </w:tr>
      <w:tr w:rsidR="00770986" w:rsidRPr="0013327C" w:rsidTr="00782EC1">
        <w:trPr>
          <w:trHeight w:val="265"/>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Pex28p*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Regulation of peroxisome size and number</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Unknown</w:t>
            </w:r>
          </w:p>
        </w:tc>
      </w:tr>
      <w:tr w:rsidR="00770986" w:rsidRPr="0013327C" w:rsidTr="00782EC1">
        <w:trPr>
          <w:trHeight w:val="283"/>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Pex29p*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Regulation of peroxisome size and number</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Unknown</w:t>
            </w:r>
          </w:p>
        </w:tc>
      </w:tr>
      <w:tr w:rsidR="00770986" w:rsidRPr="0013327C" w:rsidTr="00782EC1">
        <w:trPr>
          <w:trHeight w:val="273"/>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Pex30p*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Regulation of peroxisome size and number</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Unknown</w:t>
            </w:r>
          </w:p>
        </w:tc>
      </w:tr>
      <w:tr w:rsidR="00770986" w:rsidRPr="0013327C" w:rsidTr="00782EC1">
        <w:trPr>
          <w:trHeight w:val="263"/>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Pex31p*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Regulation of peroxisome size and number</w:t>
            </w:r>
          </w:p>
        </w:tc>
        <w:tc>
          <w:tcPr>
            <w:tcW w:w="4111"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Unknown</w:t>
            </w:r>
          </w:p>
        </w:tc>
      </w:tr>
      <w:tr w:rsidR="00770986" w:rsidRPr="0013327C" w:rsidTr="00782EC1">
        <w:trPr>
          <w:trHeight w:val="281"/>
        </w:trPr>
        <w:tc>
          <w:tcPr>
            <w:tcW w:w="1004"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Pex32p*</w:t>
            </w:r>
          </w:p>
        </w:tc>
        <w:tc>
          <w:tcPr>
            <w:tcW w:w="3543" w:type="dxa"/>
            <w:shd w:val="clear" w:color="auto" w:fill="auto"/>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Regulation of peroxisome size and number</w:t>
            </w:r>
          </w:p>
        </w:tc>
        <w:tc>
          <w:tcPr>
            <w:tcW w:w="4111" w:type="dxa"/>
            <w:shd w:val="clear" w:color="auto" w:fill="auto"/>
            <w:hideMark/>
          </w:tcPr>
          <w:p w:rsidR="0005248D"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Unknown</w:t>
            </w:r>
          </w:p>
        </w:tc>
      </w:tr>
      <w:tr w:rsidR="0005248D" w:rsidRPr="0013327C" w:rsidTr="00782EC1">
        <w:trPr>
          <w:trHeight w:val="271"/>
        </w:trPr>
        <w:tc>
          <w:tcPr>
            <w:tcW w:w="1004" w:type="dxa"/>
            <w:shd w:val="clear" w:color="auto" w:fill="auto"/>
            <w:hideMark/>
          </w:tcPr>
          <w:p w:rsidR="0005248D" w:rsidRPr="00BD5893" w:rsidRDefault="0005248D"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Pex33p</w:t>
            </w:r>
          </w:p>
        </w:tc>
        <w:tc>
          <w:tcPr>
            <w:tcW w:w="3543" w:type="dxa"/>
            <w:shd w:val="clear" w:color="auto" w:fill="auto"/>
            <w:hideMark/>
          </w:tcPr>
          <w:p w:rsidR="0005248D" w:rsidRPr="00BD5893" w:rsidRDefault="001C1EB3"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Matrix protein import</w:t>
            </w:r>
          </w:p>
        </w:tc>
        <w:tc>
          <w:tcPr>
            <w:tcW w:w="4111" w:type="dxa"/>
            <w:shd w:val="clear" w:color="auto" w:fill="auto"/>
            <w:hideMark/>
          </w:tcPr>
          <w:p w:rsidR="0005248D" w:rsidRPr="00BD5893" w:rsidRDefault="001C1EB3"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 xml:space="preserve">Interaction with Pex14p in </w:t>
            </w:r>
            <w:r w:rsidRPr="00BD5893">
              <w:rPr>
                <w:rFonts w:asciiTheme="majorHAnsi" w:eastAsia="Times New Roman" w:hAnsiTheme="majorHAnsi" w:cs="Times New Roman"/>
                <w:i/>
                <w:color w:val="000000"/>
                <w:sz w:val="18"/>
                <w:szCs w:val="18"/>
                <w:lang w:eastAsia="en-GB"/>
              </w:rPr>
              <w:t>Neurospora Crassa</w:t>
            </w:r>
          </w:p>
        </w:tc>
      </w:tr>
      <w:tr w:rsidR="001C1EB3" w:rsidRPr="0013327C" w:rsidTr="00782EC1">
        <w:trPr>
          <w:trHeight w:val="275"/>
        </w:trPr>
        <w:tc>
          <w:tcPr>
            <w:tcW w:w="1004" w:type="dxa"/>
            <w:shd w:val="clear" w:color="auto" w:fill="auto"/>
            <w:hideMark/>
          </w:tcPr>
          <w:p w:rsidR="001C1EB3" w:rsidRPr="00BD5893" w:rsidRDefault="001C1EB3"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Pex34p*</w:t>
            </w:r>
          </w:p>
        </w:tc>
        <w:tc>
          <w:tcPr>
            <w:tcW w:w="3543" w:type="dxa"/>
            <w:shd w:val="clear" w:color="auto" w:fill="auto"/>
            <w:hideMark/>
          </w:tcPr>
          <w:p w:rsidR="001C1EB3" w:rsidRPr="00BD5893" w:rsidRDefault="00A7567E"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Regulation of peroxisome size and number</w:t>
            </w:r>
          </w:p>
        </w:tc>
        <w:tc>
          <w:tcPr>
            <w:tcW w:w="4111" w:type="dxa"/>
            <w:shd w:val="clear" w:color="auto" w:fill="auto"/>
            <w:hideMark/>
          </w:tcPr>
          <w:p w:rsidR="001C1EB3" w:rsidRPr="00BD5893" w:rsidRDefault="00A7567E"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Interaction with Pex11p, Pex25p and Pex27p</w:t>
            </w:r>
          </w:p>
        </w:tc>
      </w:tr>
      <w:tr w:rsidR="00770986" w:rsidRPr="0013327C" w:rsidTr="00782EC1">
        <w:trPr>
          <w:trHeight w:val="315"/>
        </w:trPr>
        <w:tc>
          <w:tcPr>
            <w:tcW w:w="4547" w:type="dxa"/>
            <w:gridSpan w:val="2"/>
            <w:shd w:val="clear" w:color="auto" w:fill="auto"/>
            <w:noWrap/>
            <w:vAlign w:val="bottom"/>
            <w:hideMark/>
          </w:tcPr>
          <w:p w:rsidR="00770986" w:rsidRPr="00BD5893" w:rsidRDefault="00770986" w:rsidP="00770986">
            <w:pPr>
              <w:spacing w:after="0" w:line="240" w:lineRule="auto"/>
              <w:jc w:val="both"/>
              <w:rPr>
                <w:rFonts w:asciiTheme="majorHAnsi" w:eastAsia="Times New Roman" w:hAnsiTheme="majorHAnsi" w:cs="Times New Roman"/>
                <w:color w:val="000000"/>
                <w:sz w:val="18"/>
                <w:szCs w:val="18"/>
                <w:lang w:eastAsia="en-GB"/>
              </w:rPr>
            </w:pPr>
            <w:r w:rsidRPr="00BD5893">
              <w:rPr>
                <w:rFonts w:asciiTheme="majorHAnsi" w:eastAsia="Times New Roman" w:hAnsiTheme="majorHAnsi" w:cs="Times New Roman"/>
                <w:color w:val="000000"/>
                <w:sz w:val="18"/>
                <w:szCs w:val="18"/>
                <w:lang w:eastAsia="en-GB"/>
              </w:rPr>
              <w:t xml:space="preserve">*Present in </w:t>
            </w:r>
            <w:r w:rsidRPr="00BD5893">
              <w:rPr>
                <w:rFonts w:asciiTheme="majorHAnsi" w:eastAsia="Times New Roman" w:hAnsiTheme="majorHAnsi" w:cs="Times New Roman"/>
                <w:i/>
                <w:iCs/>
                <w:color w:val="000000"/>
                <w:sz w:val="18"/>
                <w:szCs w:val="18"/>
                <w:lang w:eastAsia="en-GB"/>
              </w:rPr>
              <w:t>S. cerevisiae</w:t>
            </w:r>
          </w:p>
        </w:tc>
        <w:tc>
          <w:tcPr>
            <w:tcW w:w="4111" w:type="dxa"/>
            <w:shd w:val="clear" w:color="auto" w:fill="auto"/>
            <w:noWrap/>
            <w:vAlign w:val="bottom"/>
            <w:hideMark/>
          </w:tcPr>
          <w:p w:rsidR="00770986" w:rsidRPr="00A7567E" w:rsidRDefault="00770986" w:rsidP="00770986">
            <w:pPr>
              <w:spacing w:after="0" w:line="240" w:lineRule="auto"/>
              <w:jc w:val="both"/>
              <w:rPr>
                <w:rFonts w:asciiTheme="majorHAnsi" w:eastAsia="Times New Roman" w:hAnsiTheme="majorHAnsi" w:cs="Times New Roman"/>
                <w:color w:val="000000"/>
                <w:sz w:val="20"/>
                <w:szCs w:val="20"/>
                <w:lang w:eastAsia="en-GB"/>
              </w:rPr>
            </w:pPr>
          </w:p>
        </w:tc>
      </w:tr>
    </w:tbl>
    <w:p w:rsidR="00770986" w:rsidRPr="006A3EFB" w:rsidRDefault="006A3EFB" w:rsidP="00770986">
      <w:pPr>
        <w:jc w:val="both"/>
        <w:rPr>
          <w:rFonts w:asciiTheme="majorHAnsi" w:hAnsiTheme="majorHAnsi"/>
          <w:b/>
        </w:rPr>
      </w:pPr>
      <w:proofErr w:type="gramStart"/>
      <w:r w:rsidRPr="006A3EFB">
        <w:rPr>
          <w:rFonts w:asciiTheme="majorHAnsi" w:hAnsiTheme="majorHAnsi"/>
          <w:b/>
        </w:rPr>
        <w:t>Table 1.2.</w:t>
      </w:r>
      <w:proofErr w:type="gramEnd"/>
      <w:r w:rsidRPr="006A3EFB">
        <w:rPr>
          <w:rFonts w:asciiTheme="majorHAnsi" w:hAnsiTheme="majorHAnsi"/>
          <w:b/>
        </w:rPr>
        <w:t xml:space="preserve"> </w:t>
      </w:r>
      <w:proofErr w:type="gramStart"/>
      <w:r w:rsidRPr="006A3EFB">
        <w:rPr>
          <w:rFonts w:asciiTheme="majorHAnsi" w:hAnsiTheme="majorHAnsi"/>
          <w:b/>
        </w:rPr>
        <w:t>A list of k</w:t>
      </w:r>
      <w:r>
        <w:rPr>
          <w:rFonts w:asciiTheme="majorHAnsi" w:hAnsiTheme="majorHAnsi"/>
          <w:b/>
        </w:rPr>
        <w:t>nown Peroxins with their general and molecular functions if known.</w:t>
      </w:r>
      <w:proofErr w:type="gramEnd"/>
    </w:p>
    <w:p w:rsidR="00770986" w:rsidRPr="0013327C" w:rsidRDefault="00770986" w:rsidP="00770986">
      <w:pPr>
        <w:pStyle w:val="Heading3"/>
        <w:jc w:val="both"/>
      </w:pPr>
      <w:bookmarkStart w:id="28" w:name="_Toc348423285"/>
      <w:r w:rsidRPr="0013327C">
        <w:lastRenderedPageBreak/>
        <w:t>Models of peroxisome biogenesis</w:t>
      </w:r>
      <w:bookmarkEnd w:id="28"/>
    </w:p>
    <w:p w:rsidR="00770986" w:rsidRPr="0013327C" w:rsidRDefault="00770986" w:rsidP="00770986">
      <w:pPr>
        <w:jc w:val="both"/>
        <w:rPr>
          <w:rFonts w:asciiTheme="majorHAnsi" w:hAnsiTheme="majorHAnsi"/>
        </w:rPr>
      </w:pPr>
      <w:r w:rsidRPr="0013327C">
        <w:rPr>
          <w:rFonts w:asciiTheme="majorHAnsi" w:hAnsiTheme="majorHAnsi"/>
        </w:rPr>
        <w:t xml:space="preserve">The characterisations of peroxisomal components, their structure, function and disease, have been well established and continue with current research. There are still contentious debates as to the mechanism of formation of peroxisomes as existing and new evidence continues to conflict with established theories. Two key mechanisms for the formation and proliferation of peroxisomes are the </w:t>
      </w:r>
      <w:r w:rsidRPr="0013327C">
        <w:rPr>
          <w:rFonts w:asciiTheme="majorHAnsi" w:hAnsiTheme="majorHAnsi"/>
          <w:i/>
        </w:rPr>
        <w:t>de novo</w:t>
      </w:r>
      <w:r w:rsidRPr="0013327C">
        <w:rPr>
          <w:rFonts w:asciiTheme="majorHAnsi" w:hAnsiTheme="majorHAnsi"/>
        </w:rPr>
        <w:t xml:space="preserve"> synthesis model and the growth and division model. </w:t>
      </w:r>
    </w:p>
    <w:p w:rsidR="00770986" w:rsidRPr="0013327C" w:rsidRDefault="00770986" w:rsidP="00770986">
      <w:pPr>
        <w:jc w:val="both"/>
        <w:rPr>
          <w:rFonts w:asciiTheme="majorHAnsi" w:hAnsiTheme="majorHAnsi"/>
        </w:rPr>
      </w:pPr>
      <w:r w:rsidRPr="0013327C">
        <w:rPr>
          <w:rFonts w:asciiTheme="majorHAnsi" w:hAnsiTheme="majorHAnsi"/>
        </w:rPr>
        <w:t xml:space="preserve">The </w:t>
      </w:r>
      <w:r w:rsidRPr="0013327C">
        <w:rPr>
          <w:rFonts w:asciiTheme="majorHAnsi" w:hAnsiTheme="majorHAnsi"/>
          <w:i/>
        </w:rPr>
        <w:t>de novo</w:t>
      </w:r>
      <w:r w:rsidRPr="0013327C">
        <w:rPr>
          <w:rFonts w:asciiTheme="majorHAnsi" w:hAnsiTheme="majorHAnsi"/>
        </w:rPr>
        <w:t xml:space="preserve"> formation of peroxisomes </w:t>
      </w:r>
      <w:r>
        <w:rPr>
          <w:rFonts w:asciiTheme="majorHAnsi" w:hAnsiTheme="majorHAnsi"/>
        </w:rPr>
        <w:t xml:space="preserve">(or maturation model) </w:t>
      </w:r>
      <w:r w:rsidRPr="0013327C">
        <w:rPr>
          <w:rFonts w:asciiTheme="majorHAnsi" w:hAnsiTheme="majorHAnsi"/>
        </w:rPr>
        <w:t xml:space="preserve">was postulated when morphological connections between peroxisomes and ER were revealed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"Huge numbers of peroxisomes are present in guinea pig duodenum, jejunum, and ileum, and in rat duodenum. The peroxisomes have been studied by light and electron microscopy, including visualization by incubation in a newly-developed alkaline 3,3' diaminobenzidine (DAB) medium. Electron micrographs of more than 3700 guinea pig peroxisomes have been studied. The diameter of most peroxisomes ranges from 0.15 micro. to 0.25 micro. They often appear in clusters, surrounded by and continuous, in numerous places, with smooth endoplasmic reticulum (ER). The ER is extremely tortuous in these regions. Serial sectioning is valuable for studying the ER-peroxisome relationships but viewing sections at different angles, tilted with a goniometer stage, is more informative. The intimate relations of the two organelles appear the same in tissue fixed in four different fixatives. The peroxisomes may be interpreted as localized dilatations of smooth ER retaining multiple membranous continuities. This interpretation is discussed in light of the turnover data on peroxisomal proteins of rat hepatocytes reported by Poole and colleagues. The very large numbers of peroxisomes in intestinal epithelium lead to speculations concerning their functional significance. They resemble the small peroxisomes described in many other cell types. Although the distinctive relationship of these peroxisomes to the ER is probably more significant than their small size, for practical purposes we propose the term \"microperoxisomes\" to distinguish these peroxisomes from the better-known larger peroxisomes of liver and kidney.", "author" : [ { "dropping-particle" : "", "family" : "Novikoff", "given" : "P M", "non-dropping-particle" : "", "parse-names" : false, "suffix" : "" }, { "dropping-particle" : "", "family" : "Novikoff", "given" : "a B", "non-dropping-particle" : "", "parse-names" : false, "suffix" : "" } ], "container-title" : "The Journal of cell biology", "id" : "ITEM-1", "issue" : "2", "issued" : { "date-parts" : [ [ "1972", "5" ] ] }, "page" : "532-60", "title" : "Peroxisomes in absorptive cells of mammalian small intestine.", "type" : "article-journal", "volume" : "53" }, "uris" : [ "http://www.mendeley.com/documents/?uuid=3e2d81b3-1ce6-4181-8fcd-5b4ccc3b6b33" ] } ], "mendeley" : { "previouslyFormattedCitation" : "(Novikoff &amp; Novikoff 1972)"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(Novikoff &amp; Novikoff 1972)</w:t>
      </w:r>
      <w:r w:rsidR="009A1FEC" w:rsidRPr="0013327C">
        <w:rPr>
          <w:rFonts w:asciiTheme="majorHAnsi" w:hAnsiTheme="majorHAnsi"/>
        </w:rPr>
        <w:fldChar w:fldCharType="end"/>
      </w:r>
      <w:r w:rsidRPr="0013327C">
        <w:rPr>
          <w:rFonts w:asciiTheme="majorHAnsi" w:hAnsiTheme="majorHAnsi"/>
        </w:rPr>
        <w:t xml:space="preserve">. This was based on electron microscopy research and was later supported by biochemistry studies in plants. Enzymes required for germination of castor beans were localised first in ER compartments and in a later stage of growth were localised in glyoxisomes.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"Gonzalez", "given" : "Elma", "non-dropping-particle" : "", "parse-names" : false, "suffix" : "" }, { "dropping-particle" : "", "family" : "Beevers", "given" : "Harry", "non-dropping-particle" : "", "parse-names" : false, "suffix" : "" } ], "container-title" : "Plant Physiology", "id" : "ITEM-1", "issued" : { "date-parts" : [ [ "1976" ] ] }, "page" : "406-409", "title" : "Role of the Endoplasmic Reticulum in Glyoxysome Formation in Castor Bean Endosperm", "type" : "article-journal", "volume" : "57" }, "uris" : [ "http://www.mendeley.com/documents/?uuid=87f80b0d-2f9e-4aec-bd9f-79324a8494ff" ] }, { "id" : "ITEM-2", "itemData" : { "author" : [ { "dropping-particle" : "", "family" : "Gonzalez", "given" : "Elma", "non-dropping-particle" : "", "parse-names" : false, "suffix" : "" } ], "container-title" : "Plant physiology", "id" : "ITEM-2", "issued" : { "date-parts" : [ [ "1986" ] ] }, "page" : "950-955", "title" : "Role of the Endoplasmic Reticulum in Glyoxysome Formation in Castor Bean Endosperm", "type" : "article-journal", "volume" : "80" }, "uris" : [ "http://www.mendeley.com/documents/?uuid=d46fdeff-71a3-4053-978c-cd2de06f933a" ] } ], "mendeley" : { "previouslyFormattedCitation" : "(Gonzalez &amp; Beevers 1976; Gonzalez 1986)" }, "properties" : { "noteIndex" : 0 }, "schema" : "https://github.com/citation-style-language/schema/raw/master/csl-citation.json" }</w:instrText>
      </w:r>
      <w:r w:rsidR="009A1FEC" w:rsidRPr="0013327C">
        <w:rPr>
          <w:rFonts w:asciiTheme="majorHAnsi" w:hAnsiTheme="majorHAnsi"/>
        </w:rPr>
        <w:fldChar w:fldCharType="separate"/>
      </w:r>
      <w:proofErr w:type="gramStart"/>
      <w:r w:rsidRPr="0013327C">
        <w:rPr>
          <w:rFonts w:asciiTheme="majorHAnsi" w:hAnsiTheme="majorHAnsi"/>
          <w:noProof/>
        </w:rPr>
        <w:t>(Gonzalez &amp; Beevers 1976; Gonzalez 1986)</w:t>
      </w:r>
      <w:r w:rsidR="009A1FEC" w:rsidRPr="0013327C">
        <w:rPr>
          <w:rFonts w:asciiTheme="majorHAnsi" w:hAnsiTheme="majorHAnsi"/>
        </w:rPr>
        <w:fldChar w:fldCharType="end"/>
      </w:r>
      <w:r w:rsidRPr="0013327C">
        <w:rPr>
          <w:rFonts w:asciiTheme="majorHAnsi" w:hAnsiTheme="majorHAnsi"/>
        </w:rPr>
        <w:t>.</w:t>
      </w:r>
      <w:proofErr w:type="gramEnd"/>
    </w:p>
    <w:p w:rsidR="00770986" w:rsidRPr="0013327C" w:rsidRDefault="00770986" w:rsidP="00770986">
      <w:pPr>
        <w:jc w:val="both"/>
        <w:rPr>
          <w:rFonts w:asciiTheme="majorHAnsi" w:hAnsiTheme="majorHAnsi"/>
        </w:rPr>
      </w:pPr>
      <w:r w:rsidRPr="0013327C">
        <w:rPr>
          <w:rFonts w:asciiTheme="majorHAnsi" w:hAnsiTheme="majorHAnsi"/>
        </w:rPr>
        <w:t xml:space="preserve">More recently the most emphatic evidence for this pathway of ER-derived peroxisomes comes from mutants lacking </w:t>
      </w:r>
      <w:r w:rsidRPr="000C26B2">
        <w:rPr>
          <w:rFonts w:asciiTheme="majorHAnsi" w:hAnsiTheme="majorHAnsi"/>
          <w:i/>
        </w:rPr>
        <w:t>PEX</w:t>
      </w:r>
      <w:r w:rsidRPr="0013327C">
        <w:rPr>
          <w:rFonts w:asciiTheme="majorHAnsi" w:hAnsiTheme="majorHAnsi"/>
        </w:rPr>
        <w:t xml:space="preserve">3, </w:t>
      </w:r>
      <w:r w:rsidRPr="000C26B2">
        <w:rPr>
          <w:rFonts w:asciiTheme="majorHAnsi" w:hAnsiTheme="majorHAnsi"/>
          <w:i/>
        </w:rPr>
        <w:t>PEX</w:t>
      </w:r>
      <w:r w:rsidRPr="0013327C">
        <w:rPr>
          <w:rFonts w:asciiTheme="majorHAnsi" w:hAnsiTheme="majorHAnsi"/>
        </w:rPr>
        <w:t xml:space="preserve">16 or </w:t>
      </w:r>
      <w:r w:rsidRPr="000C26B2">
        <w:rPr>
          <w:rFonts w:asciiTheme="majorHAnsi" w:hAnsiTheme="majorHAnsi"/>
          <w:i/>
        </w:rPr>
        <w:t>PEX</w:t>
      </w:r>
      <w:r w:rsidRPr="0013327C">
        <w:rPr>
          <w:rFonts w:asciiTheme="majorHAnsi" w:hAnsiTheme="majorHAnsi"/>
        </w:rPr>
        <w:t xml:space="preserve">19 in which cells with no peroxisomes are found to have produced them </w:t>
      </w:r>
      <w:r w:rsidRPr="0013327C">
        <w:rPr>
          <w:rFonts w:asciiTheme="majorHAnsi" w:hAnsiTheme="majorHAnsi"/>
          <w:i/>
        </w:rPr>
        <w:t xml:space="preserve">de novo </w:t>
      </w:r>
      <w:r w:rsidRPr="0013327C">
        <w:rPr>
          <w:rFonts w:asciiTheme="majorHAnsi" w:hAnsiTheme="majorHAnsi"/>
        </w:rPr>
        <w:t xml:space="preserve">after the expression of the missing gene and the return to WT genotype.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"In the decade that has elapsed since the discovery of the first peroxisomal targeting signal (PTS), considerable information has been obtained regarding the mechanism of protein import into peroxisomes. The PTSs responsible for the import of matrix and membrane proteins to peroxisomes, the receptors for several of these PTSs, and docking proteins for the PTS1 and PTS2 receptors are known. Many peroxins involved in peroxisomal protein import and biogenesis have been characterized genetically and biochemically. These studies have revealed important new insights regarding the mechanism of protein translocation across the peroxisomal membrane, the conservation of PEX genes through evolution, the role of peroxins in fatal human peroxisomal disorders, and the biogenesis of the organelle. It is clear that peroxisomal protein import and biogenesis have many features unique to this organelle alone. More recent studies on peroxisome degradation, division, and movement highlight newer aspects of the biology of this organelle that promise to be just as exciting and interesting as import and biogenesis.", "author" : [ { "dropping-particle" : "", "family" : "Subramani", "given" : "S", "non-dropping-particle" : "", "parse-names" : false, "suffix" : "" } ], "container-title" : "Physiological reviews", "id" : "ITEM-1", "issue" : "1", "issued" : { "date-parts" : [ [ "1998", "1" ] ] }, "page" : "171-88", "title" : "Components involved in peroxisome import, biogenesis, proliferation, turnover, and movement.", "type" : "article-journal", "volume" : "78" }, "uris" : [ "http://www.mendeley.com/documents/?uuid=976ce02d-7a7d-44c4-b885-658d8d4f490a" ] }, { "id" : "ITEM-2", "itemData" : { "abstract" : "At least 11 complementation groups (CGs) have been identified for the peroxisome biogenesis disorders (PBDs) such as Zellweger syndrome, for which seven pathogenic genes have been elucidated. We have isolated a human PEX19 cDNA (HsPEX19) by functional complementation of peroxisome deficiency of a mutant Chinese hamster ovary cell line, ZP119, defective in import of both matrix and membrane proteins. This cDNA encodes a hydrophilic protein (Pex19p) comprising 299 amino acids, with a prenylation motif, CAAX box, at the C terminus. Farnesylated Pex19p is partly, if not all, anchored in the peroxisomal membrane, exposing its N-terminal part to the cytosol. A stable transformant of ZP119 with HsPEX19 was morphologically and biochemically restored for peroxisome biogenesis. HsPEX19 expression also restored peroxisomal protein import in fibroblasts from a patient (PBDJ-01) with Zellweger syndrome of CG-J. This patient (PBDJ-01) possessed a homozygous, inactivating mutation: a 1-base insertion, A764, in a codon for Met255, resulted in a frameshift, inducing a 24-aa sequence entirely distinct from normal Pex19p. These results demonstrate that PEX19 is the causative gene for CG-J PBD and suggest that the C-terminal part, including the CAAX homology box, is required for the biological function of Pex19p. Moreover, Pex19p is apparently involved at the initial stage in peroxisome membrane assembly, before the import of matrix protein.", "author" : [ { "dropping-particle" : "", "family" : "Matsuzono", "given" : "Y", "non-dropping-particle" : "", "parse-names" : false, "suffix" : "" }, { "dropping-particle" : "", "family" : "Kinoshita", "given" : "N", "non-dropping-particle" : "", "parse-names" : false, "suffix" : "" }, { "dropping-particle" : "", "family" : "Tamura", "given" : "S", "non-dropping-particle" : "", "parse-names" : false, "suffix" : "" }, { "dropping-particle" : "", "family" : "Shimozawa", "given" : "N", "non-dropping-particle" : "", "parse-names" : false, "suffix" : "" }, { "dropping-particle" : "", "family" : "Hamasaki", "given" : "M", "non-dropping-particle" : "", "parse-names" : false, "suffix" : "" }, { "dropping-particle" : "", "family" : "Ghaedi", "given" : "K", "non-dropping-particle" : "", "parse-names" : false, "suffix" : "" }, { "dropping-particle" : "", "family" : "Wanders", "given" : "R J", "non-dropping-particle" : "", "parse-names" : false, "suffix" : "" }, { "dropping-particle" : "", "family" : "Suzuki", "given" : "Y", "non-dropping-particle" : "", "parse-names" : false, "suffix" : "" }, { "dropping-particle" : "", "family" : "Kondo", "given" : "N", "non-dropping-particle" : "", "parse-names" : false, "suffix" : "" }, { "dropping-particle" : "", "family" : "Fujiki", "given" : "Y", "non-dropping-particle" : "", "parse-names" : false, "suffix" : "" } ], "container-title" : "Proceedings of the National Academy of Sciences of the United States of America", "id" : "ITEM-2", "issue" : "5", "issued" : { "date-parts" : [ [ "1999", "3", "2" ] ] }, "page" : "2116-21", "title" : "Human PEX19: cDNA cloning by functional complementation, mutation analysis in a patient with Zellweger syndrome, and potential role in peroxisomal membrane assembly.", "type" : "article-journal", "volume" : "96" }, "uris" : [ "http://www.mendeley.com/documents/?uuid=a4b5e1c4-e95b-4268-b2ea-602ecee63aea" ] }, { "id" : "ITEM-3", "itemData" : { "abstract" : "Peroxisomes are components of virtually all eukaryotic cells. While much is known about peroxisomal matrix protein import, our understanding of how peroxisomal membrane proteins (PMPs) are targeted and inserted into the peroxisome membrane is extremely limited. Here, we show that PEX19 binds a broad spectrum of PMPs, displays saturable PMP binding, and interacts with regions of PMPs required for their targeting to peroxisomes. Furthermore, mislocalization of PEX19 to the nucleus leads to nuclear accumulation of newly synthesized PMPs. At steady state, PEX19 is bimodally distributed between the cytoplasm and peroxisome, with most of the protein in the cytoplasm. We propose that PEX19 may bind newly synthesized PMPs and facilitate their insertion into the peroxisome membrane. This hypothesis is supported by the observation that the loss of PEX19 results in degradation of PMPs and/or mislocalization of PMPs to the mitochondrion.", "author" : [ { "dropping-particle" : "", "family" : "Sacksteder", "given" : "K a", "non-dropping-particle" : "", "parse-names" : false, "suffix" : "" }, { "dropping-particle" : "", "family" : "Jones", "given" : "J M", "non-dropping-particle" : "", "parse-names" : false, "suffix" : "" }, { "dropping-particle" : "", "family" : "South", "given" : "S T", "non-dropping-particle" : "", "parse-names" : false, "suffix" : "" }, { "dropping-particle" : "", "family" : "Li", "given" : "X", "non-dropping-particle" : "", "parse-names" : false, "suffix" : "" }, { "dropping-particle" : "", "family" : "Liu", "given" : "Y", "non-dropping-particle" : "", "parse-names" : false, "suffix" : "" }, { "dropping-particle" : "", "family" : "Gould", "given" : "S J", "non-dropping-particle" : "", "parse-names" : false, "suffix" : "" } ], "container-title" : "The Journal of cell biology", "id" : "ITEM-3", "issue" : "5", "issued" : { "date-parts" : [ [ "2000", "3", "6" ] ] }, "page" : "931-44", "title" : "PEX19 binds multiple peroxisomal membrane proteins, is predominantly cytoplasmic, and is required for peroxisome membrane synthesis.", "type" : "article-journal", "volume" : "148" }, "uris" : [ "http://www.mendeley.com/documents/?uuid=4452b549-a9a8-4c42-836b-f280e8f17e16" ] } ], "mendeley" : { "previouslyFormattedCitation" : "(Subramani 1998; Matsuzono et al. 1999; Sacksteder et al. 2000)" }, "properties" : { "noteIndex" : 0 }, "schema" : "https://github.com/citation-style-language/schema/raw/master/csl-citation.json" }</w:instrText>
      </w:r>
      <w:r w:rsidR="009A1FEC" w:rsidRPr="0013327C">
        <w:rPr>
          <w:rFonts w:asciiTheme="majorHAnsi" w:hAnsiTheme="majorHAnsi"/>
        </w:rPr>
        <w:fldChar w:fldCharType="separate"/>
      </w:r>
      <w:proofErr w:type="gramStart"/>
      <w:r w:rsidRPr="0013327C">
        <w:rPr>
          <w:rFonts w:asciiTheme="majorHAnsi" w:hAnsiTheme="majorHAnsi"/>
          <w:noProof/>
        </w:rPr>
        <w:t xml:space="preserve">(Subramani 1998; Matsuzono </w:t>
      </w:r>
      <w:r w:rsidR="00466108" w:rsidRPr="00466108">
        <w:rPr>
          <w:rFonts w:asciiTheme="majorHAnsi" w:hAnsiTheme="majorHAnsi"/>
          <w:i/>
          <w:noProof/>
        </w:rPr>
        <w:t>et al</w:t>
      </w:r>
      <w:r w:rsidRPr="0013327C">
        <w:rPr>
          <w:rFonts w:asciiTheme="majorHAnsi" w:hAnsiTheme="majorHAnsi"/>
          <w:noProof/>
        </w:rPr>
        <w:t xml:space="preserve">. 1999; Sacksteder </w:t>
      </w:r>
      <w:r w:rsidR="00466108" w:rsidRPr="00466108">
        <w:rPr>
          <w:rFonts w:asciiTheme="majorHAnsi" w:hAnsiTheme="majorHAnsi"/>
          <w:i/>
          <w:noProof/>
        </w:rPr>
        <w:t>et al</w:t>
      </w:r>
      <w:r w:rsidRPr="0013327C">
        <w:rPr>
          <w:rFonts w:asciiTheme="majorHAnsi" w:hAnsiTheme="majorHAnsi"/>
          <w:noProof/>
        </w:rPr>
        <w:t>. 2000)</w:t>
      </w:r>
      <w:r w:rsidR="009A1FEC" w:rsidRPr="0013327C">
        <w:rPr>
          <w:rFonts w:asciiTheme="majorHAnsi" w:hAnsiTheme="majorHAnsi"/>
        </w:rPr>
        <w:fldChar w:fldCharType="end"/>
      </w:r>
      <w:r w:rsidRPr="0013327C">
        <w:rPr>
          <w:rFonts w:asciiTheme="majorHAnsi" w:hAnsiTheme="majorHAnsi"/>
        </w:rPr>
        <w:t>.</w:t>
      </w:r>
      <w:proofErr w:type="gramEnd"/>
    </w:p>
    <w:p w:rsidR="00770986" w:rsidRPr="0013327C" w:rsidRDefault="00770986" w:rsidP="00770986">
      <w:pPr>
        <w:jc w:val="both"/>
        <w:rPr>
          <w:rFonts w:asciiTheme="majorHAnsi" w:hAnsiTheme="majorHAnsi"/>
        </w:rPr>
      </w:pPr>
      <w:r w:rsidRPr="0013327C">
        <w:rPr>
          <w:rFonts w:asciiTheme="majorHAnsi" w:hAnsiTheme="majorHAnsi"/>
        </w:rPr>
        <w:t xml:space="preserve">The inhibition of ER protein secretions has been examined. Mutations in the translocation protein SRP54 and the ER secretory protein SEC238 of </w:t>
      </w:r>
      <w:r w:rsidRPr="0013327C">
        <w:rPr>
          <w:rFonts w:asciiTheme="majorHAnsi" w:hAnsiTheme="majorHAnsi"/>
          <w:i/>
        </w:rPr>
        <w:t>Y. lipolytica</w:t>
      </w:r>
      <w:r w:rsidRPr="0013327C">
        <w:rPr>
          <w:rFonts w:asciiTheme="majorHAnsi" w:hAnsiTheme="majorHAnsi"/>
        </w:rPr>
        <w:t xml:space="preserve"> decreased peroxisome size and number. Further analysis of Pex2p and Pex16p revealed that they have N-glycosyl groups that require glycosylation in the ER prior to peroxisome delivery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"We have identified and characterized mutants of the yeast Yarrowia lipolytica that are deficient in protein secretion, in the ability to undergo dimorphic transition from the yeast to the mycelial form, and in peroxisome biogenesis. Mutations in the SEC238, SRP54, PEX1, PEX2, PEX6, and PEX9 genes affect protein secretion, prevent the exit of the precursor form of alkaline extracellular protease from the endoplasmic reticulum, and compromise peroxisome biogenesis. The mutants sec238A, srp54KO, pex2KO, pex6KO, and pex9KO are also deficient in the dimorphic transition from the yeast to the mycelial form and are affected in the export of only plasma membrane and cell wall-associated proteins specific for the mycelial form. Mutations in the SEC238, SRP54, PEX1, and PEX6 genes prevent or significantly delay the exit of two peroxisomal membrane proteins, Pex2p and Pex16p, from the endoplasmic reticulum en route to the peroxisomal membrane. Mutations in the PEX5, PEX16, and PEX17 genes, which have previously been shown to be essential for peroxisome biogenesis, affect the export of plasma membrane and cell wall-associated proteins specific for the mycelial form but do not impair exit from the endoplasmic reticulum of either Pex2p and Pex16p or of proteins destined for secretion. Biochemical analyses of these mutants provide evidence for the existence of four distinct secretory pathways that serve to deliver proteins for secretion, plasma membrane and cell wall synthesis during yeast and mycelial modes of growth, and peroxisome biogenesis. At least two of these secretory pathways, which are involved in the export of proteins to the external medium and in the delivery of proteins for assembly of the peroxisomal membrane, diverge at the level of the endoplasmic reticulum.", "author" : [ { "dropping-particle" : "", "family" : "Titorenko", "given" : "V I", "non-dropping-particle" : "", "parse-names" : false, "suffix" : "" }, { "dropping-particle" : "", "family" : "Ogrydziak", "given" : "D M", "non-dropping-particle" : "", "parse-names" : false, "suffix" : "" }, { "dropping-particle" : "", "family" : "Rachubinski", "given" : "R a", "non-dropping-particle" : "", "parse-names" : false, "suffix" : "" } ], "container-title" : "Molecular and cellular biology", "id" : "ITEM-1", "issue" : "9", "issued" : { "date-parts" : [ [ "1997", "9" ] ] }, "page" : "5210-26", "title" : "Four distinct secretory pathways serve protein secretion, cell surface growth, and peroxisome biogenesis in the yeast Yarrowia lipolytica.", "type" : "article-journal", "volume" : "17" }, "uris" : [ "http://www.mendeley.com/documents/?uuid=7b870162-6ed6-484d-abf1-d3a514dbf767" ] }, { "id" : "ITEM-2", "itemData" : { "abstract" : "Mutations in the SEC238 and SRP54 genes of the yeast Yarrowia lipolytica not only cause temperature-sensitive defects in the exit of the precursor form of alkaline extracellular protease and of other secretory proteins from the endoplasmic reticulum and in protein secretion but also lead to temperature-sensitive growth in oleic acid-containing medium, the metabolism of which requires the assembly of functionally intact peroxisomes. The sec238A and srp54KO mutations at the restrictive temperature significantly reduce the size and number of peroxisomes, affect the import of peroxisomal matrix and membrane proteins into the organelle, and significantly delay, but do not prevent, the exit of two peroxisomal membrane proteins, Pex2p and Pex16p, from the endoplasmic reticulum en route to the peroxisomal membrane. Mutations in the PEX1 and PEX6 genes, which encode members of the AAA family of N-ethylmaleimide-sensitive fusion protein-like ATPases, not only affect the exit of precursor forms of secretory proteins from the endoplasmic reticulum but also prevent the exit of the peroxisomal membrane proteins Pex2p and Pex16p from the endoplasmic reticulum and cause the accumulation of an extensive network of endoplasmic reticulum membranes. None of the peroxisomal matrix proteins tested associated with the endoplasmic reticulum in sec238A, srp54KO, pex1-1, and pex6KO mutant cells. Our data provide evidence that the endoplasmic reticulum is required for peroxisome biogenesis and suggest that in Y. lipolytica, the trafficking of some membrane proteins, but not matrix proteins, to the peroxisome occurs via the endoplasmic reticulum, results in their glycosylation within the lumen of the endoplasmic reticulum, does not involve transport through the Golgi, and requires the products encoded by the SEC238, SRP54, PEX1, and PEX6 genes.", "author" : [ { "dropping-particle" : "", "family" : "Titorenko", "given" : "V I", "non-dropping-particle" : "", "parse-names" : false, "suffix" : "" }, { "dropping-particle" : "", "family" : "Rachubinski", "given" : "R a", "non-dropping-particle" : "", "parse-names" : false, "suffix" : "" } ], "container-title" : "Molecular and cellular biology", "id" : "ITEM-2", "issue" : "5", "issued" : { "date-parts" : [ [ "1998", "5" ] ] }, "page" : "2789-803", "title" : "Mutants of the yeast Yarrowia lipolytica defective in protein exit from the endoplasmic reticulum are also defective in peroxisome biogenesis.", "type" : "article-journal", "volume" : "18" }, "uris" : [ "http://www.mendeley.com/documents/?uuid=0a4eeab7-194f-485e-b3e1-00cfbb221028" ] } ], "mendeley" : { "manualFormatting" : "(Titorenko et al., 1997; Titorenko &amp; Rachubinski 1998)", "previouslyFormattedCitation" : "(Titorenko, Ogrydziak &amp; Rachubinski 1997; Titorenko &amp; Rachubinski 1998)"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(Titorenko </w:t>
      </w:r>
      <w:r w:rsidR="00466108" w:rsidRPr="00466108">
        <w:rPr>
          <w:rFonts w:asciiTheme="majorHAnsi" w:hAnsiTheme="majorHAnsi"/>
          <w:i/>
          <w:noProof/>
        </w:rPr>
        <w:t>et al</w:t>
      </w:r>
      <w:r w:rsidRPr="0013327C">
        <w:rPr>
          <w:rFonts w:asciiTheme="majorHAnsi" w:hAnsiTheme="majorHAnsi"/>
          <w:noProof/>
        </w:rPr>
        <w:t>., 1997; Titorenko &amp; Rachubinski 1998)</w:t>
      </w:r>
      <w:r w:rsidR="009A1FEC" w:rsidRPr="0013327C">
        <w:rPr>
          <w:rFonts w:asciiTheme="majorHAnsi" w:hAnsiTheme="majorHAnsi"/>
        </w:rPr>
        <w:fldChar w:fldCharType="end"/>
      </w:r>
      <w:r w:rsidRPr="0013327C">
        <w:rPr>
          <w:rFonts w:asciiTheme="majorHAnsi" w:hAnsiTheme="majorHAnsi"/>
        </w:rPr>
        <w:t xml:space="preserve">. Experiments in mouse dendritic cells showed Pex13p and PMP70, both membrane proteins, to be in parts of the ER and lamellar structures using immunogold labelling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"10.1091/mbc.E02", "author" : [ { "dropping-particle" : "", "family" : "Geuze", "given" : "Hans J", "non-dropping-particle" : "", "parse-names" : false, "suffix" : "" }, { "dropping-particle" : "", "family" : "Murk", "given" : "Jean Luc", "non-dropping-particle" : "", "parse-names" : false, "suffix" : "" }, { "dropping-particle" : "", "family" : "Stroobants", "given" : "An K", "non-dropping-particle" : "", "parse-names" : false, "suffix" : "" }, { "dropping-particle" : "", "family" : "Griffith", "given" : "Janice M", "non-dropping-particle" : "", "parse-names" : false, "suffix" : "" }, { "dropping-particle" : "", "family" : "Kleijmeer", "given" : "Monique J", "non-dropping-particle" : "", "parse-names" : false, "suffix" : "" }, { "dropping-particle" : "", "family" : "Koster", "given" : "Abraham J", "non-dropping-particle" : "", "parse-names" : false, "suffix" : "" }, { "dropping-particle" : "", "family" : "Verkleij", "given" : "Arie J", "non-dropping-particle" : "", "parse-names" : false, "suffix" : "" }, { "dropping-particle" : "", "family" : "Distel", "given" : "Ben", "non-dropping-particle" : "", "parse-names" : false, "suffix" : "" }, { "dropping-particle" : "", "family" : "Tabak", "given" : "Henk F", "non-dropping-particle" : "", "parse-names" : false, "suffix" : "" } ], "container-title" : "Molecular biology of the cell", "id" : "ITEM-1", "issue" : "July", "issued" : { "date-parts" : [ [ "2003" ] ] }, "page" : "2900-2907", "title" : "Involvement of the Endoplasmic Reticulum in Peroxisome Formation", "type" : "article-journal", "volume" : "14" }, "uris" : [ "http://www.mendeley.com/documents/?uuid=a309f935-217c-4495-a7fd-2ab8e3a0a6d4" ] } ], "mendeley" : { "previouslyFormattedCitation" : "(Geuze et al. 2003)"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(Geuze </w:t>
      </w:r>
      <w:r w:rsidR="00466108" w:rsidRPr="00466108">
        <w:rPr>
          <w:rFonts w:asciiTheme="majorHAnsi" w:hAnsiTheme="majorHAnsi"/>
          <w:i/>
          <w:noProof/>
        </w:rPr>
        <w:t>et al</w:t>
      </w:r>
      <w:r w:rsidRPr="0013327C">
        <w:rPr>
          <w:rFonts w:asciiTheme="majorHAnsi" w:hAnsiTheme="majorHAnsi"/>
          <w:noProof/>
        </w:rPr>
        <w:t>. 2003)</w:t>
      </w:r>
      <w:r w:rsidR="009A1FEC" w:rsidRPr="0013327C">
        <w:rPr>
          <w:rFonts w:asciiTheme="majorHAnsi" w:hAnsiTheme="majorHAnsi"/>
        </w:rPr>
        <w:fldChar w:fldCharType="end"/>
      </w:r>
      <w:r w:rsidRPr="0013327C">
        <w:rPr>
          <w:rFonts w:asciiTheme="majorHAnsi" w:hAnsiTheme="majorHAnsi"/>
        </w:rPr>
        <w:t xml:space="preserve">. Additionally continuities were shown between ER and lamellae and between lamellae and mature peroxisomes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"Peroxisomes belong to the ubiquitous organelle repertoire of eukaryotic cells. They contribute to cellular metabolism in various ways depending on species, but a consistent feature is the presence of enzymes to degrade fatty acids. Due to the pioneering work of DeDuve and coworkers, peroxisomes were in the limelight of cell biology in the sixties with a focus on their metabolic role. During the last decade, interest in peroxisomes has been growing again, this time with focus on their origin and maintenance. This has resulted in our understanding how peroxisomal proteins are targeted to the organelle and imported into the organellar matrix or recruited into the single membrane surrounding it. With respect to the formation of peroxisomes, the field is divided. The long-held view formulated in 1985 by Lazarow and Fujiki (Lazarow PB, Fujiki Y. Biogenesis of peroxisomes. Annu Rev Cell Biol 1985; 1: 489-530) is that we are dealing with autonomous organelles multiplying by growth and division. This view is being challenged by various observations that call attention to a more active contribution of the ER to peroxisome formation. Our contribution to this debate consists of recent observations using immuno-electronmicroscopy and electron tomography in mouse dendritic cells that show the peroxisomal membrane to be derived from the ER.", "author" : [ { "dropping-particle" : "", "family" : "Tabak", "given" : "Henk F", "non-dropping-particle" : "", "parse-names" : false, "suffix" : "" }, { "dropping-particle" : "", "family" : "Murk", "given" : "Jean L", "non-dropping-particle" : "", "parse-names" : false, "suffix" : "" }, { "dropping-particle" : "", "family" : "Braakman", "given" : "Ineke", "non-dropping-particle" : "", "parse-names" : false, "suffix" : "" }, { "dropping-particle" : "", "family" : "Geuze", "given" : "Hans J", "non-dropping-particle" : "", "parse-names" : false, "suffix" : "" } ], "container-title" : "Traffic (Copenhagen, Denmark)", "id" : "ITEM-1", "issue" : "8", "issued" : { "date-parts" : [ [ "2003", "8" ] ] }, "page" : "512-8", "title" : "Peroxisomes start their life in the endoplasmic reticulum.", "type" : "article-journal", "volume" : "4" }, "uris" : [ "http://www.mendeley.com/documents/?uuid=c6bd2237-a773-4d74-ae7b-742d7541ec5a" ] } ], "mendeley" : { "previouslyFormattedCitation" : "(Tabak et al. 2003)"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(Tabak </w:t>
      </w:r>
      <w:r w:rsidR="00466108" w:rsidRPr="00466108">
        <w:rPr>
          <w:rFonts w:asciiTheme="majorHAnsi" w:hAnsiTheme="majorHAnsi"/>
          <w:i/>
          <w:noProof/>
        </w:rPr>
        <w:t>et al</w:t>
      </w:r>
      <w:r w:rsidRPr="0013327C">
        <w:rPr>
          <w:rFonts w:asciiTheme="majorHAnsi" w:hAnsiTheme="majorHAnsi"/>
          <w:noProof/>
        </w:rPr>
        <w:t>. 2003)</w:t>
      </w:r>
      <w:r w:rsidR="009A1FEC" w:rsidRPr="0013327C">
        <w:rPr>
          <w:rFonts w:asciiTheme="majorHAnsi" w:hAnsiTheme="majorHAnsi"/>
        </w:rPr>
        <w:fldChar w:fldCharType="end"/>
      </w:r>
      <w:r w:rsidRPr="0013327C">
        <w:rPr>
          <w:rFonts w:asciiTheme="majorHAnsi" w:hAnsiTheme="majorHAnsi"/>
        </w:rPr>
        <w:t>. Peroxisomal matrix enzymes and PMPs were distributed through different reticular compartments, suggesting a stepwise collection of peroxisomal component proteins, eventually forming peroxisomes.</w:t>
      </w:r>
    </w:p>
    <w:p w:rsidR="00770986" w:rsidRPr="0013327C" w:rsidRDefault="00770986" w:rsidP="00770986">
      <w:pPr>
        <w:jc w:val="both"/>
        <w:rPr>
          <w:rFonts w:asciiTheme="majorHAnsi" w:hAnsiTheme="majorHAnsi"/>
        </w:rPr>
      </w:pPr>
      <w:r w:rsidRPr="0013327C">
        <w:rPr>
          <w:rFonts w:asciiTheme="majorHAnsi" w:hAnsiTheme="majorHAnsi"/>
        </w:rPr>
        <w:t xml:space="preserve">Peroxisomal membrane and matrix proteins have been demonstrated to concentrate in ER locations  in </w:t>
      </w:r>
      <w:r w:rsidRPr="0013327C">
        <w:rPr>
          <w:rFonts w:asciiTheme="majorHAnsi" w:hAnsiTheme="majorHAnsi"/>
          <w:i/>
        </w:rPr>
        <w:t>A. thaliana</w:t>
      </w:r>
      <w:r w:rsidRPr="0013327C">
        <w:rPr>
          <w:rFonts w:asciiTheme="majorHAnsi" w:hAnsiTheme="majorHAnsi"/>
        </w:rPr>
        <w:t xml:space="preserve"> (</w:t>
      </w:r>
      <w:r w:rsidRPr="0013327C">
        <w:rPr>
          <w:rFonts w:asciiTheme="majorHAnsi" w:hAnsiTheme="majorHAnsi"/>
          <w:noProof/>
        </w:rPr>
        <w:t xml:space="preserve">Mullen </w:t>
      </w:r>
      <w:r w:rsidR="00466108" w:rsidRPr="00466108">
        <w:rPr>
          <w:rFonts w:asciiTheme="majorHAnsi" w:hAnsiTheme="majorHAnsi"/>
          <w:i/>
          <w:noProof/>
        </w:rPr>
        <w:t>et al</w:t>
      </w:r>
      <w:r w:rsidRPr="0013327C">
        <w:rPr>
          <w:rFonts w:asciiTheme="majorHAnsi" w:hAnsiTheme="majorHAnsi"/>
          <w:noProof/>
        </w:rPr>
        <w:t>. 1999</w:t>
      </w:r>
      <w:r w:rsidRPr="0013327C">
        <w:rPr>
          <w:rFonts w:asciiTheme="majorHAnsi" w:hAnsiTheme="majorHAnsi"/>
        </w:rPr>
        <w:t>),</w:t>
      </w:r>
      <w:r w:rsidRPr="0013327C">
        <w:rPr>
          <w:rFonts w:asciiTheme="majorHAnsi" w:hAnsiTheme="majorHAnsi"/>
          <w:i/>
        </w:rPr>
        <w:t xml:space="preserve"> H. polymorpha</w:t>
      </w:r>
      <w:r w:rsidRPr="0013327C">
        <w:rPr>
          <w:rFonts w:asciiTheme="majorHAnsi" w:hAnsiTheme="majorHAnsi"/>
        </w:rPr>
        <w:t xml:space="preserve"> and </w:t>
      </w:r>
      <w:r w:rsidRPr="0013327C">
        <w:rPr>
          <w:rFonts w:asciiTheme="majorHAnsi" w:hAnsiTheme="majorHAnsi"/>
          <w:i/>
        </w:rPr>
        <w:t>S. cerevisiae</w:t>
      </w:r>
      <w:r w:rsidRPr="0013327C">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"The peroxisomal isoform of ascorbate peroxidase (APX) is a novel membrane isoform that functions in the regeneration of NAD(+) and protection against toxic reactive oxygen species. The intracellular localization and sorting of peroxisomal APX were examined both in vivo and in vitro. Epitope-tagged peroxisomal APX, which was expressed transiently in tobacco BY-2 cells, localized to a reticular/circular network that resembled endoplasmic reticulum (ER; 3,3'-dihexyloxacarbocyanine iodide-stained membranes) and to peroxisomes. The reticular network did not colocalize with other organelle marker proteins, including three ER reticuloplasmins. However, in vitro, peroxisomal APX inserted post-translationally into the ER but not into other purified organelle membranes (including peroxisomal membranes). Insertion into the ER depended on the presence of molecular chaperones and ATP. These results suggest that regions of the ER serve as a possible intermediate in the sorting pathway of peroxisomal APX. Insight into this hypothesis was obtained from in vivo experiments with brefeldin A (BFA), a toxin that blocks vesicle-mediated protein export from ER. A transiently expressed chloramphenicol acetyltransferase-peroxisomal APX (CAT-pAPX) fusion protein accumulated only in the reticular/circular network in BFA-treated cells; after subsequent removal of BFA from these cells, the CAT-pAPX was distributed to preexisting peroxisomes. Thus, plant peroxisomal APX, a representative enzymatic peroxisomal membrane protein, is sorted to peroxisomes through an indirect pathway involving a preperoxisomal compartment with characteristics of a distinct subdomain of the ER, possibly a peroxisomal ER subdomain.", "author" : [ { "dropping-particle" : "", "family" : "Mullen", "given" : "R T", "non-dropping-particle" : "", "parse-names" : false, "suffix" : "" }, { "dropping-particle" : "", "family" : "Lisenbee", "given" : "C S", "non-dropping-particle" : "", "parse-names" : false, "suffix" : "" }, { "dropping-particle" : "", "family" : "Miernyk", "given" : "J a", "non-dropping-particle" : "", "parse-names" : false, "suffix" : "" }, { "dropping-particle" : "", "family" : "Trelease", "given" : "R N", "non-dropping-particle" : "", "parse-names" : false, "suffix" : "" } ], "container-title" : "The Plant cell", "id" : "ITEM-1", "issue" : "11", "issued" : { "date-parts" : [ [ "1999", "11" ] ] }, "page" : "2167-85", "title" : "Peroxisomal membrane ascorbate peroxidase is sorted to a membranous network that resembles a subdomain of the endoplasmic reticulum.", "type" : "article-journal", "volume" : "11" }, "uris" : [ "http://www.mendeley.com/documents/?uuid=72e91d72-a292-43e9-9313-01bb07a80f58" ] }, { "id" : "ITEM-2", "itemData" : { "ISBN" : "3150363217", "abstract" : "We have cloned and characterized the Hansenula polymorpha PER9 gene by functional complementation of the per9-1 mutant of H. polymorpha, which is defective in peroxisome biogenesis. The predicted product, Per9p, is a polypeptide of 52 kDa with sequence similarity to Pas3p, a protein involved in peroxisome biogenesis in Saccharomyces cerevisiae. In a per9 disruption strain (Deltaper9), peroxisomal matrix and membrane proteins are present at wild-type levels. The matrix proteins accumulated in the cytoplasm. However, the location of the membrane proteins remained obscure; fully induced Deltaper9 cells lacked residual peroxisomal vesicles (\"ghosts\"). Analysis of the activity of the PER9 promoter revealed that PER9 expression was low in cells grown on glucose, but was enhanced during growth of cells on peroxisome-inducing substrates. The highest expression levels were observed in cells grown on methanol. Localization studies revealed that Per9p is an integral membrane protein of the peroxisome. Targeting studies suggested that Per9p may be sorted to the peroxisome via the endoplasmic reticulum. Overexpression of PER9 induced a significant increase in the number of peroxisomes per cell, a result that suggests that Per9p may be involved in peroxisome proliferation and/or membrane biosynthesis. When PER9 expression was placed under the control of a strongly regulatable promoter and switched off, peroxisomes were observed to disintegrate over time in a manner that suggested that Per9p may be required for maintenance of the peroxisomal membrane.", "author" : [ { "dropping-particle" : "", "family" : "Baerends", "given" : "R J", "non-dropping-particle" : "", "parse-names" : false, "suffix" : "" }, { "dropping-particle" : "", "family" : "Rasmussen", "given" : "S W", "non-dropping-particle" : "", "parse-names" : false, "suffix" : "" }, { "dropping-particle" : "", "family" : "Hilbrands", "given" : "R E", "non-dropping-particle" : "", "parse-names" : false, "suffix" : "" }, { "dropping-particle" : "", "family" : "Heide", "given" : "M", "non-dropping-particle" : "van der", "parse-names" : false, "suffix" : "" }, { "dropping-particle" : "", "family" : "Faber", "given" : "K N", "non-dropping-particle" : "", "parse-names" : false, "suffix" : "" }, { "dropping-particle" : "", "family" : "Reuvekamp", "given" : "P T", "non-dropping-particle" : "", "parse-names" : false, "suffix" : "" }, { "dropping-particle" : "", "family" : "Kiel", "given" : "J a", "non-dropping-particle" : "", "parse-names" : false, "suffix" : "" }, { "dropping-particle" : "", "family" : "Cregg", "given" : "J M", "non-dropping-particle" : "", "parse-names" : false, "suffix" : "" }, { "dropping-particle" : "", "family" : "Klei", "given" : "I J", "non-dropping-particle" : "van der", "parse-names" : false, "suffix" : "" }, { "dropping-particle" : "", "family" : "Veenhuis", "given" : "M", "non-dropping-particle" : "", "parse-names" : false, "suffix" : "" } ], "container-title" : "The Journal of biological chemistry", "id" : "ITEM-2", "issue" : "15", "issued" : { "date-parts" : [ [ "1996", "4", "12" ] ] }, "page" : "8887-94", "title" : "The Hansenula polymorpha PER9 gene encodes a peroxisomal membrane protein essential for peroxisome assembly and integrity.", "type" : "article-journal", "volume" : "271" }, "uris" : [ "http://www.mendeley.com/documents/?uuid=3b1c515d-aad6-48e0-8990-07e08a22c0fc" ] }, { "id" : "ITEM-3", "itemData" : { "DOI" : "10.1016/j.cell.2005.04.025", "abstract" : "How peroxisomes are formed in eukaryotic cells is unknown but important for insight into a variety of diseases. Both human and yeast cells lacking peroxisomes due to mutations in PEX3 or PEX19 genes regenerate the organelles upon reintroduction of the corresponding wild-type version. To evaluate how and from where new peroxisomes are formed, we followed the trafficking route of newly made YFP-tagged Pex3 and Pex19 proteins by real-time fluorescence microscopy in Saccharomyces cerevisiae. Remarkably, Pex3 (an integral membrane protein) could first be observed in the endoplasmic reticulum (ER), where it concentrates in foci that then bud off in a Pex19-dependent manner and mature into fully functional peroxisomes. Pex19 (a farnesylated, mostly cytosolic protein) enriches first at the Pex3 foci on the ER and then on the maturing peroxisomes. This trafficking route of Pex3-YFP is the same in wild-type cells. These results demonstrate that peroxisomes are generated from domains in the ER.", "author" : [ { "dropping-particle" : "", "family" : "Hoepfner", "given" : "Dominic", "non-dropping-particle" : "", "parse-names" : false, "suffix" : "" }, { "dropping-particle" : "", "family" : "Schildknegt", "given" : "Danny", "non-dropping-particle" : "", "parse-names" : false, "suffix" : "" }, { "dropping-particle" : "", "family" : "Braakman", "given" : "Ineke", "non-dropping-particle" : "", "parse-names" : false, "suffix" : "" }, { "dropping-particle" : "", "family" : "Philippsen", "given" : "Peter", "non-dropping-particle" : "", "parse-names" : false, "suffix" : "" }, { "dropping-particle" : "", "family" : "Tabak", "given" : "Henk F", "non-dropping-particle" : "", "parse-names" : false, "suffix" : "" } ], "container-title" : "Cell", "id" : "ITEM-3", "issue" : "1", "issued" : { "date-parts" : [ [ "2005", "7", "15" ] ] }, "page" : "85-95", "title" : "Contribution of the endoplasmic reticulum to peroxisome formation.", "type" : "article-journal", "volume" : "122" }, "uris" : [ "http://www.mendeley.com/documents/?uuid=7e8ceb36-8189-41d1-b0e2-69933608cb43" ] } ], "mendeley" : { "manualFormatting" : "(Baerends et al. 1996; Hoepfner et al. 2005)", "previouslyFormattedCitation" : "(Mullen et al. 1999; Baerends et al. 1996; Hoepfner et al. 2005)"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(Baerends </w:t>
      </w:r>
      <w:r w:rsidR="00466108" w:rsidRPr="00466108">
        <w:rPr>
          <w:rFonts w:asciiTheme="majorHAnsi" w:hAnsiTheme="majorHAnsi"/>
          <w:i/>
          <w:noProof/>
        </w:rPr>
        <w:t>et al</w:t>
      </w:r>
      <w:r w:rsidRPr="0013327C">
        <w:rPr>
          <w:rFonts w:asciiTheme="majorHAnsi" w:hAnsiTheme="majorHAnsi"/>
          <w:noProof/>
        </w:rPr>
        <w:t xml:space="preserve">. 1996; Hoepfner </w:t>
      </w:r>
      <w:r w:rsidR="00466108" w:rsidRPr="00466108">
        <w:rPr>
          <w:rFonts w:asciiTheme="majorHAnsi" w:hAnsiTheme="majorHAnsi"/>
          <w:i/>
          <w:noProof/>
        </w:rPr>
        <w:t>et al</w:t>
      </w:r>
      <w:r w:rsidRPr="0013327C">
        <w:rPr>
          <w:rFonts w:asciiTheme="majorHAnsi" w:hAnsiTheme="majorHAnsi"/>
          <w:noProof/>
        </w:rPr>
        <w:t>. 2005)</w:t>
      </w:r>
      <w:r w:rsidR="009A1FEC" w:rsidRPr="0013327C">
        <w:rPr>
          <w:rFonts w:asciiTheme="majorHAnsi" w:hAnsiTheme="majorHAnsi"/>
        </w:rPr>
        <w:fldChar w:fldCharType="end"/>
      </w:r>
      <w:r w:rsidRPr="0013327C">
        <w:rPr>
          <w:rFonts w:asciiTheme="majorHAnsi" w:hAnsiTheme="majorHAnsi"/>
        </w:rPr>
        <w:t xml:space="preserve"> with particular attention being paid to Pex3p. Hoepfner </w:t>
      </w:r>
      <w:r w:rsidR="00466108" w:rsidRPr="00466108">
        <w:rPr>
          <w:rFonts w:asciiTheme="majorHAnsi" w:hAnsiTheme="majorHAnsi"/>
          <w:i/>
        </w:rPr>
        <w:t>et al</w:t>
      </w:r>
      <w:r w:rsidRPr="0013327C">
        <w:rPr>
          <w:rFonts w:asciiTheme="majorHAnsi" w:hAnsiTheme="majorHAnsi"/>
          <w:i/>
        </w:rPr>
        <w:t>.</w:t>
      </w:r>
      <w:r w:rsidRPr="0013327C">
        <w:rPr>
          <w:rFonts w:asciiTheme="majorHAnsi" w:hAnsiTheme="majorHAnsi"/>
        </w:rPr>
        <w:t xml:space="preserve"> used epifluorescence microscopy to demonstrate how Pex3p </w:t>
      </w:r>
      <w:r w:rsidRPr="0013327C">
        <w:rPr>
          <w:rFonts w:asciiTheme="majorHAnsi" w:hAnsiTheme="majorHAnsi"/>
        </w:rPr>
        <w:lastRenderedPageBreak/>
        <w:t xml:space="preserve">tagged with YFP appears in the ER when newly synthesised. It concentrates into small, punctate ER structures termed pre-peroxisomes which separate from the ER in a Pex19p-dependent process prior to maturation into peroxisomes. They show also how cytosolic Pex19p concentrates in structures on the ER before the structures dissociate and form mature peroxisomes. Removing either one of Pex3p or Pex19p causes the other and its associated ER puncta to remain with the ER and the formation of pre-peroxisomal structures and peroxisomes ceases. This is in accord with the theory that Pex3p is the anchoring receptor protein for Pex19p and supports the findings that peroxisome biogenesis does not occur without either of these proteins functioning. </w:t>
      </w:r>
    </w:p>
    <w:p w:rsidR="00770986" w:rsidRPr="0013327C" w:rsidRDefault="00770986" w:rsidP="00770986">
      <w:pPr>
        <w:jc w:val="both"/>
        <w:rPr>
          <w:rFonts w:asciiTheme="majorHAnsi" w:hAnsiTheme="majorHAnsi"/>
        </w:rPr>
      </w:pPr>
      <w:r w:rsidRPr="0013327C">
        <w:rPr>
          <w:rFonts w:asciiTheme="majorHAnsi" w:hAnsiTheme="majorHAnsi"/>
        </w:rPr>
        <w:t>Research into the ER-targeting of Pex3</w:t>
      </w:r>
      <w:r>
        <w:rPr>
          <w:rFonts w:asciiTheme="majorHAnsi" w:hAnsiTheme="majorHAnsi"/>
        </w:rPr>
        <w:t>p</w:t>
      </w:r>
      <w:r w:rsidRPr="0013327C">
        <w:rPr>
          <w:rFonts w:asciiTheme="majorHAnsi" w:hAnsiTheme="majorHAnsi"/>
        </w:rPr>
        <w:t xml:space="preserve"> has yielded a partial mechanism using a truncated version of the protein. </w:t>
      </w:r>
      <w:r>
        <w:rPr>
          <w:rFonts w:asciiTheme="majorHAnsi" w:hAnsiTheme="majorHAnsi"/>
        </w:rPr>
        <w:t>The N-terminal 46 residues are</w:t>
      </w:r>
      <w:r w:rsidRPr="0013327C">
        <w:rPr>
          <w:rFonts w:asciiTheme="majorHAnsi" w:hAnsiTheme="majorHAnsi"/>
        </w:rPr>
        <w:t xml:space="preserve"> capable of targeting to peroxisomes or to ER sub-domains in WT </w:t>
      </w:r>
      <w:r w:rsidRPr="0013327C">
        <w:rPr>
          <w:rFonts w:asciiTheme="majorHAnsi" w:hAnsiTheme="majorHAnsi"/>
          <w:i/>
        </w:rPr>
        <w:t>S. cerevisiae</w:t>
      </w:r>
      <w:r w:rsidRPr="0013327C">
        <w:rPr>
          <w:rFonts w:asciiTheme="majorHAnsi" w:hAnsiTheme="majorHAnsi"/>
        </w:rPr>
        <w:t xml:space="preserve"> cells. The truncation itself is incapable of peroxisome biogenesis in the absence of WT Pex3p. Their co-expression causes the migration of the truncated protein to mature  peroxisomes from pre-peroxisomal ER structures, again in a Pex19p, but also in a Pex14p dependent mechanism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"10.1091/mbc.E03", "author" : [ { "dropping-particle" : "", "family" : "Tam", "given" : "Yuen Yi C", "non-dropping-particle" : "", "parse-names" : false, "suffix" : "" }, { "dropping-particle" : "", "family" : "Torres-guzman", "given" : "Juan C", "non-dropping-particle" : "", "parse-names" : false, "suffix" : "" }, { "dropping-particle" : "", "family" : "Vizeacoumar", "given" : "Franco J", "non-dropping-particle" : "", "parse-names" : false, "suffix" : "" }, { "dropping-particle" : "", "family" : "Smith", "given" : "Jennifer J", "non-dropping-particle" : "", "parse-names" : false, "suffix" : "" }, { "dropping-particle" : "", "family" : "Marelli", "given" : "Marcello", "non-dropping-particle" : "", "parse-names" : false, "suffix" : "" }, { "dropping-particle" : "", "family" : "Aitchison", "given" : "John D", "non-dropping-particle" : "", "parse-names" : false, "suffix" : "" }, { "dropping-particle" : "", "family" : "Rachubinski", "given" : "Richard A", "non-dropping-particle" : "", "parse-names" : false, "suffix" : "" } ], "container-title" : "journal of biological chemistry", "id" : "ITEM-1", "issue" : "October", "issued" : { "date-parts" : [ [ "2003" ] ] }, "page" : "4089-4102", "title" : "Pex11-related Proteins in Peroxisome Dynamics : A Role for the Novel Peroxin Pex27p in Controlling Peroxisome Size and Number in Saccharomyces cerevisiae", "type" : "article-journal", "volume" : "14" }, "uris" : [ "http://www.mendeley.com/documents/?uuid=e90e7d81-5d2a-4929-ad55-bf62cb233a47" ] } ], "mendeley" : { "previouslyFormattedCitation" : "(Tam et al. 2003)"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(Tam </w:t>
      </w:r>
      <w:r w:rsidR="00466108" w:rsidRPr="00466108">
        <w:rPr>
          <w:rFonts w:asciiTheme="majorHAnsi" w:hAnsiTheme="majorHAnsi"/>
          <w:i/>
          <w:noProof/>
        </w:rPr>
        <w:t>et al</w:t>
      </w:r>
      <w:r w:rsidRPr="0013327C">
        <w:rPr>
          <w:rFonts w:asciiTheme="majorHAnsi" w:hAnsiTheme="majorHAnsi"/>
          <w:noProof/>
        </w:rPr>
        <w:t>. 2003)</w:t>
      </w:r>
      <w:r w:rsidR="009A1FEC" w:rsidRPr="0013327C">
        <w:rPr>
          <w:rFonts w:asciiTheme="majorHAnsi" w:hAnsiTheme="majorHAnsi"/>
        </w:rPr>
        <w:fldChar w:fldCharType="end"/>
      </w:r>
      <w:r w:rsidRPr="0013327C">
        <w:rPr>
          <w:rFonts w:asciiTheme="majorHAnsi" w:hAnsiTheme="majorHAnsi"/>
        </w:rPr>
        <w:t xml:space="preserve">. </w:t>
      </w:r>
    </w:p>
    <w:p w:rsidR="00770986" w:rsidRPr="0013327C" w:rsidRDefault="00770986" w:rsidP="00770986">
      <w:pPr>
        <w:jc w:val="both"/>
        <w:rPr>
          <w:rFonts w:asciiTheme="majorHAnsi" w:hAnsiTheme="majorHAnsi"/>
        </w:rPr>
      </w:pPr>
      <w:r w:rsidRPr="0013327C">
        <w:rPr>
          <w:rFonts w:asciiTheme="majorHAnsi" w:hAnsiTheme="majorHAnsi"/>
        </w:rPr>
        <w:t xml:space="preserve">The second mechanism that has been proposed to explain the proliferation of peroxisomes is the “growth and division” model. This model suggests that peroxisomes grow by the assimilation of matrix and membrane proteins cytosolically synthesised and delivered from the cytosol. Upon achieving a critical size the peroxisome divides into daughter peroxisomes and the process is repeated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"Rachubinski", "given" : "Richard A", "non-dropping-particle" : "", "parse-names" : false, "suffix" : "" }, { "dropping-particle" : "", "family" : "Fujiki", "given" : "Yukio", "non-dropping-particle" : "", "parse-names" : false, "suffix" : "" }, { "dropping-particle" : "", "family" : "Mortensen", "given" : "Richard M", "non-dropping-particle" : "", "parse-names" : false, "suffix" : "" }, { "dropping-particle" : "", "family" : "Lazarow", "given" : "Paul B", "non-dropping-particle" : "", "parse-names" : false, "suffix" : "" } ], "container-title" : "Journal of Cell Biology", "id" : "ITEM-1", "issued" : { "date-parts" : [ [ "1984" ] ] }, "page" : "2241-2246", "title" : "AcyI-CoA Oxidase and Hydratase-Dehydrogenase, Two Enzymes of the Peroxisomal/ -Oxidation System, Are Synthesized on Free Polysomes of Clofibrate-treated Rat Liver", "type" : "article-journal", "volume" : "99" }, "uris" : [ "http://www.mendeley.com/documents/?uuid=4e9ad8ec-3b38-475a-a0e1-181826547611" ] } ], "mendeley" : { "previouslyFormattedCitation" : "(Rachubinski et al. 1984)"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(Rachubinski </w:t>
      </w:r>
      <w:r w:rsidR="00466108" w:rsidRPr="00466108">
        <w:rPr>
          <w:rFonts w:asciiTheme="majorHAnsi" w:hAnsiTheme="majorHAnsi"/>
          <w:i/>
          <w:noProof/>
        </w:rPr>
        <w:t>et al</w:t>
      </w:r>
      <w:r w:rsidRPr="0013327C">
        <w:rPr>
          <w:rFonts w:asciiTheme="majorHAnsi" w:hAnsiTheme="majorHAnsi"/>
          <w:noProof/>
        </w:rPr>
        <w:t>. 1984)</w:t>
      </w:r>
      <w:r w:rsidR="009A1FEC" w:rsidRPr="0013327C">
        <w:rPr>
          <w:rFonts w:asciiTheme="majorHAnsi" w:hAnsiTheme="majorHAnsi"/>
        </w:rPr>
        <w:fldChar w:fldCharType="end"/>
      </w:r>
      <w:r w:rsidRPr="0013327C">
        <w:rPr>
          <w:rFonts w:asciiTheme="majorHAnsi" w:hAnsiTheme="majorHAnsi"/>
        </w:rPr>
        <w:t>. The model allows that the ER contribution is for the provision of membrane lipids to promote growth of the peroxisomal membrane.</w:t>
      </w:r>
    </w:p>
    <w:p w:rsidR="00770986" w:rsidRPr="0013327C" w:rsidRDefault="00770986" w:rsidP="00770986">
      <w:pPr>
        <w:jc w:val="both"/>
        <w:rPr>
          <w:rFonts w:asciiTheme="majorHAnsi" w:hAnsiTheme="majorHAnsi"/>
        </w:rPr>
      </w:pPr>
      <w:r w:rsidRPr="0013327C">
        <w:rPr>
          <w:rFonts w:asciiTheme="majorHAnsi" w:hAnsiTheme="majorHAnsi"/>
        </w:rPr>
        <w:t>There is strong opposition to this model (together with previously mentioned research) in studies that show that in peroxisome-lacking cells (Δ</w:t>
      </w:r>
      <w:r w:rsidRPr="000C26B2">
        <w:rPr>
          <w:rFonts w:asciiTheme="majorHAnsi" w:hAnsiTheme="majorHAnsi"/>
          <w:i/>
        </w:rPr>
        <w:t>PEX</w:t>
      </w:r>
      <w:r w:rsidRPr="0013327C">
        <w:rPr>
          <w:rFonts w:asciiTheme="majorHAnsi" w:hAnsiTheme="majorHAnsi"/>
        </w:rPr>
        <w:t>3, Δ</w:t>
      </w:r>
      <w:r w:rsidRPr="000C26B2">
        <w:rPr>
          <w:rFonts w:asciiTheme="majorHAnsi" w:hAnsiTheme="majorHAnsi"/>
          <w:i/>
        </w:rPr>
        <w:t>PEX</w:t>
      </w:r>
      <w:r w:rsidRPr="0013327C">
        <w:rPr>
          <w:rFonts w:asciiTheme="majorHAnsi" w:hAnsiTheme="majorHAnsi"/>
        </w:rPr>
        <w:t>16 and Δ</w:t>
      </w:r>
      <w:r w:rsidRPr="000C26B2">
        <w:rPr>
          <w:rFonts w:asciiTheme="majorHAnsi" w:hAnsiTheme="majorHAnsi"/>
          <w:i/>
        </w:rPr>
        <w:t>PEX</w:t>
      </w:r>
      <w:r w:rsidRPr="0013327C">
        <w:rPr>
          <w:rFonts w:asciiTheme="majorHAnsi" w:hAnsiTheme="majorHAnsi"/>
        </w:rPr>
        <w:t xml:space="preserve">19) peroxisomes reappeared when the cells were rescued by expression of the WT gene.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"At least 11 complementation groups (CGs) have been identified for the peroxisome biogenesis disorders (PBDs) such as Zellweger syndrome, for which seven pathogenic genes have been elucidated. We have isolated a human PEX19 cDNA (HsPEX19) by functional complementation of peroxisome deficiency of a mutant Chinese hamster ovary cell line, ZP119, defective in import of both matrix and membrane proteins. This cDNA encodes a hydrophilic protein (Pex19p) comprising 299 amino acids, with a prenylation motif, CAAX box, at the C terminus. Farnesylated Pex19p is partly, if not all, anchored in the peroxisomal membrane, exposing its N-terminal part to the cytosol. A stable transformant of ZP119 with HsPEX19 was morphologically and biochemically restored for peroxisome biogenesis. HsPEX19 expression also restored peroxisomal protein import in fibroblasts from a patient (PBDJ-01) with Zellweger syndrome of CG-J. This patient (PBDJ-01) possessed a homozygous, inactivating mutation: a 1-base insertion, A764, in a codon for Met255, resulted in a frameshift, inducing a 24-aa sequence entirely distinct from normal Pex19p. These results demonstrate that PEX19 is the causative gene for CG-J PBD and suggest that the C-terminal part, including the CAAX homology box, is required for the biological function of Pex19p. Moreover, Pex19p is apparently involved at the initial stage in peroxisome membrane assembly, before the import of matrix protein.", "author" : [ { "dropping-particle" : "", "family" : "Matsuzono", "given" : "Y", "non-dropping-particle" : "", "parse-names" : false, "suffix" : "" }, { "dropping-particle" : "", "family" : "Kinoshita", "given" : "N", "non-dropping-particle" : "", "parse-names" : false, "suffix" : "" }, { "dropping-particle" : "", "family" : "Tamura", "given" : "S", "non-dropping-particle" : "", "parse-names" : false, "suffix" : "" }, { "dropping-particle" : "", "family" : "Shimozawa", "given" : "N", "non-dropping-particle" : "", "parse-names" : false, "suffix" : "" }, { "dropping-particle" : "", "family" : "Hamasaki", "given" : "M", "non-dropping-particle" : "", "parse-names" : false, "suffix" : "" }, { "dropping-particle" : "", "family" : "Ghaedi", "given" : "K", "non-dropping-particle" : "", "parse-names" : false, "suffix" : "" }, { "dropping-particle" : "", "family" : "Wanders", "given" : "R J", "non-dropping-particle" : "", "parse-names" : false, "suffix" : "" }, { "dropping-particle" : "", "family" : "Suzuki", "given" : "Y", "non-dropping-particle" : "", "parse-names" : false, "suffix" : "" }, { "dropping-particle" : "", "family" : "Kondo", "given" : "N", "non-dropping-particle" : "", "parse-names" : false, "suffix" : "" }, { "dropping-particle" : "", "family" : "Fujiki", "given" : "Y", "non-dropping-particle" : "", "parse-names" : false, "suffix" : "" } ], "container-title" : "Proceedings of the National Academy of Sciences of the United States of America", "id" : "ITEM-1", "issue" : "5", "issued" : { "date-parts" : [ [ "1999", "3", "2" ] ] }, "page" : "2116-21", "title" : "Human PEX19: cDNA cloning by functional complementation, mutation analysis in a patient with Zellweger syndrome, and potential role in peroxisomal membrane assembly.", "type" : "article-journal", "volume" : "96" }, "uris" : [ "http://www.mendeley.com/documents/?uuid=a4b5e1c4-e95b-4268-b2ea-602ecee63aea" ] }, { "id" : "ITEM-2", "itemData" : { "abstract" : "Peroxisomes are components of virtually all eukaryotic cells. While much is known about peroxisomal matrix protein import, our understanding of how peroxisomal membrane proteins (PMPs) are targeted and inserted into the peroxisome membrane is extremely limited. Here, we show that PEX19 binds a broad spectrum of PMPs, displays saturable PMP binding, and interacts with regions of PMPs required for their targeting to peroxisomes. Furthermore, mislocalization of PEX19 to the nucleus leads to nuclear accumulation of newly synthesized PMPs. At steady state, PEX19 is bimodally distributed between the cytoplasm and peroxisome, with most of the protein in the cytoplasm. We propose that PEX19 may bind newly synthesized PMPs and facilitate their insertion into the peroxisome membrane. This hypothesis is supported by the observation that the loss of PEX19 results in degradation of PMPs and/or mislocalization of PMPs to the mitochondrion.", "author" : [ { "dropping-particle" : "", "family" : "Sacksteder", "given" : "K a", "non-dropping-particle" : "", "parse-names" : false, "suffix" : "" }, { "dropping-particle" : "", "family" : "Jones", "given" : "J M", "non-dropping-particle" : "", "parse-names" : false, "suffix" : "" }, { "dropping-particle" : "", "family" : "South", "given" : "S T", "non-dropping-particle" : "", "parse-names" : false, "suffix" : "" }, { "dropping-particle" : "", "family" : "Li", "given" : "X", "non-dropping-particle" : "", "parse-names" : false, "suffix" : "" }, { "dropping-particle" : "", "family" : "Liu", "given" : "Y", "non-dropping-particle" : "", "parse-names" : false, "suffix" : "" }, { "dropping-particle" : "", "family" : "Gould", "given" : "S J", "non-dropping-particle" : "", "parse-names" : false, "suffix" : "" } ], "container-title" : "The Journal of cell biology", "id" : "ITEM-2", "issue" : "5", "issued" : { "date-parts" : [ [ "2000", "3", "6" ] ] }, "page" : "931-44", "title" : "PEX19 binds multiple peroxisomal membrane proteins, is predominantly cytoplasmic, and is required for peroxisome membrane synthesis.", "type" : "article-journal", "volume" : "148" }, "uris" : [ "http://www.mendeley.com/documents/?uuid=4452b549-a9a8-4c42-836b-f280e8f17e16" ] }, { "id" : "ITEM-3", "itemData" : { "abstract" : "In humans, defects in peroxisome biogenesis are the cause of lethal diseases typified by Zellweger syndrome. Here, we show that inactivating mutations in human PEX3 cause Zellweger syndrome, abrogate peroxisome membrane synthesis, and result in reduced abundance of peroxisomal membrane proteins (PMPs) and/or mislocalization of PMPs to the mitochondria. Previous studies have suggested that PEX3 may traffic through the ER en route to the peroxisome, that the COPI inhibitor, brefeldin A, leads to accumulation of PEX3 in the ER, and that PEX3 overexpression alters the morphology of the ER. However, we were unable to detect PEX3 in the ER at early times after expression. Furthermore, we find that inhibition of COPI function by brefeldin A has no effect on trafficking of PEX3 to peroxisomes and does not inhibit PEX3-mediated peroxisome biogenesis. We also find that inhibition of COPII-dependent membrane traffic by a dominant negative SAR1 mutant fails to block PEX3 transport to peroxisomes and PEX3-mediated peroxisome synthesis. Based on these results, we propose that PEX3 targeting to peroxisomes and PEX3-mediated peroxisome membrane synthesis may occur independently of COPI- and COPII-dependent membrane traffic.", "author" : [ { "dropping-particle" : "", "family" : "South", "given" : "S T", "non-dropping-particle" : "", "parse-names" : false, "suffix" : "" }, { "dropping-particle" : "", "family" : "Sacksteder", "given" : "K a", "non-dropping-particle" : "", "parse-names" : false, "suffix" : "" }, { "dropping-particle" : "", "family" : "Li", "given" : "X", "non-dropping-particle" : "", "parse-names" : false, "suffix" : "" }, { "dropping-particle" : "", "family" : "Liu", "given" : "Y", "non-dropping-particle" : "", "parse-names" : false, "suffix" : "" }, { "dropping-particle" : "", "family" : "Gould", "given" : "S J", "non-dropping-particle" : "", "parse-names" : false, "suffix" : "" } ], "container-title" : "The Journal of cell biology", "id" : "ITEM-3", "issue" : "7", "issued" : { "date-parts" : [ [ "2000", "6", "26" ] ] }, "page" : "1345-60", "title" : "Inhibitors of COPI and COPII do not block PEX3-mediated peroxisome synthesis.", "type" : "article-journal", "volume" : "149" }, "uris" : [ "http://www.mendeley.com/documents/?uuid=869719e8-0c1c-40fc-a279-e3aaf578afc0" ] }, { "id" : "ITEM-4", "itemData" : { "abstract" : "The classic model for peroxisome biogenesis states that new peroxisomes arise by the fission of pre-existing ones and that peroxisomal matrix and membrane proteins are recruited directly from the cytosol. Recent studies challenge this model and suggest that some peroxisomal membrane proteins might traffic via the endoplasmic reticulum to peroxisomes. We have studied the trafficking in human fibroblasts of three peroxisomal membrane proteins, Pex2p, Pex3p and Pex16p, all of which have been suggested to transit the endoplasmic reticulum before arriving in peroxisomes. Here, we show that targeting of these peroxisomal membrane proteins is not affected by inhibitors of COPI and COPII that block vesicle transport in the early secretory pathway. Moreover, we have obtained no evidence for the presence of these peroxisomal membrane proteins in compartments other than perox</w:instrText>
      </w:r>
      <w:r w:rsidR="00D72F07" w:rsidRPr="00D72F07">
        <w:rPr>
          <w:rFonts w:asciiTheme="majorHAnsi" w:hAnsiTheme="majorHAnsi"/>
          <w:lang w:val="nl-NL"/>
        </w:rPr>
        <w:instrText>isomes and demonstrate that COPI and COPII inhibitors do not affect peroxisome morphology or integrity. Together, these data fail to provide any evidence for a role of the endoplasmic reticulum in peroxisome biogenesis.", "author" : [ { "dropping-particle" : "", "family" : "Voorn-Brouwer", "given" : "T", "non-dropping-particle" : "", "parse-names" : false, "suffix" : "" }, { "dropping-particle" : "", "family" : "Kragt", "given" : "a", "non-dropping-particle" : "", "parse-names" : false, "suffix" : "" }, { "dropping-particle" : "", "family" : "Tabak", "given" : "H F", "non-dropping-particle" : "", "parse-names" : false, "suffix" : "" }, { "dropping-particle" : "", "family" : "Distel", "given" : "B", "non-dropping-particle" : "", "parse-names" : false, "suffix" : "" } ], "container-title" : "Journal of cell science", "id" : "ITEM-4", "issue" : "Pt 11", "issued" : { "date-parts" : [ [ "2001", "6" ] ] }, "page" : "2199-204", "title" : "Peroxisomal membrane proteins are properly targeted to peroxisomes in the absence of COPI- and COPII-mediated vesicular transport.", "type" : "article-journal", "volume" : "114" }, "uris" : [ "http://www.mendeley.com/documents/?uuid=df8121bd-fe08-4761-a923-8ee20cc961b1" ] } ], "mendeley" : { "previouslyFormattedCitation" : "(Matsuzono et al. 1999; Sacksteder et al. 2000; South et al. 2000; Voorn-Brouwer et al. 2001)"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lang w:val="nl-NL"/>
        </w:rPr>
        <w:t xml:space="preserve">(Matsuzono </w:t>
      </w:r>
      <w:r w:rsidR="00466108" w:rsidRPr="00466108">
        <w:rPr>
          <w:rFonts w:asciiTheme="majorHAnsi" w:hAnsiTheme="majorHAnsi"/>
          <w:i/>
          <w:noProof/>
          <w:lang w:val="nl-NL"/>
        </w:rPr>
        <w:t>et al</w:t>
      </w:r>
      <w:r w:rsidRPr="0013327C">
        <w:rPr>
          <w:rFonts w:asciiTheme="majorHAnsi" w:hAnsiTheme="majorHAnsi"/>
          <w:noProof/>
          <w:lang w:val="nl-NL"/>
        </w:rPr>
        <w:t xml:space="preserve">. 1999; Sacksteder </w:t>
      </w:r>
      <w:r w:rsidR="00466108" w:rsidRPr="00466108">
        <w:rPr>
          <w:rFonts w:asciiTheme="majorHAnsi" w:hAnsiTheme="majorHAnsi"/>
          <w:i/>
          <w:noProof/>
          <w:lang w:val="nl-NL"/>
        </w:rPr>
        <w:t>et al</w:t>
      </w:r>
      <w:r w:rsidRPr="0013327C">
        <w:rPr>
          <w:rFonts w:asciiTheme="majorHAnsi" w:hAnsiTheme="majorHAnsi"/>
          <w:noProof/>
          <w:lang w:val="nl-NL"/>
        </w:rPr>
        <w:t xml:space="preserve">. 2000; South </w:t>
      </w:r>
      <w:r w:rsidR="00466108" w:rsidRPr="00466108">
        <w:rPr>
          <w:rFonts w:asciiTheme="majorHAnsi" w:hAnsiTheme="majorHAnsi"/>
          <w:i/>
          <w:noProof/>
          <w:lang w:val="nl-NL"/>
        </w:rPr>
        <w:t>et al</w:t>
      </w:r>
      <w:r w:rsidRPr="0013327C">
        <w:rPr>
          <w:rFonts w:asciiTheme="majorHAnsi" w:hAnsiTheme="majorHAnsi"/>
          <w:noProof/>
          <w:lang w:val="nl-NL"/>
        </w:rPr>
        <w:t xml:space="preserve">. 2000; Voorn-Brouwer </w:t>
      </w:r>
      <w:r w:rsidR="00466108" w:rsidRPr="00466108">
        <w:rPr>
          <w:rFonts w:asciiTheme="majorHAnsi" w:hAnsiTheme="majorHAnsi"/>
          <w:i/>
          <w:noProof/>
          <w:lang w:val="nl-NL"/>
        </w:rPr>
        <w:t>et al</w:t>
      </w:r>
      <w:r w:rsidRPr="0013327C">
        <w:rPr>
          <w:rFonts w:asciiTheme="majorHAnsi" w:hAnsiTheme="majorHAnsi"/>
          <w:noProof/>
          <w:lang w:val="nl-NL"/>
        </w:rPr>
        <w:t>. 2001)</w:t>
      </w:r>
      <w:r w:rsidR="009A1FEC" w:rsidRPr="0013327C">
        <w:rPr>
          <w:rFonts w:asciiTheme="majorHAnsi" w:hAnsiTheme="majorHAnsi"/>
        </w:rPr>
        <w:fldChar w:fldCharType="end"/>
      </w:r>
      <w:r w:rsidRPr="0013327C">
        <w:rPr>
          <w:rFonts w:asciiTheme="majorHAnsi" w:hAnsiTheme="majorHAnsi"/>
          <w:lang w:val="nl-NL"/>
        </w:rPr>
        <w:t xml:space="preserve">. </w:t>
      </w:r>
      <w:r w:rsidRPr="0013327C">
        <w:rPr>
          <w:rFonts w:asciiTheme="majorHAnsi" w:hAnsiTheme="majorHAnsi"/>
        </w:rPr>
        <w:t xml:space="preserve">This requires the formation of </w:t>
      </w:r>
      <w:r w:rsidRPr="0013327C">
        <w:rPr>
          <w:rFonts w:asciiTheme="majorHAnsi" w:hAnsiTheme="majorHAnsi"/>
          <w:i/>
        </w:rPr>
        <w:t xml:space="preserve">de novo </w:t>
      </w:r>
      <w:r w:rsidRPr="0013327C">
        <w:rPr>
          <w:rFonts w:asciiTheme="majorHAnsi" w:hAnsiTheme="majorHAnsi"/>
        </w:rPr>
        <w:t>peroxisomes as without existing peroxisomes there can be no division.</w:t>
      </w:r>
    </w:p>
    <w:p w:rsidR="00770986" w:rsidRDefault="00770986" w:rsidP="00770986">
      <w:pPr>
        <w:rPr>
          <w:rFonts w:asciiTheme="majorHAnsi" w:hAnsiTheme="majorHAnsi"/>
        </w:rPr>
      </w:pPr>
      <w:r w:rsidRPr="00166D70">
        <w:rPr>
          <w:rFonts w:asciiTheme="majorHAnsi" w:hAnsiTheme="majorHAnsi"/>
        </w:rPr>
        <w:t xml:space="preserve">More recently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"10.1091/mbc.E10", "author" : [ { "dropping-particle" : "Van Der", "family" : "Zand", "given" : "Adabella", "non-dropping-particle" : "", "parse-names" : false, "suffix" : "" }, { "dropping-particle" : "", "family" : "Braakman", "given" : "Ineke", "non-dropping-particle" : "", "parse-names" : false, "suffix" : "" }, { "dropping-particle" : "", "family" : "Tabak", "given" : "Henk F", "non-dropping-particle" : "", "parse-names" : false, "suffix" : "" } ], "id" : "ITEM-1", "issued" : { "date-parts" : [ [ "2010" ] ] }, "page" : "2057-2065", "title" : "Peroxisomal Membrane Proteins Insert into the Endoplasmic Reticulum", "type" : "article-journal", "volume" : "21" }, "uris" : [ "http://www.mendeley.com/documents/?uuid=c7fc3106-fad0-4719-8d01-25f8b48862e2" ] } ], "mendeley" : { "manualFormatting" : "(van der Zand, Braakman &amp; Tabak, 2010)", "previouslyFormattedCitation" : "(Zand, Braakman &amp; Tabak 2010)" }, "properties" : { "noteIndex" : 0 }, "schema" : "https://github.com/citation-style-language/schema/raw/master/csl-citation.json" }</w:instrText>
      </w:r>
      <w:r w:rsidR="009A1FEC">
        <w:rPr>
          <w:rFonts w:asciiTheme="majorHAnsi" w:hAnsiTheme="majorHAnsi"/>
        </w:rPr>
        <w:fldChar w:fldCharType="separate"/>
      </w:r>
      <w:r w:rsidRPr="00E63FE0">
        <w:rPr>
          <w:rFonts w:asciiTheme="majorHAnsi" w:hAnsiTheme="majorHAnsi"/>
          <w:noProof/>
        </w:rPr>
        <w:t>(</w:t>
      </w:r>
      <w:r>
        <w:rPr>
          <w:rFonts w:asciiTheme="majorHAnsi" w:hAnsiTheme="majorHAnsi"/>
          <w:noProof/>
        </w:rPr>
        <w:t xml:space="preserve">van der </w:t>
      </w:r>
      <w:r w:rsidRPr="00E63FE0">
        <w:rPr>
          <w:rFonts w:asciiTheme="majorHAnsi" w:hAnsiTheme="majorHAnsi"/>
          <w:noProof/>
        </w:rPr>
        <w:t>Zand, Braakman &amp; Tabak</w:t>
      </w:r>
      <w:r>
        <w:rPr>
          <w:rFonts w:asciiTheme="majorHAnsi" w:hAnsiTheme="majorHAnsi"/>
          <w:noProof/>
        </w:rPr>
        <w:t>,</w:t>
      </w:r>
      <w:r w:rsidRPr="00E63FE0">
        <w:rPr>
          <w:rFonts w:asciiTheme="majorHAnsi" w:hAnsiTheme="majorHAnsi"/>
          <w:noProof/>
        </w:rPr>
        <w:t xml:space="preserve"> 2010)</w:t>
      </w:r>
      <w:r w:rsidR="009A1FEC">
        <w:rPr>
          <w:rFonts w:asciiTheme="majorHAnsi" w:hAnsiTheme="majorHAnsi"/>
        </w:rPr>
        <w:fldChar w:fldCharType="end"/>
      </w:r>
      <w:r w:rsidRPr="00166D70">
        <w:rPr>
          <w:rFonts w:asciiTheme="majorHAnsi" w:hAnsiTheme="majorHAnsi"/>
          <w:i/>
        </w:rPr>
        <w:t>.</w:t>
      </w:r>
      <w:r w:rsidRPr="00166D70">
        <w:rPr>
          <w:rFonts w:asciiTheme="majorHAnsi" w:hAnsiTheme="majorHAnsi"/>
        </w:rPr>
        <w:t xml:space="preserve"> have shown that</w:t>
      </w:r>
      <w:r>
        <w:rPr>
          <w:rFonts w:asciiTheme="majorHAnsi" w:hAnsiTheme="majorHAnsi"/>
        </w:rPr>
        <w:t xml:space="preserve"> in in Δ</w:t>
      </w:r>
      <w:r w:rsidR="00D93535" w:rsidRPr="00D93535">
        <w:rPr>
          <w:rFonts w:asciiTheme="majorHAnsi" w:hAnsiTheme="majorHAnsi"/>
          <w:i/>
        </w:rPr>
        <w:t>PEX</w:t>
      </w:r>
      <w:r>
        <w:rPr>
          <w:rFonts w:asciiTheme="majorHAnsi" w:hAnsiTheme="majorHAnsi"/>
        </w:rPr>
        <w:t xml:space="preserve">3 </w:t>
      </w:r>
      <w:r w:rsidRPr="00166D70">
        <w:rPr>
          <w:rFonts w:asciiTheme="majorHAnsi" w:hAnsiTheme="majorHAnsi"/>
          <w:i/>
        </w:rPr>
        <w:t>S. cerevisiae</w:t>
      </w:r>
      <w:r>
        <w:rPr>
          <w:rFonts w:asciiTheme="majorHAnsi" w:hAnsiTheme="majorHAnsi"/>
        </w:rPr>
        <w:t xml:space="preserve"> cells</w:t>
      </w:r>
      <w:r w:rsidRPr="00166D70">
        <w:rPr>
          <w:rFonts w:asciiTheme="majorHAnsi" w:hAnsiTheme="majorHAnsi"/>
        </w:rPr>
        <w:t xml:space="preserve"> the v</w:t>
      </w:r>
      <w:r>
        <w:rPr>
          <w:rFonts w:asciiTheme="majorHAnsi" w:hAnsiTheme="majorHAnsi"/>
        </w:rPr>
        <w:t>ast majority of PMPs C-terminally tagged with CFP (all the ones that they tested - Pex1p, Pex2p, Pex3p, Pex4p, Pex6p, Pex8p, Pex10p, Pex11p,</w:t>
      </w:r>
      <w:r w:rsidRPr="00166D70">
        <w:rPr>
          <w:rFonts w:asciiTheme="majorHAnsi" w:hAnsiTheme="majorHAnsi"/>
        </w:rPr>
        <w:t xml:space="preserve"> </w:t>
      </w:r>
      <w:r>
        <w:rPr>
          <w:rFonts w:asciiTheme="majorHAnsi" w:hAnsiTheme="majorHAnsi"/>
        </w:rPr>
        <w:t>Pex12p, Pex13p,</w:t>
      </w:r>
      <w:r w:rsidRPr="00166D70">
        <w:rPr>
          <w:rFonts w:asciiTheme="majorHAnsi" w:hAnsiTheme="majorHAnsi"/>
        </w:rPr>
        <w:t xml:space="preserve"> </w:t>
      </w:r>
      <w:r>
        <w:rPr>
          <w:rFonts w:asciiTheme="majorHAnsi" w:hAnsiTheme="majorHAnsi"/>
        </w:rPr>
        <w:t>Pex14p,</w:t>
      </w:r>
      <w:r w:rsidRPr="00166D70">
        <w:rPr>
          <w:rFonts w:asciiTheme="majorHAnsi" w:hAnsiTheme="majorHAnsi"/>
        </w:rPr>
        <w:t xml:space="preserve"> </w:t>
      </w:r>
      <w:r>
        <w:rPr>
          <w:rFonts w:asciiTheme="majorHAnsi" w:hAnsiTheme="majorHAnsi"/>
        </w:rPr>
        <w:t>Pex15p, Pex19p, Pex25p, Pex27p and Ant1p) colocalise with the ER marker SEC63 30 minutes after a 30-minute induction of Pex3p with galactose. Each</w:t>
      </w:r>
    </w:p>
    <w:p w:rsidR="00872A0F" w:rsidRPr="008E26BD" w:rsidRDefault="005C20F5" w:rsidP="00AE0264">
      <w:pPr>
        <w:jc w:val="both"/>
        <w:rPr>
          <w:rFonts w:asciiTheme="majorHAnsi" w:hAnsiTheme="majorHAnsi"/>
        </w:rPr>
      </w:pPr>
      <w:r>
        <w:rPr>
          <w:rFonts w:asciiTheme="majorHAnsi" w:hAnsiTheme="majorHAnsi"/>
        </w:rPr>
        <w:lastRenderedPageBreak/>
        <w:t>PMP was under WT driven by its chromosomal promoter. F</w:t>
      </w:r>
      <w:r w:rsidR="00C71B7B">
        <w:rPr>
          <w:rFonts w:asciiTheme="majorHAnsi" w:hAnsiTheme="majorHAnsi"/>
        </w:rPr>
        <w:t xml:space="preserve">rom 90-120 minutes </w:t>
      </w:r>
      <w:r w:rsidR="00755C79">
        <w:rPr>
          <w:rFonts w:asciiTheme="majorHAnsi" w:hAnsiTheme="majorHAnsi"/>
        </w:rPr>
        <w:t>the respective PMP is observed to form a punctate structure completely separate from SEC63. This coordinates with a parallel experiment in which the same Δ</w:t>
      </w:r>
      <w:r w:rsidR="00D93535" w:rsidRPr="00D93535">
        <w:rPr>
          <w:rFonts w:asciiTheme="majorHAnsi" w:hAnsiTheme="majorHAnsi"/>
          <w:i/>
        </w:rPr>
        <w:t>PEX</w:t>
      </w:r>
      <w:r w:rsidR="00755C79">
        <w:rPr>
          <w:rFonts w:asciiTheme="majorHAnsi" w:hAnsiTheme="majorHAnsi"/>
        </w:rPr>
        <w:t>3 cells</w:t>
      </w:r>
      <w:r w:rsidR="00612374">
        <w:rPr>
          <w:rFonts w:asciiTheme="majorHAnsi" w:hAnsiTheme="majorHAnsi"/>
        </w:rPr>
        <w:t xml:space="preserve"> show that peroxisomes </w:t>
      </w:r>
      <w:r w:rsidR="00665167">
        <w:rPr>
          <w:rFonts w:asciiTheme="majorHAnsi" w:hAnsiTheme="majorHAnsi"/>
        </w:rPr>
        <w:t xml:space="preserve">become CFP-PTS1 import competent </w:t>
      </w:r>
      <w:r>
        <w:rPr>
          <w:rFonts w:asciiTheme="majorHAnsi" w:hAnsiTheme="majorHAnsi"/>
        </w:rPr>
        <w:t>at between 120 and 300 mins post induction</w:t>
      </w:r>
      <w:r w:rsidR="00612374">
        <w:rPr>
          <w:rFonts w:asciiTheme="majorHAnsi" w:hAnsiTheme="majorHAnsi"/>
        </w:rPr>
        <w:t xml:space="preserve"> as cyan puncta become apparent where previously it was diffusely cytosolic.</w:t>
      </w:r>
      <w:r w:rsidR="00B6222B">
        <w:rPr>
          <w:rFonts w:asciiTheme="majorHAnsi" w:hAnsiTheme="majorHAnsi"/>
        </w:rPr>
        <w:t xml:space="preserve"> This would imply that a system of peroxisome formation where all </w:t>
      </w:r>
      <w:r w:rsidR="008E26BD">
        <w:rPr>
          <w:rFonts w:asciiTheme="majorHAnsi" w:hAnsiTheme="majorHAnsi"/>
        </w:rPr>
        <w:t xml:space="preserve">PMPs are sorted via the ER would not require division of peroxisomes as </w:t>
      </w:r>
      <w:r w:rsidR="008E26BD">
        <w:rPr>
          <w:rFonts w:asciiTheme="majorHAnsi" w:hAnsiTheme="majorHAnsi"/>
          <w:i/>
        </w:rPr>
        <w:t>de novo</w:t>
      </w:r>
      <w:r w:rsidR="008E26BD">
        <w:rPr>
          <w:rFonts w:asciiTheme="majorHAnsi" w:hAnsiTheme="majorHAnsi"/>
        </w:rPr>
        <w:t xml:space="preserve"> synthesis of peroxisomes by ER-derived vesicles supplies </w:t>
      </w:r>
      <w:r w:rsidR="00F96B23">
        <w:rPr>
          <w:rFonts w:asciiTheme="majorHAnsi" w:hAnsiTheme="majorHAnsi"/>
        </w:rPr>
        <w:t>membrane lipids and PMPs that are sufficient to form the peroxisome.</w:t>
      </w:r>
    </w:p>
    <w:p w:rsidR="00526345" w:rsidRDefault="00526345" w:rsidP="00AE0264">
      <w:pPr>
        <w:jc w:val="both"/>
        <w:rPr>
          <w:rFonts w:asciiTheme="majorHAnsi" w:hAnsiTheme="majorHAnsi"/>
        </w:rPr>
      </w:pPr>
      <w:r w:rsidRPr="0013327C">
        <w:rPr>
          <w:rFonts w:asciiTheme="majorHAnsi" w:hAnsiTheme="majorHAnsi"/>
        </w:rPr>
        <w:t xml:space="preserve">Currently </w:t>
      </w:r>
      <w:r w:rsidR="006267FA" w:rsidRPr="0013327C">
        <w:rPr>
          <w:rFonts w:asciiTheme="majorHAnsi" w:hAnsiTheme="majorHAnsi"/>
        </w:rPr>
        <w:t>the</w:t>
      </w:r>
      <w:r w:rsidR="00427426" w:rsidRPr="0013327C">
        <w:rPr>
          <w:rFonts w:asciiTheme="majorHAnsi" w:hAnsiTheme="majorHAnsi"/>
        </w:rPr>
        <w:t xml:space="preserve"> model proposed by Hoepfner </w:t>
      </w:r>
      <w:r w:rsidR="00466108" w:rsidRPr="00466108">
        <w:rPr>
          <w:rFonts w:asciiTheme="majorHAnsi" w:hAnsiTheme="majorHAnsi"/>
          <w:i/>
        </w:rPr>
        <w:t>et al</w:t>
      </w:r>
      <w:r w:rsidR="00427426" w:rsidRPr="0013327C">
        <w:rPr>
          <w:rFonts w:asciiTheme="majorHAnsi" w:hAnsiTheme="majorHAnsi"/>
          <w:i/>
        </w:rPr>
        <w:t>.</w:t>
      </w:r>
      <w:r w:rsidR="00427426" w:rsidRPr="0013327C">
        <w:rPr>
          <w:rFonts w:asciiTheme="majorHAnsi" w:hAnsiTheme="majorHAnsi"/>
        </w:rPr>
        <w:t xml:space="preserve"> (2005) is widely accepted. Division of peroxisomes cannot occur without some </w:t>
      </w:r>
      <w:r w:rsidR="002A667B" w:rsidRPr="0013327C">
        <w:rPr>
          <w:rFonts w:asciiTheme="majorHAnsi" w:hAnsiTheme="majorHAnsi"/>
        </w:rPr>
        <w:t xml:space="preserve">ER-derived proteins, regardless of their synthesis. Support for this model came with Motley and Hettema (2007) who showed that inheritance defects that leave daughter cells devoid of peroxisomes </w:t>
      </w:r>
      <w:r w:rsidR="00487702" w:rsidRPr="0013327C">
        <w:rPr>
          <w:rFonts w:asciiTheme="majorHAnsi" w:hAnsiTheme="majorHAnsi"/>
        </w:rPr>
        <w:t xml:space="preserve">induce </w:t>
      </w:r>
      <w:r w:rsidR="00487702" w:rsidRPr="0013327C">
        <w:rPr>
          <w:rFonts w:asciiTheme="majorHAnsi" w:hAnsiTheme="majorHAnsi"/>
          <w:i/>
        </w:rPr>
        <w:t>de novo</w:t>
      </w:r>
      <w:r w:rsidR="00487702" w:rsidRPr="0013327C">
        <w:rPr>
          <w:rFonts w:asciiTheme="majorHAnsi" w:hAnsiTheme="majorHAnsi"/>
        </w:rPr>
        <w:t xml:space="preserve"> biogenesis of peroxisomes.</w:t>
      </w:r>
      <w:r w:rsidR="005A41A2">
        <w:rPr>
          <w:rFonts w:asciiTheme="majorHAnsi" w:hAnsiTheme="majorHAnsi"/>
        </w:rPr>
        <w:t xml:space="preserve"> A schematic diagram for both models is given in Figure 1.1 showing the proposed derivation of PMPs and peroxisomal membrane.</w:t>
      </w:r>
    </w:p>
    <w:p w:rsidR="00992411" w:rsidRDefault="00992411" w:rsidP="00AE0264">
      <w:pPr>
        <w:jc w:val="both"/>
        <w:rPr>
          <w:rFonts w:asciiTheme="majorHAnsi" w:hAnsiTheme="majorHAnsi"/>
        </w:rPr>
      </w:pPr>
    </w:p>
    <w:p w:rsidR="00992411" w:rsidRDefault="00992411" w:rsidP="00AE0264">
      <w:pPr>
        <w:jc w:val="both"/>
        <w:rPr>
          <w:rFonts w:asciiTheme="majorHAnsi" w:hAnsiTheme="majorHAnsi"/>
        </w:rPr>
      </w:pPr>
    </w:p>
    <w:p w:rsidR="00633419" w:rsidRDefault="00633419" w:rsidP="00AE0264">
      <w:pPr>
        <w:jc w:val="both"/>
        <w:rPr>
          <w:rFonts w:asciiTheme="majorHAnsi" w:hAnsiTheme="majorHAnsi"/>
        </w:rPr>
      </w:pPr>
      <w:r>
        <w:rPr>
          <w:rFonts w:asciiTheme="majorHAnsi" w:hAnsiTheme="majorHAnsi"/>
          <w:noProof/>
          <w:lang w:eastAsia="en-GB"/>
        </w:rPr>
        <w:lastRenderedPageBreak/>
        <w:drawing>
          <wp:inline distT="0" distB="0" distL="0" distR="0">
            <wp:extent cx="4871873" cy="4686300"/>
            <wp:effectExtent l="0" t="0" r="4927" b="0"/>
            <wp:docPr id="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4875226" cy="4689526"/>
                    </a:xfrm>
                    <a:prstGeom prst="rect">
                      <a:avLst/>
                    </a:prstGeom>
                    <a:noFill/>
                  </pic:spPr>
                </pic:pic>
              </a:graphicData>
            </a:graphic>
          </wp:inline>
        </w:drawing>
      </w:r>
    </w:p>
    <w:p w:rsidR="00633419" w:rsidRPr="00E5134C" w:rsidRDefault="00633419" w:rsidP="00AE0264">
      <w:pPr>
        <w:jc w:val="both"/>
        <w:rPr>
          <w:rFonts w:asciiTheme="majorHAnsi" w:hAnsiTheme="majorHAnsi"/>
        </w:rPr>
      </w:pPr>
      <w:proofErr w:type="gramStart"/>
      <w:r w:rsidRPr="00E5134C">
        <w:rPr>
          <w:rFonts w:asciiTheme="majorHAnsi" w:hAnsiTheme="majorHAnsi"/>
          <w:b/>
        </w:rPr>
        <w:t>Figure 1.</w:t>
      </w:r>
      <w:r w:rsidR="00992411">
        <w:rPr>
          <w:rFonts w:asciiTheme="majorHAnsi" w:hAnsiTheme="majorHAnsi"/>
          <w:b/>
        </w:rPr>
        <w:t>1</w:t>
      </w:r>
      <w:r w:rsidRPr="00E5134C">
        <w:rPr>
          <w:rFonts w:asciiTheme="majorHAnsi" w:hAnsiTheme="majorHAnsi"/>
          <w:b/>
        </w:rPr>
        <w:t>.</w:t>
      </w:r>
      <w:proofErr w:type="gramEnd"/>
      <w:r w:rsidRPr="00E5134C">
        <w:rPr>
          <w:rFonts w:asciiTheme="majorHAnsi" w:hAnsiTheme="majorHAnsi"/>
          <w:b/>
        </w:rPr>
        <w:t xml:space="preserve"> Proposed </w:t>
      </w:r>
      <w:r w:rsidR="00E5134C" w:rsidRPr="00E5134C">
        <w:rPr>
          <w:rFonts w:asciiTheme="majorHAnsi" w:hAnsiTheme="majorHAnsi"/>
          <w:b/>
        </w:rPr>
        <w:t>models of peroxisome formation</w:t>
      </w:r>
      <w:r w:rsidR="00E5134C">
        <w:rPr>
          <w:rFonts w:asciiTheme="majorHAnsi" w:hAnsiTheme="majorHAnsi"/>
        </w:rPr>
        <w:t xml:space="preserve">, adapted from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"10.1016/j.ceb.2011.05.005", "abstract" : "In recent years, it has become evident that peroxisomes form part of the endomembrane system. Peroxisomes can form from the ER via a maturation process and they can multiply by growth and division, whereby the ER provides membrane for growth and ongoing fission (Figure 1). Until very recently, it was widely accepted that most peroxisomal membrane proteins (PMPs) insert directly into peroxisomes, whereas a small subset of PMPs traffic via the ER. In this minireview, we focus mainly on PMP biogenesis, and highlight recent advances in peroxisomal matrix protein import, fission and segregation in yeast.", "author" : [ { "dropping-particle" : "", "family" : "Nuttall", "given" : "James M", "non-dropping-particle" : "", "parse-names" : false, "suffix" : "" }, { "dropping-particle" : "", "family" : "Motley", "given" : "Alison", "non-dropping-particle" : "", "parse-names" : false, "suffix" : "" }, { "dropping-particle" : "", "family" : "Hettema", "given" : "Ewald H", "non-dropping-particle" : "", "parse-names" : false, "suffix" : "" } ], "container-title" : "Current opinion in cell biology", "id" : "ITEM-1", "issue" : "4", "issued" : { "date-parts" : [ [ "2011", "8" ] ] }, "page" : "421-6", "publisher" : "Elsevier Ltd", "title" : "Peroxisome biogenesis: recent advances.", "type" : "article-journal", "volume" : "23" }, "uris" : [ "http://www.mendeley.com/documents/?uuid=068999cc-088f-4c14-81f5-be1feef685a0" ] } ], "mendeley" : { "manualFormatting" : "(Nuttall et al.,  2011)", "previouslyFormattedCitation" : "(Nuttall, Motley &amp; Hettema 2011)" }, "properties" : { "noteIndex" : 0 }, "schema" : "https://github.com/citation-style-language/schema/raw/master/csl-citation.json" }</w:instrText>
      </w:r>
      <w:r w:rsidR="009A1FEC">
        <w:rPr>
          <w:rFonts w:asciiTheme="majorHAnsi" w:hAnsiTheme="majorHAnsi"/>
        </w:rPr>
        <w:fldChar w:fldCharType="separate"/>
      </w:r>
      <w:r w:rsidR="00E5134C" w:rsidRPr="00E5134C">
        <w:rPr>
          <w:rFonts w:asciiTheme="majorHAnsi" w:hAnsiTheme="majorHAnsi"/>
          <w:noProof/>
        </w:rPr>
        <w:t>(Nuttall</w:t>
      </w:r>
      <w:r w:rsidR="00E5134C">
        <w:rPr>
          <w:rFonts w:asciiTheme="majorHAnsi" w:hAnsiTheme="majorHAnsi"/>
          <w:noProof/>
        </w:rPr>
        <w:t xml:space="preserve"> </w:t>
      </w:r>
      <w:r w:rsidR="00466108" w:rsidRPr="00466108">
        <w:rPr>
          <w:rFonts w:asciiTheme="majorHAnsi" w:hAnsiTheme="majorHAnsi"/>
          <w:i/>
          <w:noProof/>
        </w:rPr>
        <w:t>et al</w:t>
      </w:r>
      <w:r w:rsidR="00E5134C">
        <w:rPr>
          <w:rFonts w:asciiTheme="majorHAnsi" w:hAnsiTheme="majorHAnsi"/>
          <w:i/>
          <w:noProof/>
        </w:rPr>
        <w:t>.</w:t>
      </w:r>
      <w:r w:rsidR="00E5134C" w:rsidRPr="00E5134C">
        <w:rPr>
          <w:rFonts w:asciiTheme="majorHAnsi" w:hAnsiTheme="majorHAnsi"/>
          <w:noProof/>
        </w:rPr>
        <w:t>,  2011)</w:t>
      </w:r>
      <w:r w:rsidR="009A1FEC">
        <w:rPr>
          <w:rFonts w:asciiTheme="majorHAnsi" w:hAnsiTheme="majorHAnsi"/>
        </w:rPr>
        <w:fldChar w:fldCharType="end"/>
      </w:r>
      <w:r w:rsidR="00201589">
        <w:rPr>
          <w:rFonts w:asciiTheme="majorHAnsi" w:hAnsiTheme="majorHAnsi"/>
        </w:rPr>
        <w:t xml:space="preserve">. The “Growth and Division” model (upper schematic) shows the addition of ER-derived </w:t>
      </w:r>
      <w:r w:rsidR="003315B1">
        <w:rPr>
          <w:rFonts w:asciiTheme="majorHAnsi" w:hAnsiTheme="majorHAnsi"/>
        </w:rPr>
        <w:t xml:space="preserve">vesicles that fuse with existing peroxisomes. As the peroxisomes grow in size they subsequently divide into “daughter” peroxisomes. </w:t>
      </w:r>
      <w:r w:rsidR="006206DC">
        <w:rPr>
          <w:rFonts w:asciiTheme="majorHAnsi" w:hAnsiTheme="majorHAnsi"/>
        </w:rPr>
        <w:t xml:space="preserve">Both matrix proteins and </w:t>
      </w:r>
      <w:proofErr w:type="gramStart"/>
      <w:r w:rsidR="006206DC">
        <w:rPr>
          <w:rFonts w:asciiTheme="majorHAnsi" w:hAnsiTheme="majorHAnsi"/>
        </w:rPr>
        <w:t>peroxisomal  membrane</w:t>
      </w:r>
      <w:proofErr w:type="gramEnd"/>
      <w:r w:rsidR="006206DC">
        <w:rPr>
          <w:rFonts w:asciiTheme="majorHAnsi" w:hAnsiTheme="majorHAnsi"/>
        </w:rPr>
        <w:t xml:space="preserve"> proteins (PMPs) are targeted to </w:t>
      </w:r>
      <w:r w:rsidR="00762923">
        <w:rPr>
          <w:rFonts w:asciiTheme="majorHAnsi" w:hAnsiTheme="majorHAnsi"/>
        </w:rPr>
        <w:t>the whole peroxisome.</w:t>
      </w:r>
      <w:r w:rsidR="006206DC">
        <w:rPr>
          <w:rFonts w:asciiTheme="majorHAnsi" w:hAnsiTheme="majorHAnsi"/>
        </w:rPr>
        <w:t xml:space="preserve"> </w:t>
      </w:r>
      <w:r w:rsidR="003315B1">
        <w:rPr>
          <w:rFonts w:asciiTheme="majorHAnsi" w:hAnsiTheme="majorHAnsi"/>
        </w:rPr>
        <w:t xml:space="preserve">The lower schematic is of the maturation model which shows ER-derived vesicles which fuse together and form </w:t>
      </w:r>
      <w:r w:rsidR="006206DC">
        <w:rPr>
          <w:rFonts w:asciiTheme="majorHAnsi" w:hAnsiTheme="majorHAnsi"/>
        </w:rPr>
        <w:t>pre-peroxisomal vesicles which subsequently mature.</w:t>
      </w:r>
      <w:r w:rsidR="00762923">
        <w:rPr>
          <w:rFonts w:asciiTheme="majorHAnsi" w:hAnsiTheme="majorHAnsi"/>
        </w:rPr>
        <w:t xml:space="preserve"> PMPs are targeted to the ER-derived vesicles which facilitates the uptake of matrix proteins to the maturing peroxisome.</w:t>
      </w:r>
    </w:p>
    <w:p w:rsidR="00FD54DA" w:rsidRPr="0013327C" w:rsidRDefault="00FD54DA" w:rsidP="00FD54DA">
      <w:pPr>
        <w:pStyle w:val="Heading3"/>
        <w:jc w:val="both"/>
      </w:pPr>
      <w:bookmarkStart w:id="29" w:name="_Toc348423286"/>
      <w:r w:rsidRPr="0013327C">
        <w:t>Peroxins involved in membrane trafficking</w:t>
      </w:r>
      <w:bookmarkEnd w:id="29"/>
    </w:p>
    <w:p w:rsidR="00FD54DA" w:rsidRDefault="00FD54DA" w:rsidP="00FD54DA">
      <w:pPr>
        <w:jc w:val="both"/>
        <w:rPr>
          <w:rFonts w:asciiTheme="majorHAnsi" w:hAnsiTheme="majorHAnsi"/>
        </w:rPr>
      </w:pPr>
      <w:r w:rsidRPr="0013327C">
        <w:rPr>
          <w:rFonts w:asciiTheme="majorHAnsi" w:hAnsiTheme="majorHAnsi"/>
        </w:rPr>
        <w:t xml:space="preserve">The realisation that peroxisomal membrane biogenesis and peroxisomal matrix protein trafficking are two fundamentally different processes came with experiments in ZS patients that had peroxisomal structures lacking matrix proteins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"An entire organelle, the peroxisome, appears to be missing in Zellweger syndrome, causing profound neurological problems and neonatal death. One hypothesis for the molecular cause of this defect is a failure in the assembly of the peroxisomal membrane. An alternative is that the peroxisomal membrane is assembled, but the post-translational import of the matrix proteins is defective. We have investigated these possibilities by analytical cell fractionation, immunoblotting, and immunoelectron microscopy of fibroblasts. We identified four integral membrane proteins that can serve as markers for the human peroxisomal membrane. In Zellweger fibroblasts, peroxisomal membranes were found but they were abnormal; they had an equilibrium density of 1.10 g/cm3 instead of the normal density of 1.17 g/cm3, their diameters were generally 2-4 times greater than normal, and they lacked most content. The existence of these peroxisomal ghosts in Zellweger syndrome fibroblasts supports the hypothesis that the defect in this disease is in the protein import machinery.", "author" : [ { "dropping-particle" : "", "family" : "Santos", "given" : "M J", "non-dropping-particle" : "", "parse-names" : false, "suffix" : "" }, { "dropping-particle" : "", "family" : "Imanaka", "given" : "T", "non-dropping-particle" : "", "parse-names" : false, "suffix" : "" }, { "dropping-particle" : "", "family" : "Shio", "given" : "H", "non-dropping-particle" : "", "parse-names" : false, "suffix" : "" }, { "dropping-particle" : "", "family" : "Lazarow", "given" : "P B", "non-dropping-particle" : "", "parse-names" : false, "suffix" : "" } ], "container-title" : "The Journal of biological chemistry", "id" : "ITEM-1", "issue" : "21", "issued" : { "date-parts" : [ [ "1988", "7", "25" ] ] }, "page" : "10502-9", "title" : "Peroxisomal integral membrane proteins in control and Zellweger fibroblasts.", "type" : "article-journal", "volume" : "263" }, "uris" : [ "http://www.mendeley.com/documents/?uuid=b89a5c54-02d1-414a-8481-fb9afe7d12f1" ] } ], "mendeley" : { "previouslyFormattedCitation" : "(Santos et al. 1988)"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(Santos </w:t>
      </w:r>
      <w:r w:rsidR="00466108" w:rsidRPr="00466108">
        <w:rPr>
          <w:rFonts w:asciiTheme="majorHAnsi" w:hAnsiTheme="majorHAnsi"/>
          <w:i/>
          <w:noProof/>
        </w:rPr>
        <w:t>et al</w:t>
      </w:r>
      <w:r w:rsidRPr="0013327C">
        <w:rPr>
          <w:rFonts w:asciiTheme="majorHAnsi" w:hAnsiTheme="majorHAnsi"/>
          <w:noProof/>
        </w:rPr>
        <w:t>. 1988)</w:t>
      </w:r>
      <w:r w:rsidR="009A1FEC" w:rsidRPr="0013327C">
        <w:rPr>
          <w:rFonts w:asciiTheme="majorHAnsi" w:hAnsiTheme="majorHAnsi"/>
        </w:rPr>
        <w:fldChar w:fldCharType="end"/>
      </w:r>
      <w:r w:rsidRPr="0013327C">
        <w:rPr>
          <w:rFonts w:asciiTheme="majorHAnsi" w:hAnsiTheme="majorHAnsi"/>
        </w:rPr>
        <w:t xml:space="preserve"> referred to as “ghosts”. Since then separate mechanisms for membrane and matrix protein transport have been investigated. Of all the peroxins </w:t>
      </w:r>
      <w:r w:rsidRPr="000C26B2">
        <w:rPr>
          <w:rFonts w:asciiTheme="majorHAnsi" w:hAnsiTheme="majorHAnsi"/>
          <w:i/>
        </w:rPr>
        <w:t>PEX</w:t>
      </w:r>
      <w:r w:rsidRPr="0013327C">
        <w:rPr>
          <w:rFonts w:asciiTheme="majorHAnsi" w:hAnsiTheme="majorHAnsi"/>
        </w:rPr>
        <w:t xml:space="preserve">3, </w:t>
      </w:r>
      <w:r w:rsidRPr="000C26B2">
        <w:rPr>
          <w:rFonts w:asciiTheme="majorHAnsi" w:hAnsiTheme="majorHAnsi"/>
          <w:i/>
        </w:rPr>
        <w:t>PEX</w:t>
      </w:r>
      <w:r w:rsidRPr="0013327C">
        <w:rPr>
          <w:rFonts w:asciiTheme="majorHAnsi" w:hAnsiTheme="majorHAnsi"/>
        </w:rPr>
        <w:t xml:space="preserve">16 and </w:t>
      </w:r>
      <w:r w:rsidRPr="000C26B2">
        <w:rPr>
          <w:rFonts w:asciiTheme="majorHAnsi" w:hAnsiTheme="majorHAnsi"/>
          <w:i/>
        </w:rPr>
        <w:lastRenderedPageBreak/>
        <w:t>PEX</w:t>
      </w:r>
      <w:r w:rsidRPr="0013327C">
        <w:rPr>
          <w:rFonts w:asciiTheme="majorHAnsi" w:hAnsiTheme="majorHAnsi"/>
        </w:rPr>
        <w:t xml:space="preserve">19 mutants are the ones which completely lack peroxisomal structures of any kind. In </w:t>
      </w:r>
      <w:r w:rsidRPr="0013327C">
        <w:rPr>
          <w:rFonts w:asciiTheme="majorHAnsi" w:hAnsiTheme="majorHAnsi"/>
          <w:i/>
        </w:rPr>
        <w:t xml:space="preserve">S. cerevisiae </w:t>
      </w:r>
      <w:r w:rsidRPr="0013327C">
        <w:rPr>
          <w:rFonts w:asciiTheme="majorHAnsi" w:hAnsiTheme="majorHAnsi"/>
        </w:rPr>
        <w:t xml:space="preserve">Pex19p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"We report the identification and molecular characterization of Pex19p, an oleic acid-inducible, farnesylated protein of 39.7 kDa that is essential for peroxisome biogenesis in Saccharomyces cerevisiae. Cells lacking Pex19p are characterized by the absence of morphologically detectable peroxisomes and mislocalization of peroxisomal matrix proteins to the cytosol. The human HK33 gene product was identified as the putative human ortholog of Pex19p. Evidence is provided that farnesylation of Pex19p takes place at the cysteine of the C-terminal CKQQ amino acid sequence. Farnesylation of Pex19p was shown to be essential for the proper function of the protein in peroxisome biogenesis. Pex19p was shown to interact with Pex3p in vivo, and this interaction required farnesylation of Pex19p.", "author" : [ { "dropping-particle" : "", "family" : "G\u00f6tte", "given" : "K", "non-dropping-particle" : "", "parse-names" : false, "suffix" : "" }, { "dropping-particle" : "", "family" : "Girzalsky", "given" : "W", "non-dropping-particle" : "", "parse-names" : false, "suffix" : "" }, { "dropping-particle" : "", "family" : "Linkert", "given" : "M", "non-dropping-particle" : "", "parse-names" : false, "suffix" : "" }, { "dropping-particle" : "", "family" : "Baumgart", "given" : "E", "non-dropping-particle" : "", "parse-names" : false, "suffix" : "" }, { "dropping-particle" : "", "family" : "Kammerer", "given" : "S", "non-dropping-particle" : "", "parse-names" : false, "suffix" : "" }, { "dropping-particle" : "", "family" : "Kunau", "given" : "W H", "non-dropping-particle" : "", "parse-names" : false, "suffix" : "" }, { "dropping-particle" : "", "family" : "Erdmann", "given" : "R", "non-dropping-particle" : "", "parse-names" : false, "suffix" : "" } ], "container-title" : "Molecular and cellular biology", "id" : "ITEM-1", "issue" : "1", "issued" : { "date-parts" : [ [ "1998", "1" ] ] }, "page" : "616-28", "title" : "Pex19p, a farnesylated protein essential for peroxisome biogenesis.", "type" : "article-journal", "volume" : "18" }, "uris" : [ "http://www.mendeley.com/documents/?uuid=29c2f5aa-b824-452f-a62a-9cecb72b9916" ] } ], "mendeley" : { "previouslyFormattedCitation" : "(G\u00f6tte et al. 1998)"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(Götte </w:t>
      </w:r>
      <w:r w:rsidR="00466108" w:rsidRPr="00466108">
        <w:rPr>
          <w:rFonts w:asciiTheme="majorHAnsi" w:hAnsiTheme="majorHAnsi"/>
          <w:i/>
          <w:noProof/>
        </w:rPr>
        <w:t>et al</w:t>
      </w:r>
      <w:r w:rsidRPr="0013327C">
        <w:rPr>
          <w:rFonts w:asciiTheme="majorHAnsi" w:hAnsiTheme="majorHAnsi"/>
          <w:noProof/>
        </w:rPr>
        <w:t>. 1998)</w:t>
      </w:r>
      <w:r w:rsidR="009A1FEC" w:rsidRPr="0013327C">
        <w:rPr>
          <w:rFonts w:asciiTheme="majorHAnsi" w:hAnsiTheme="majorHAnsi"/>
        </w:rPr>
        <w:fldChar w:fldCharType="end"/>
      </w:r>
      <w:r w:rsidRPr="0013327C">
        <w:rPr>
          <w:rFonts w:asciiTheme="majorHAnsi" w:hAnsiTheme="majorHAnsi"/>
        </w:rPr>
        <w:t xml:space="preserve"> and Pex3p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"10.1093/emboj/19.2.223", "abstract" : "The mechanisms by which peroxisomal membrane proteins (PMPs) are targeted to and inserted into membranes are unknown, as are the required components. We show that among a collection of 16 Saccharomyces cerevisiae peroxisome biogenesis (pex) mutants, two mutants, pex3Delta and pex19Delta, completely lack detectable peroxisomal membrane structures and mislocalize their PMPs to the cytosol where they are rapidly degraded. The other pexDelta mutants contain membrane structures that are properly inherited during vegetative growth and that house multiple PMPs. Even Pex15p requires Pex3p and Pex19p for localization to peroxisomal membranes. This PMP was previously hypothesized to travel via the endoplasmic reticulum (ER) to peroxisomes. We provide evidence that ER-accumulated Pex15p is not a sorting intermediate on its way to peroxisomes. Our results show that Pex3p and Pex19p are required for the proper localization of all PMPs tested, including Pex15p, whereas the other Pex proteins might only be required for targeting/import of matrix proteins.", "author" : [ { "dropping-particle" : "", "family" : "Hettema", "given" : "E H", "non-dropping-particle" : "", "parse-names" : false, "suffix" : "" }, { "dropping-particle" : "", "family" : "Girzalsky", "given" : "W", "non-dropping-particle" : "", "parse-names" : false, "suffix" : "" }, { "dropping-particle" : "", "family" : "Berg", "given" : "M", "non-dropping-particle" : "van Den", "parse-names" : false, "suffix" : "" }, { "dropping-particle" : "", "family" : "Erdmann", "given" : "R", "non-dropping-particle" : "", "parse-names" : false, "suffix" : "" }, { "dropping-particle" : "", "family" : "Distel", "given" : "B", "non-dropping-particle" : "", "parse-names" : false, "suffix" : "" } ], "container-title" : "The EMBO journal", "id" : "ITEM-1", "issue" : "2", "issued" : { "date-parts" : [ [ "2000", "1", "17" ] ] }, "page" : "223-33", "title" : "Saccharomyces cerevisiae pex3p and pex19p are required for proper localization and stability of peroxisomal membrane proteins.", "type" : "article-journal", "volume" : "19" }, "uris" : [ "http://www.mendeley.com/documents/?uuid=8c43b5c4-9f9d-46d4-a2e9-9690113ff8e3" ] } ], "mendeley" : { "previouslyFormattedCitation" : "(Hettema et al. 2000)"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(Hettema </w:t>
      </w:r>
      <w:r w:rsidR="00466108" w:rsidRPr="00466108">
        <w:rPr>
          <w:rFonts w:asciiTheme="majorHAnsi" w:hAnsiTheme="majorHAnsi"/>
          <w:i/>
          <w:noProof/>
        </w:rPr>
        <w:t>et al</w:t>
      </w:r>
      <w:r w:rsidRPr="0013327C">
        <w:rPr>
          <w:rFonts w:asciiTheme="majorHAnsi" w:hAnsiTheme="majorHAnsi"/>
          <w:noProof/>
        </w:rPr>
        <w:t>. 2000)</w:t>
      </w:r>
      <w:r w:rsidR="009A1FEC" w:rsidRPr="0013327C">
        <w:rPr>
          <w:rFonts w:asciiTheme="majorHAnsi" w:hAnsiTheme="majorHAnsi"/>
        </w:rPr>
        <w:fldChar w:fldCharType="end"/>
      </w:r>
      <w:r w:rsidRPr="0013327C">
        <w:rPr>
          <w:rFonts w:asciiTheme="majorHAnsi" w:hAnsiTheme="majorHAnsi"/>
        </w:rPr>
        <w:t xml:space="preserve"> are crucial for peroxisome formation. In humans </w:t>
      </w:r>
      <w:r w:rsidRPr="000C26B2">
        <w:rPr>
          <w:rFonts w:asciiTheme="majorHAnsi" w:hAnsiTheme="majorHAnsi"/>
          <w:i/>
        </w:rPr>
        <w:t>PEX</w:t>
      </w:r>
      <w:r w:rsidRPr="0013327C">
        <w:rPr>
          <w:rFonts w:asciiTheme="majorHAnsi" w:hAnsiTheme="majorHAnsi"/>
        </w:rPr>
        <w:t xml:space="preserve">16 was also shown to be essential in this role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"10.1086/302161", "abstract" : "Peroxisome-biogenesis disorders (PBDs), including Zellweger syndrome (ZS), are autosomal recessive diseases caused by a deficiency in peroxisome assembly as well as by a malfunction of peroxisomes, among which&gt;10 genotypes have been identified. We have isolated a human PEX16 cDNA (HsPEX16) by performing an expressed-sequence-tag homology search on a human DNA database, by using yeast PEX16 from Yarrowia lipolytica and then screening the human liver cDNA library. This cDNA encodes a peroxisomal protein (a peroxin Pex16p) made up of 336 amino acids. Among 13 peroxisome-deficiency complementation groups (CGs), HsPEX16 expression morphologically and biochemically restored peroxisome biogenesis only in fibroblasts from a CG-D patient with ZS in Japan (the same group as CG-IX in the United States). Pex16p was localized to peroxisomes through expression study of epitope-tagged Pex16p. One patient (PBDD-01) possessed a homozygous, inactivating nonsense mutation, C--&gt;T at position 526 in a codon (CGA) for 176Arg, that resulted in a termination codon (TGA). This implies that the C-terminal half is required for the biological function of Pex16p. PBDD-01-derived PEX16 cDNA was defective in peroxisome-restoring activity when expressed in the patient's fibroblasts. These results demonstrate that mutation in PEX16 is the genetic cause of CG-D PBDs.", "author" : [ { "dropping-particle" : "", "family" : "Honsho", "given" : "M", "non-dropping-particle" : "", "parse-names" : false, "suffix" : "" }, { "dropping-particle" : "", "family" : "Tamura", "given" : "S", "non-dropping-particle" : "", "parse-names" : false, "suffix" : "" }, { "dropping-particle" : "", "family" : "Shimozawa", "given" : "N", "non-dropping-particle" : "", "parse-names" : false, "suffix" : "" }, { "dropping-particle" : "", "family" : "Suzuki", "given" : "Y", "non-dropping-particle" : "", "parse-names" : false, "suffix" : "" }, { "dropping-particle" : "", "family" : "Kondo", "given" : "N", "non-dropping-particle" : "", "parse-names" : false, "suffix" : "" }, { "dropping-particle" : "", "family" : "Fujiki", "given" : "Y", "non-dropping-particle" : "", "parse-names" : false, "suffix" : "" } ], "container-title" : "American journal of human genetics", "id" : "ITEM-1", "issue" : "6", "issued" : { "date-parts" : [ [ "1998", "12" ] ] }, "page" : "1622-30", "title" : "Mutation in PEX16 is causal in the peroxisome-deficient Zellweger syndrome of complementation group D.", "type" : "article-journal", "volume" : "63" }, "uris" : [ "http://www.mendeley.com/documents/?uuid=3f1a8ffb-04f0-4ff1-861b-c592ba945b79" ] } ], "mendeley" : { "previouslyFormattedCitation" : "(Honsho et al. 1998)"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(Honsho </w:t>
      </w:r>
      <w:r w:rsidR="00466108" w:rsidRPr="00466108">
        <w:rPr>
          <w:rFonts w:asciiTheme="majorHAnsi" w:hAnsiTheme="majorHAnsi"/>
          <w:i/>
          <w:noProof/>
        </w:rPr>
        <w:t>et al</w:t>
      </w:r>
      <w:r w:rsidRPr="0013327C">
        <w:rPr>
          <w:rFonts w:asciiTheme="majorHAnsi" w:hAnsiTheme="majorHAnsi"/>
          <w:noProof/>
        </w:rPr>
        <w:t>. 1998)</w:t>
      </w:r>
      <w:r w:rsidR="009A1FEC" w:rsidRPr="0013327C">
        <w:rPr>
          <w:rFonts w:asciiTheme="majorHAnsi" w:hAnsiTheme="majorHAnsi"/>
        </w:rPr>
        <w:fldChar w:fldCharType="end"/>
      </w:r>
      <w:r w:rsidRPr="0013327C">
        <w:rPr>
          <w:rFonts w:asciiTheme="majorHAnsi" w:hAnsiTheme="majorHAnsi"/>
        </w:rPr>
        <w:t xml:space="preserve"> and in </w:t>
      </w:r>
      <w:r w:rsidRPr="0013327C">
        <w:rPr>
          <w:rFonts w:asciiTheme="majorHAnsi" w:hAnsiTheme="majorHAnsi"/>
          <w:i/>
        </w:rPr>
        <w:t xml:space="preserve">D. melanogaster </w:t>
      </w:r>
      <w:r w:rsidRPr="0013327C">
        <w:rPr>
          <w:rFonts w:asciiTheme="majorHAnsi" w:hAnsiTheme="majorHAnsi"/>
        </w:rPr>
        <w:t xml:space="preserve">causes ZS-like phenotypes when mutated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"10.1371/journal.pone.0022984", "abstract" : "The peroxisome biogenesis disorders (PBDs) are currently difficult-to-treat multiple-organ dysfunction disorders that result from the defective biogenesis of peroxisomes. Genes encoding Peroxins, which are required for peroxisome biogenesis or functions, are known causative genes of PBDs. The human peroxin genes PEX3 or PEX16 are required for peroxisomal membrane protein targeting, and their mutations cause Zellweger syndrome, a class of PBDs. Lack of understanding about the pathogenesis of Zellweger syndrome has hindered the development of effective treatments. Here, we developed potential Drosophila models for Zellweger syndrome, in which the Drosophila pex3 or pex16 gene was disrupted. As found in Zellweger syndrome patients, peroxisomes were not observed in the homozygous Drosophila pex3 mutant, which was larval lethal. However, the pex16 homozygote lacking its maternal contribution was viable and still maintained a small number of peroxisome-like granules, even though PEX16 is essential for the biosynthesis of peroxisomes in humans. These results suggest that the requirements for pex3 and pex16 in peroxisome biosynthesis in Drosophila are different, and the role of PEX16 orthologs may have diverged between mammals and Drosophila. The phenotypes of our Zellweger syndrome model flies, such as larval lethality in pex3, and reduced size, shortened longevity, locomotion defects, and abnormal lipid metabolisms in pex16, were reminiscent of symptoms of this disorder, although the Drosophila pex16 mutant does not recapitulate the infant death of Zellweger syndrome. Furthermore, pex16 mutants showed male-specific sterility that resulted from the arrest of spermatocyte maturation. pex16 expressed in somatic cyst cells but not germline cells had an essential role in the maturation of male germline cells, suggesting that peroxisome-dependent signals in somatic cyst cells could contribute to the progression of male germ-cell maturation. These potential Drosophila models for Zellweger syndrome should contribute to our understanding of its pathology.", "author" : [ { "dropping-particle" : "", "family" : "Nakayama", "given" : "Minoru", "non-dropping-particle" : "", "parse-names" : false, "suffix" : "" }, { "dropping-particle" : "", "family" : "Sato", "given" : "Hiroyasu", "non-dropping-particle" : "", "parse-names" : false, "suffix" : "" }, { "dropping-particle" : "", "family" : "Okuda", "given" : "Takayuki", "non-dropping-particle" : "", "parse-names" : false, "suffix" : "" }, { "dropping-particle" : "", "family" : "Fujisawa", "given" : "Nao", "non-dropping-particle" : "", "parse-names" : false, "suffix" : "" }, { "dropping-particle" : "", "family" : "Kono", "given" : "Nozomu", "non-dropping-particle" : "", "parse-names" : false, "suffix" : "" }, { "dropping-particle" : "", "family" : "Arai", "given" : "Hiroyuki", "non-dropping-particle" : "", "parse-names" : false, "suffix" : "" }, { "dropping-particle" : "", "family" : "Suzuki", "given" : "Emiko", "non-dropping-particle" : "", "parse-names" : false, "suffix" : "" }, { "dropping-particle" : "", "family" : "Umeda", "given" : "Masato", "non-dropping-particle" : "", "parse-names" : false, "suffix" : "" }, { "dropping-particle" : "", "family" : "Ishikawa", "given" : "Hiroyuki O", "non-dropping-particle" : "", "parse-names" : false, "suffix" : "" }, { "dropping-particle" : "", "family" : "Matsuno", "given" : "Kenji", "non-dropping-particle" : "", "parse-names" : false, "suffix" : "" } ], "container-title" : "PloS one", "id" : "ITEM-1", "issue" : "8", "issued" : { "date-parts" : [ [ "2011", "1" ] ] }, "page" : "e22984", "title" : "Drosophila carrying pex3 or pex16 mutations are models of Zellweger syndrome that reflect its symptoms associated with the absence of peroxisomes.", "type" : "article-journal", "volume" : "6" }, "uris" : [ "http://www.mendeley.com/documents/?uuid=2f1a970c-72de-4653-be70-78066a09133e" ] } ], "mendeley" : { "previouslyFormattedCitation" : "(Nakayama et al. 2011)"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(Nakayama </w:t>
      </w:r>
      <w:r w:rsidR="00466108" w:rsidRPr="00466108">
        <w:rPr>
          <w:rFonts w:asciiTheme="majorHAnsi" w:hAnsiTheme="majorHAnsi"/>
          <w:i/>
          <w:noProof/>
        </w:rPr>
        <w:t>et al</w:t>
      </w:r>
      <w:r w:rsidRPr="0013327C">
        <w:rPr>
          <w:rFonts w:asciiTheme="majorHAnsi" w:hAnsiTheme="majorHAnsi"/>
          <w:noProof/>
        </w:rPr>
        <w:t>. 2011)</w:t>
      </w:r>
      <w:r w:rsidR="009A1FEC" w:rsidRPr="0013327C">
        <w:rPr>
          <w:rFonts w:asciiTheme="majorHAnsi" w:hAnsiTheme="majorHAnsi"/>
        </w:rPr>
        <w:fldChar w:fldCharType="end"/>
      </w:r>
      <w:r w:rsidRPr="0013327C">
        <w:rPr>
          <w:rFonts w:asciiTheme="majorHAnsi" w:hAnsiTheme="majorHAnsi"/>
        </w:rPr>
        <w:t>. Cells lacking function of these peroxins experience mis</w:t>
      </w:r>
      <w:r>
        <w:rPr>
          <w:rFonts w:asciiTheme="majorHAnsi" w:hAnsiTheme="majorHAnsi"/>
        </w:rPr>
        <w:t>-</w:t>
      </w:r>
      <w:r w:rsidRPr="0013327C">
        <w:rPr>
          <w:rFonts w:asciiTheme="majorHAnsi" w:hAnsiTheme="majorHAnsi"/>
        </w:rPr>
        <w:t>localised peroxisomal membrane protein to the cytosol where rapid degradation follows.</w:t>
      </w:r>
    </w:p>
    <w:p w:rsidR="00FD54DA" w:rsidRPr="0013327C" w:rsidRDefault="00FD54DA" w:rsidP="00FD54DA">
      <w:pPr>
        <w:jc w:val="both"/>
        <w:rPr>
          <w:rFonts w:asciiTheme="majorHAnsi" w:hAnsiTheme="majorHAnsi"/>
        </w:rPr>
      </w:pPr>
      <w:r w:rsidRPr="0013327C">
        <w:rPr>
          <w:rFonts w:asciiTheme="majorHAnsi" w:hAnsiTheme="majorHAnsi"/>
        </w:rPr>
        <w:t>The vast majority of experiments conducted in yeast models revealed that two main proteins are responsible for the formation, maturation and growth of peroxisomes; Pex3p and Pex19p.</w:t>
      </w:r>
    </w:p>
    <w:p w:rsidR="00FD54DA" w:rsidRPr="008C5C18" w:rsidRDefault="00FD54DA" w:rsidP="00FD54DA">
      <w:pPr>
        <w:jc w:val="both"/>
        <w:rPr>
          <w:rFonts w:asciiTheme="majorHAnsi" w:hAnsiTheme="majorHAnsi"/>
        </w:rPr>
      </w:pPr>
      <w:r w:rsidRPr="0013327C">
        <w:rPr>
          <w:rFonts w:asciiTheme="majorHAnsi" w:hAnsiTheme="majorHAnsi"/>
        </w:rPr>
        <w:t xml:space="preserve">Pex19p is a farnesylated protein which is responsible for the formation of peroxisomes through the import of peroxisomal membranes </w:t>
      </w:r>
      <w:r w:rsidR="009A1FEC">
        <w:rPr>
          <w:rFonts w:asciiTheme="majorHAnsi" w:hAnsiTheme="majorHAnsi"/>
        </w:rPr>
        <w:fldChar w:fldCharType="begin" w:fldLock="1"/>
      </w:r>
      <w:r w:rsidR="00D72F07">
        <w:rPr>
          <w:rFonts w:asciiTheme="majorHAnsi" w:hAnsiTheme="majorHAnsi"/>
        </w:rPr>
        <w:instrText>ADDIN CSL_CITATION { "citationItems" : [ { "id" : "ITEM-1", "itemData" : { "abstract" : "CAAX farnesyltransferase attaches a farnesyl group to proteins that terminate in the sequence CAAX, where C is cysteine, A is an aliphatic amino acid, and X is typically methionine or serine. A limited number of substrates for the CAAX farnesyltransferase have been identified in cultured cells. These include p21ras proteins and the nuclear lamins A and B. We describe here the use of a CAAX farnesyltransferase inhibitor, together with a hamster cell line that exhibits efficient uptake of [3H]mevalonate, as a means of identifying novel farnesylated proteins. One candidate protein was purified and its attached prenyl group identified as farnesyl. The predicted amino acid sequence of this protein, deduced from a cloned cDNA, terminates with the tetrapeptide Cys-Leu-Ile-Met, which conforms to the consensus sequence for recognition by farnesyltransferase. This farnesylated protein, designated PxF, is localized to the outer surface of peroxisomes as determined by indirect immunofluorescence and electron microscopy.", "author" : [ { "dropping-particle" : "", "family" : "James", "given" : "G L", "non-dropping-particle" : "", "parse-names" : false, "suffix" : "" }, { "dropping-particle" : "", "family" : "Goldstein", "given" : "J L", "non-dropping-particle" : "", "parse-names" : false, "suffix" : "" }, { "dropping-particle" : "", "family" : "Pathak", "given" : "R K", "non-dropping-particle" : "", "parse-names" : false, "suffix" : "" }, { "dropping-particle" : "", "family" : "Anderson", "given" : "R G", "non-dropping-particle" : "", "parse-names" : false, "suffix" : "" }, { "dropping-particle" : "", "family" : "Brown", "given" : "M S", "non-dropping-particle" : "", "parse-names" : false, "suffix" : "" } ], "container-title" : "The Journal of biological chemistry", "id" : "ITEM-1", "issue" : "19", "issued" : { "date-parts" : [ [ "1994", "5", "13" ] ] }, "page" : "14182-90", "title" : "PxF, a prenylated protein of peroxisomes.", "type" : "article-journal", "volume" : "269" }, "uris" : [ "http://www.mendeley.com/documents/?uuid=c234beae-64b9-4fcd-85f5-9cd76b6af79a" ] }, { "id" : "ITEM-2", "itemData" : { "DOI" : "10.1074/jbc.M109.016584", "abstract" : "The conserved CaaX box peroxin Pex19p is known to be modified by farnesylation. The possible involvement of this lipid modification in peroxisome biogenesis, the degree to which Pex19p is farnesylated, and its molecular function are unknown or controversial. We resolve these issues by first showing that the complete pool of Pex19p is processed by farnesyltransferase in vivo and that this modification is independent of peroxisome induction or the Pex19p membrane anchor Pex3p. Furthermore, genomic mutations of PEX19 prove that farnesylation is essential for proper matrix protein import into peroxisomes, which is supposed to be caused indirectly by a defect in peroxisomal membrane protein (PMP) targeting or stability. This assumption is corroborated by the observation that mutants defective in Pex19p farnesylation are characterized by a significantly reduced steady-state concentration of prominent PMPs (Pex11p, Ant1p) but also of essential components of the peroxisomal import machinery, especially the RING peroxins, which were almost depleted from the importomer. In vivo and in vitro, PMP recognition is only efficient when Pex19p is farnesylated with affinities differing by a factor of 10 between the non-modified and wild-type forms of Pex19p. Farnesylation is likely to induce a conformational change in Pex19p. Thus, isoprenylation of Pex19p contributes to substrate membrane protein recognition for the topogenesis of PMPs, and our results highlight the importance of lipid modifications in protein-protein interactions.", "author" : [ { "dropping-particle" : "", "family" : "Ruckt\u00e4schel", "given" : "Robert", "non-dropping-particle" : "", "parse-names" : false, "suffix" : "" }, { "dropping-particle" : "", "family" : "Thoms", "given" : "Sven", "non-dropping-particle" : "", "parse-names" : false, "suffix" : "" }, { "dropping-particle" : "", "family" : "Sidorovitch", "given" : "Vadim", "non-dropping-particle" : "", "parse-names" : false, "suffix" : "" }, { "dropping-particle" : "", "family" : "Halbach", "given" : "Andre", "non-dropping-particle" : "", "parse-names" : false, "suffix" : "" }, { "dropping-particle" : "", "family" : "Pechlivanis", "given" : "Markos", "non-dropping-particle" : "", "parse-names" : false, "suffix" : "" }, { "dropping-particle" : "", "family" : "Volkmer", "given" : "Rudolf", "non-dropping-particle" : "", "parse-names" : false, "suffix" : "" }, { "dropping-particle" : "", "family" : "Alexandrov", "given" : "Kirill", "non-dropping-particle" : "", "parse-names" : false, "suffix" : "" }, { "dropping-particle" : "", "family" : "Kuhlmann", "given" : "J\u00fcrgen", "non-dropping-particle" : "", "parse-names" : false, "suffix" : "" }, { "dropping-particle" : "", "family" : "Rottensteiner", "given" : "Hanspeter", "non-dropping-particle" : "", "parse-names" : false, "suffix" : "" }, { "dropping-particle" : "", "family" : "Erdmann", "given" : "Ralf", "non-dropping-particle" : "", "parse-names" : false, "suffix" : "" } ], "container-title" : "The Journal of biological chemistry", "id" : "ITEM-2", "issue" : "31", "issued" : { "date-parts" : [ [ "2009", "7", "31" ] ] }, "page" : "20885-96", "title" : "Farnesylation of pex19p is required for its structural integrity and function in peroxisome biogenesis.", "type" : "article-journal", "volume" : "284" }, "uris" : [ "http://www.mendeley.com/documents/?uuid=23abea0a-8bd6-47c8-9a88-998dc66a7cfe" ] } ], "mendeley" : { "previouslyFormattedCitation" : "(James et al. 1994; Ruckt\u00e4schel et al. 2009)" }, "properties" : { "noteIndex" : 0 }, "schema" : "https://github.com/citation-style-language/schema/raw/master/csl-citation.json" }</w:instrText>
      </w:r>
      <w:r w:rsidR="009A1FEC">
        <w:rPr>
          <w:rFonts w:asciiTheme="majorHAnsi" w:hAnsiTheme="majorHAnsi"/>
        </w:rPr>
        <w:fldChar w:fldCharType="separate"/>
      </w:r>
      <w:r w:rsidRPr="00F60816">
        <w:rPr>
          <w:rFonts w:asciiTheme="majorHAnsi" w:hAnsiTheme="majorHAnsi"/>
          <w:noProof/>
        </w:rPr>
        <w:t xml:space="preserve">(James </w:t>
      </w:r>
      <w:r w:rsidR="00466108" w:rsidRPr="00466108">
        <w:rPr>
          <w:rFonts w:asciiTheme="majorHAnsi" w:hAnsiTheme="majorHAnsi"/>
          <w:i/>
          <w:noProof/>
        </w:rPr>
        <w:t>et al</w:t>
      </w:r>
      <w:r w:rsidRPr="00F60816">
        <w:rPr>
          <w:rFonts w:asciiTheme="majorHAnsi" w:hAnsiTheme="majorHAnsi"/>
          <w:noProof/>
        </w:rPr>
        <w:t xml:space="preserve">. 1994; Rucktäschel </w:t>
      </w:r>
      <w:r w:rsidR="00466108" w:rsidRPr="00466108">
        <w:rPr>
          <w:rFonts w:asciiTheme="majorHAnsi" w:hAnsiTheme="majorHAnsi"/>
          <w:i/>
          <w:noProof/>
        </w:rPr>
        <w:t>et al</w:t>
      </w:r>
      <w:r w:rsidRPr="00F60816">
        <w:rPr>
          <w:rFonts w:asciiTheme="majorHAnsi" w:hAnsiTheme="majorHAnsi"/>
          <w:noProof/>
        </w:rPr>
        <w:t>. 2009)</w:t>
      </w:r>
      <w:r w:rsidR="009A1FEC">
        <w:rPr>
          <w:rFonts w:asciiTheme="majorHAnsi" w:hAnsiTheme="majorHAnsi"/>
        </w:rPr>
        <w:fldChar w:fldCharType="end"/>
      </w:r>
      <w:r>
        <w:rPr>
          <w:rFonts w:asciiTheme="majorHAnsi" w:hAnsiTheme="majorHAnsi"/>
        </w:rPr>
        <w:t xml:space="preserve"> </w:t>
      </w:r>
      <w:r w:rsidRPr="0013327C">
        <w:rPr>
          <w:rFonts w:asciiTheme="majorHAnsi" w:hAnsiTheme="majorHAnsi"/>
        </w:rPr>
        <w:t>though in humans farnesylation is apparently not essential for its function</w:t>
      </w:r>
      <w:r>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"We report the identification and molecular characterization of Pex19p, an oleic acid-inducible, farnesylated protein of 39.7 kDa that is essential for peroxisome biogenesis in Saccharomyces cerevisiae. Cells lacking Pex19p are characterized by the absence of morphologically detectable peroxisomes and mislocalization of peroxisomal matrix proteins to the cytosol. The human HK33 gene product was identified as the putative human ortholog of Pex19p. Evidence is provided that farnesylation of Pex19p takes place at the cysteine of the C-terminal CKQQ amino acid sequence. Farnesylation of Pex19p was shown to be essential for the proper function of the protein in peroxisome biogenesis. Pex19p was shown to interact with Pex3p in vivo, and this interaction required farnesylation of Pex19p.", "author" : [ { "dropping-particle" : "", "family" : "G\u00f6tte", "given" : "K", "non-dropping-particle" : "", "parse-names" : false, "suffix" : "" }, { "dropping-particle" : "", "family" : "Girzalsky", "given" : "W", "non-dropping-particle" : "", "parse-names" : false, "suffix" : "" }, { "dropping-particle" : "", "family" : "Linkert", "given" : "M", "non-dropping-particle" : "", "parse-names" : false, "suffix" : "" }, { "dropping-particle" : "", "family" : "Baumgart", "given" : "E", "non-dropping-particle" : "", "parse-names" : false, "suffix" : "" }, { "dropping-particle" : "", "family" : "Kammerer", "given" : "S", "non-dropping-particle" : "", "parse-names" : false, "suffix" : "" }, { "dropping-particle" : "", "family" : "Kunau", "given" : "W H", "non-dropping-particle" : "", "parse-names" : false, "suffix" : "" }, { "dropping-particle" : "", "family" : "Erdmann", "given" : "R", "non-dropping-particle" : "", "parse-names" : false, "suffix" : "" } ], "container-title" : "Molecular and cellular biology", "id" : "ITEM-1", "issue" : "1", "issued" : { "date-parts" : [ [ "1998", "1" ] ] }, "page" : "616-28", "title" : "Pex19p, a farnesylated protein essential for peroxisome biogenesis.", "type" : "article-journal", "volume" : "18" }, "uris" : [ "http://www.mendeley.com/documents/?uuid=29c2f5aa-b824-452f-a62a-9cecb72b9916" ] } ], "mendeley" : { "previouslyFormattedCitation" : "(G\u00f6tte et al. 1998)"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(Götte </w:t>
      </w:r>
      <w:r w:rsidR="00466108" w:rsidRPr="00466108">
        <w:rPr>
          <w:rFonts w:asciiTheme="majorHAnsi" w:hAnsiTheme="majorHAnsi"/>
          <w:i/>
          <w:noProof/>
        </w:rPr>
        <w:t>et al</w:t>
      </w:r>
      <w:r w:rsidRPr="0013327C">
        <w:rPr>
          <w:rFonts w:asciiTheme="majorHAnsi" w:hAnsiTheme="majorHAnsi"/>
          <w:noProof/>
        </w:rPr>
        <w:t>. 1998)</w:t>
      </w:r>
      <w:r w:rsidR="009A1FEC" w:rsidRPr="0013327C">
        <w:rPr>
          <w:rFonts w:asciiTheme="majorHAnsi" w:hAnsiTheme="majorHAnsi"/>
        </w:rPr>
        <w:fldChar w:fldCharType="end"/>
      </w:r>
      <w:r w:rsidRPr="0013327C">
        <w:rPr>
          <w:rFonts w:asciiTheme="majorHAnsi" w:hAnsiTheme="majorHAnsi"/>
        </w:rPr>
        <w:t>. Pex19p was originally shown to complement human fibroblasts deficient in peroxisome biogenesis capabilities.  Matsuzono</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"At least 11 complementation groups (CGs) have been identified for the peroxisome biogenesis disorders (PBDs) such as Zellweger syndrome, for which seven pathogenic genes have been elucidated. We have isolated a human PEX19 cDNA (HsPEX19) by functional complementation of peroxisome deficiency of a mutant Chinese hamster ovary cell line, ZP119, defective in import of both matrix and membrane proteins. This cDNA encodes a hydrophilic protein (Pex19p) comprising 299 amino acids, with a prenylation motif, CAAX box, at the C terminus. Farnesylated Pex19p is partly, if not all, anchored in the peroxisomal membrane, exposing its N-terminal part to the cytosol. A stable transformant of ZP119 with HsPEX19 was morphologically and biochemically restored for peroxisome biogenesis. HsPEX19 expression also restored peroxisomal protein import in fibroblasts from a patient (PBDJ-01) with Zellweger syndrome of CG-J. This patient (PBDJ-01) possessed a homozygous, inactivating mutation: a 1-base insertion, A764, in a codon for Met255, resulted in a frameshift, inducing a 24-aa sequence entirely distinct from normal Pex19p. These results demonstrate that PEX19 is the causative gene for CG-J PBD and suggest that the C-terminal part, including the CAAX homology box, is required for the biological function of Pex19p. Moreover, Pex19p is apparently involved at the initial stage in peroxisome membrane assembly, before the import of matrix protein.", "author" : [ { "dropping-particle" : "", "family" : "Matsuzono", "given" : "Y", "non-dropping-particle" : "", "parse-names" : false, "suffix" : "" }, { "dropping-particle" : "", "family" : "Kinoshita", "given" : "N", "non-dropping-particle" : "", "parse-names" : false, "suffix" : "" }, { "dropping-particle" : "", "family" : "Tamura", "given" : "S", "non-dropping-particle" : "", "parse-names" : false, "suffix" : "" }, { "dropping-particle" : "", "family" : "Shimozawa", "given" : "N", "non-dropping-particle" : "", "parse-names" : false, "suffix" : "" }, { "dropping-particle" : "", "family" : "Hamasaki", "given" : "M", "non-dropping-particle" : "", "parse-names" : false, "suffix" : "" }, { "dropping-particle" : "", "family" : "Ghaedi", "given" : "K", "non-dropping-particle" : "", "parse-names" : false, "suffix" : "" }, { "dropping-particle" : "", "family" : "Wanders", "given" : "R J", "non-dropping-particle" : "", "parse-names" : false, "suffix" : "" }, { "dropping-particle" : "", "family" : "Suzuki", "given" : "Y", "non-dropping-particle" : "", "parse-names" : false, "suffix" : "" }, { "dropping-particle" : "", "family" : "Kondo", "given" : "N", "non-dropping-particle" : "", "parse-names" : false, "suffix" : "" }, { "dropping-particle" : "", "family" : "Fujiki", "given" : "Y", "non-dropping-particle" : "", "parse-names" : false, "suffix" : "" } ], "container-title" : "Proceedings of the National Academy of Sciences of the United States of America", "id" : "ITEM-1", "issue" : "5", "issued" : { "date-parts" : [ [ "1999", "3", "2" ] ] }, "page" : "2116-21", "title" : "Human PEX19: cDNA cloning by functional complementation, mutation analysis in a patient with Zellweger syndrome, and potential role in peroxisomal membrane assembly.", "type" : "article-journal", "volume" : "96" }, "uris" : [ "http://www.mendeley.com/documents/?uuid=a4b5e1c4-e95b-4268-b2ea-602ecee63aea" ] } ], "mendeley" : { "manualFormatting" : " et al. (1999)", "previouslyFormattedCitation" : "(Matsuzono et al. 1999)"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 </w:t>
      </w:r>
      <w:r w:rsidR="00466108" w:rsidRPr="00466108">
        <w:rPr>
          <w:rFonts w:asciiTheme="majorHAnsi" w:hAnsiTheme="majorHAnsi"/>
          <w:i/>
          <w:noProof/>
        </w:rPr>
        <w:t>et al</w:t>
      </w:r>
      <w:r w:rsidRPr="0013327C">
        <w:rPr>
          <w:rFonts w:asciiTheme="majorHAnsi" w:hAnsiTheme="majorHAnsi"/>
          <w:noProof/>
        </w:rPr>
        <w:t>. (1999)</w:t>
      </w:r>
      <w:r w:rsidR="009A1FEC" w:rsidRPr="0013327C">
        <w:rPr>
          <w:rFonts w:asciiTheme="majorHAnsi" w:hAnsiTheme="majorHAnsi"/>
        </w:rPr>
        <w:fldChar w:fldCharType="end"/>
      </w:r>
      <w:r w:rsidRPr="0013327C">
        <w:rPr>
          <w:rFonts w:asciiTheme="majorHAnsi" w:hAnsiTheme="majorHAnsi"/>
        </w:rPr>
        <w:t xml:space="preserve"> showed that the addition of human </w:t>
      </w:r>
      <w:r w:rsidRPr="000C26B2">
        <w:rPr>
          <w:rFonts w:asciiTheme="majorHAnsi" w:hAnsiTheme="majorHAnsi"/>
          <w:i/>
        </w:rPr>
        <w:t>PEX</w:t>
      </w:r>
      <w:r w:rsidRPr="0013327C">
        <w:rPr>
          <w:rFonts w:asciiTheme="majorHAnsi" w:hAnsiTheme="majorHAnsi"/>
        </w:rPr>
        <w:t xml:space="preserve">19 cDNA to ZS patient cells induced the production of peroxisomal membrane, where not even peroxisomal ghosts had previously been visible. It has been shown that </w:t>
      </w:r>
      <w:r w:rsidRPr="000C26B2">
        <w:rPr>
          <w:rFonts w:asciiTheme="majorHAnsi" w:hAnsiTheme="majorHAnsi"/>
          <w:i/>
        </w:rPr>
        <w:t>PEX</w:t>
      </w:r>
      <w:r w:rsidRPr="0013327C">
        <w:rPr>
          <w:rFonts w:asciiTheme="majorHAnsi" w:hAnsiTheme="majorHAnsi"/>
        </w:rPr>
        <w:t xml:space="preserve">19 interactions with PMPs facilitate their insertion to the peroxisomal membrane in a </w:t>
      </w:r>
      <w:r w:rsidRPr="000C26B2">
        <w:rPr>
          <w:rFonts w:asciiTheme="majorHAnsi" w:hAnsiTheme="majorHAnsi"/>
          <w:i/>
        </w:rPr>
        <w:t>PEX</w:t>
      </w:r>
      <w:r w:rsidRPr="0013327C">
        <w:rPr>
          <w:rFonts w:asciiTheme="majorHAnsi" w:hAnsiTheme="majorHAnsi"/>
        </w:rPr>
        <w:t xml:space="preserve">3-mediated mechanism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"Peroxisomes are components of virtually all eukaryotic cells. While much is known about peroxisomal matrix protein import, our understanding of how peroxisomal membrane proteins (PMPs) are targeted and inserted into the peroxisome membrane is extremely limited. Here, we show that PEX19 binds a broad spectrum of PMPs, displays saturable PMP binding, and interacts with regions of PMPs required for their targeting to peroxisomes. Furthermore, mislocalization of PEX19 to the nucleus leads to nuclear accumulation of newly synthesized PMPs. At steady state, PEX19 is bimodally distributed between the cytoplasm and peroxisome, with most of the protein in the cytoplasm. We propose that PEX19 may bind newly synthesized PMPs and facilitate their insertion into the peroxisome membrane. This hypothesis is supported by the observation that the loss of PEX19 results in degradation of PMPs and/or mislocalization of PMPs to the mitochondrion.", "author" : [ { "dropping-particle" : "", "family" : "Sacksteder", "given" : "K a", "non-dropping-particle" : "", "parse-names" : false, "suffix" : "" }, { "dropping-particle" : "", "family" : "Jones", "given" : "J M", "non-dropping-particle" : "", "parse-names" : false, "suffix" : "" }, { "dropping-particle" : "", "family" : "South", "given" : "S T", "non-dropping-particle" : "", "parse-names" : false, "suffix" : "" }, { "dropping-particle" : "", "family" : "Li", "given" : "X", "non-dropping-particle" : "", "parse-names" : false, "suffix" : "" }, { "dropping-particle" : "", "family" : "Liu", "given" : "Y", "non-dropping-particle" : "", "parse-names" : false, "suffix" : "" }, { "dropping-particle" : "", "family" : "Gould", "given" : "S J", "non-dropping-particle" : "", "parse-names" : false, "suffix" : "" } ], "container-title" : "The Journal of cell biology", "id" : "ITEM-1", "issue" : "5", "issued" : { "date-parts" : [ [ "2000", "3", "6" ] ] }, "page" : "931-44", "title" : "PEX19 binds multiple peroxisomal membrane proteins, is predominantly cytoplasmic, and is required for peroxisome membrane synthesis.", "type" : "article-journal", "volume" : "148" }, "uris" : [ "http://www.mendeley.com/documents/?uuid=4452b549-a9a8-4c42-836b-f280e8f17e16" ] } ], "mendeley" : { "previouslyFormattedCitation" : "(Sacksteder et al. 2000)"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(Sacksteder </w:t>
      </w:r>
      <w:r w:rsidR="00466108" w:rsidRPr="00466108">
        <w:rPr>
          <w:rFonts w:asciiTheme="majorHAnsi" w:hAnsiTheme="majorHAnsi"/>
          <w:i/>
          <w:noProof/>
        </w:rPr>
        <w:t>et al</w:t>
      </w:r>
      <w:r w:rsidRPr="0013327C">
        <w:rPr>
          <w:rFonts w:asciiTheme="majorHAnsi" w:hAnsiTheme="majorHAnsi"/>
          <w:noProof/>
        </w:rPr>
        <w:t>. 2000)</w:t>
      </w:r>
      <w:r w:rsidR="009A1FEC" w:rsidRPr="0013327C">
        <w:rPr>
          <w:rFonts w:asciiTheme="majorHAnsi" w:hAnsiTheme="majorHAnsi"/>
        </w:rPr>
        <w:fldChar w:fldCharType="end"/>
      </w:r>
      <w:r w:rsidRPr="0013327C">
        <w:rPr>
          <w:rFonts w:asciiTheme="majorHAnsi" w:hAnsiTheme="majorHAnsi"/>
        </w:rPr>
        <w:t xml:space="preserve">. </w:t>
      </w:r>
      <w:r w:rsidRPr="000C26B2">
        <w:rPr>
          <w:rFonts w:asciiTheme="majorHAnsi" w:hAnsiTheme="majorHAnsi"/>
          <w:i/>
        </w:rPr>
        <w:t>PEX</w:t>
      </w:r>
      <w:r w:rsidRPr="0013327C">
        <w:rPr>
          <w:rFonts w:asciiTheme="majorHAnsi" w:hAnsiTheme="majorHAnsi"/>
        </w:rPr>
        <w:t xml:space="preserve">19 has been reported to interact with many </w:t>
      </w:r>
      <w:r w:rsidRPr="000C26B2">
        <w:rPr>
          <w:rFonts w:asciiTheme="majorHAnsi" w:hAnsiTheme="majorHAnsi"/>
          <w:i/>
        </w:rPr>
        <w:t>PEX</w:t>
      </w:r>
      <w:r w:rsidRPr="0013327C">
        <w:rPr>
          <w:rFonts w:asciiTheme="majorHAnsi" w:hAnsiTheme="majorHAnsi"/>
          <w:i/>
        </w:rPr>
        <w:t xml:space="preserve"> </w:t>
      </w:r>
      <w:r w:rsidRPr="0013327C">
        <w:rPr>
          <w:rFonts w:asciiTheme="majorHAnsi" w:hAnsiTheme="majorHAnsi"/>
        </w:rPr>
        <w:t xml:space="preserve">genes including </w:t>
      </w:r>
      <w:r w:rsidRPr="000C26B2">
        <w:rPr>
          <w:rFonts w:asciiTheme="majorHAnsi" w:hAnsiTheme="majorHAnsi"/>
          <w:i/>
        </w:rPr>
        <w:t>PEX</w:t>
      </w:r>
      <w:r w:rsidRPr="0013327C">
        <w:rPr>
          <w:rFonts w:asciiTheme="majorHAnsi" w:hAnsiTheme="majorHAnsi"/>
        </w:rPr>
        <w:t xml:space="preserve">3, </w:t>
      </w:r>
      <w:r w:rsidRPr="000C26B2">
        <w:rPr>
          <w:rFonts w:asciiTheme="majorHAnsi" w:hAnsiTheme="majorHAnsi"/>
          <w:i/>
        </w:rPr>
        <w:t>PEX</w:t>
      </w:r>
      <w:r w:rsidRPr="0013327C">
        <w:rPr>
          <w:rFonts w:asciiTheme="majorHAnsi" w:hAnsiTheme="majorHAnsi"/>
        </w:rPr>
        <w:t xml:space="preserve">10, </w:t>
      </w:r>
      <w:r w:rsidRPr="000C26B2">
        <w:rPr>
          <w:rFonts w:asciiTheme="majorHAnsi" w:hAnsiTheme="majorHAnsi"/>
          <w:i/>
        </w:rPr>
        <w:t>PEX</w:t>
      </w:r>
      <w:r w:rsidRPr="0013327C">
        <w:rPr>
          <w:rFonts w:asciiTheme="majorHAnsi" w:hAnsiTheme="majorHAnsi"/>
        </w:rPr>
        <w:t xml:space="preserve">12, </w:t>
      </w:r>
      <w:r w:rsidRPr="000C26B2">
        <w:rPr>
          <w:rFonts w:asciiTheme="majorHAnsi" w:hAnsiTheme="majorHAnsi"/>
          <w:i/>
        </w:rPr>
        <w:t>PEX</w:t>
      </w:r>
      <w:r w:rsidRPr="0013327C">
        <w:rPr>
          <w:rFonts w:asciiTheme="majorHAnsi" w:hAnsiTheme="majorHAnsi"/>
        </w:rPr>
        <w:t xml:space="preserve">13, </w:t>
      </w:r>
      <w:r w:rsidRPr="000C26B2">
        <w:rPr>
          <w:rFonts w:asciiTheme="majorHAnsi" w:hAnsiTheme="majorHAnsi"/>
          <w:i/>
        </w:rPr>
        <w:t>PEX</w:t>
      </w:r>
      <w:r w:rsidRPr="0013327C">
        <w:rPr>
          <w:rFonts w:asciiTheme="majorHAnsi" w:hAnsiTheme="majorHAnsi"/>
        </w:rPr>
        <w:t xml:space="preserve">14, </w:t>
      </w:r>
      <w:r w:rsidRPr="000C26B2">
        <w:rPr>
          <w:rFonts w:asciiTheme="majorHAnsi" w:hAnsiTheme="majorHAnsi"/>
          <w:i/>
        </w:rPr>
        <w:t>PEX</w:t>
      </w:r>
      <w:r w:rsidRPr="0013327C">
        <w:rPr>
          <w:rFonts w:asciiTheme="majorHAnsi" w:hAnsiTheme="majorHAnsi"/>
        </w:rPr>
        <w:t xml:space="preserve">16 and </w:t>
      </w:r>
      <w:r w:rsidRPr="000C26B2">
        <w:rPr>
          <w:rFonts w:asciiTheme="majorHAnsi" w:hAnsiTheme="majorHAnsi"/>
          <w:i/>
        </w:rPr>
        <w:t>PEX</w:t>
      </w:r>
      <w:r w:rsidRPr="0013327C">
        <w:rPr>
          <w:rFonts w:asciiTheme="majorHAnsi" w:hAnsiTheme="majorHAnsi"/>
        </w:rPr>
        <w:t xml:space="preserve">18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"We report the cloning and characterization of Pichia pastoris PEX19 by complementation of a peroxisome-deficient mutant strain. Import of peroxisomal targeting signal 1- and 2-containing peroxisomal matrix proteins is defective in pex19 mutants. PEX19 encodes a hydrophilic 299-amino acid protein with sequence similarity to Saccharomyces cerevisiae Pex19p and human and Chinese hamster PxF, all farnesylated proteins, as well as hypothetical proteins from Caenorhabditis elegans and Schizosaccharomyces pombe. The farnesylation consensus is conserved in PpPex19p but dispensable for function and appears unmodified under the conditions tested. Pex19p localizes predominantly to the cytosolic fraction. Biochemical and two-hybrid analyses confirmed that Pex19p interacts with Pex3p, as seen in S. cerevisiae, but unexpectedly also with Pex10p. Two-hybrid analysis demonstrated that the amino-terminal 42 amino acids of Pex19p interact with the carboxyl-terminal 335 amino acids of Pex3p. In addition, the extreme carboxyl terminus of Pex19p (67 amino acids) is required for interaction with the amino-terminal 380 amino acids of Pex10p. Biochemical and immunofluorescence microscopy analyses of pex19Delta cells identified the membrane protein Pex3p in peroxisome remnants that were not previously observed in S. cerevisiae. These small vesicular and tubular (early) remnants are morphologically distinct from other Pppex mutant (late) remnants, suggesting that Pex19p functions at an early stage of peroxisome biogenesis.", "author" : [ { "dropping-particle" : "", "family" : "Snyder", "given" : "W B", "non-dropping-particle" : "", "parse-names" : false, "suffix" : "" }, { "dropping-particle" : "", "family" : "Faber", "given" : "K N", "non-dropping-particle" : "", "parse-names" : false, "suffix" : "" }, { "dropping-particle" : "", "family" : "Wenzel", "given" : "T J", "non-dropping-particle" : "", "parse-names" : false, "suffix" : "" }, { "dropping-particle" : "", "family" : "Koller", "given" : "a", "non-dropping-particle" : "", "parse-names" : false, "suffix" : "" }, { "dropping-particle" : "", "family" : "L\u00fcers", "given" : "G H", "non-dropping-particle" : "", "parse-names" : false, "suffix" : "" }, { "dropping-particle" : "", "family" : "Rangell", "given" : "L", "non-dropping-particle" : "", "parse-names" : false, "suffix" : "" }, { "dropping-particle" : "", "family" : "Keller", "given" : "G a", "non-dropping-particle" : "", "parse-names" : false, "suffix" : "" }, { "dropping-particle" : "", "family" : "Subramani", "given" : "S", "non-dropping-particle" : "", "parse-names" : false, "suffix" : "" } ], "container-title" : "Molecular biology of the cell", "id" : "ITEM-1", "issue" : "6", "issued" : { "date-parts" : [ [ "1999", "6" ] ] }, "page" : "1745-61", "title" : "Pex19p interacts with Pex3p and Pex10p and is essential for peroxisome biogenesis in Pichia pastoris.", "type" : "article-journal", "volume" : "10" }, "uris" : [ "http://www.mendeley.com/documents/?uuid=87952b75-6923-48c6-bf36-3085d765385c" ] }, { "id" : "ITEM-2", "itemData" : { "abstract" : "We report the identification and molecular characterization of Pex19p, an oleic acid-inducible, farnesylated protein of 39.7 kDa that is essential for peroxisome biogenesis in Saccharomyces cerevisiae. Cells lacking Pex19p are characterized by the absence of morphologically detectable peroxisomes and mislocalization of peroxisomal matrix proteins to the cytosol. The human HK33 gene product was identified as the putative human ortholog of Pex19p. Evidence is provided that farnesylation of Pex19p takes place at the cysteine of the C-terminal CKQQ amino acid sequence. Farnesylation of Pex19p was shown to be essential for the proper function of the protein in peroxisome biogenesis. Pex19p was shown to interact with Pex3p in vivo, and this interaction required farnesylation of Pex19p.", "author" : [ { "dropping-particle" : "", "family" : "G\u00f6tte", "given" : "K", "non-dropping-particle" : "", "parse-names" : false, "suffix" : "" }, { "dropping-particle" : "", "family" : "Girzalsky", "given" : "W", "non-dropping-particle" : "", "parse-names" : false, "suffix" : "" }, { "dropping-particle" : "", "family" : "Linkert", "given" : "M", "non-dropping-particle" : "", "parse-names" : false, "suffix" : "" }, { "dropping-particle" : "", "family" : "Baumgart", "given" : "E", "non-dropping-particle" : "", "parse-names" : false, "suffix" : "" }, { "dropping-particle" : "", "family" : "Kammerer", "given" : "S", "non-dropping-particle" : "", "parse-names" : false, "suffix" : "" }, { "dropping-particle" : "", "family" : "Kunau", "given" : "W H", "non-dropping-particle" : "", "parse-names" : false, "suffix" : "" }, { "dropping-particle" : "", "family" : "Erdmann", "given" : "R", "non-dropping-particle" : "", "parse-names" : false, "suffix" : "" } ], "container-title" : "Molecular and cellular biology", "id" : "ITEM-2", "issue" : "1", "issued" : { "date-parts" : [ [ "1998", "1" ] ] }, "page" : "616-28", "title" : "Pex19p, a farnesylated protein essential for peroxisome biogenesis.", "type" : "article-journal", "volume" : "18" }, "uris" : [ "http://www.mendeley.com/documents/?uuid=29c2f5aa-b824-452f-a62a-9cecb72b9916" ] } ], "mendeley" : { "previouslyFormattedCitation" : "(Snyder et al. 1999; G\u00f6tte et al. 1998)"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(Snyder </w:t>
      </w:r>
      <w:r w:rsidR="00466108" w:rsidRPr="00466108">
        <w:rPr>
          <w:rFonts w:asciiTheme="majorHAnsi" w:hAnsiTheme="majorHAnsi"/>
          <w:i/>
          <w:noProof/>
        </w:rPr>
        <w:t>et al</w:t>
      </w:r>
      <w:r w:rsidRPr="0013327C">
        <w:rPr>
          <w:rFonts w:asciiTheme="majorHAnsi" w:hAnsiTheme="majorHAnsi"/>
          <w:noProof/>
        </w:rPr>
        <w:t xml:space="preserve">. 1999; Götte </w:t>
      </w:r>
      <w:r w:rsidR="00466108" w:rsidRPr="00466108">
        <w:rPr>
          <w:rFonts w:asciiTheme="majorHAnsi" w:hAnsiTheme="majorHAnsi"/>
          <w:i/>
          <w:noProof/>
        </w:rPr>
        <w:t>et al</w:t>
      </w:r>
      <w:r w:rsidRPr="0013327C">
        <w:rPr>
          <w:rFonts w:asciiTheme="majorHAnsi" w:hAnsiTheme="majorHAnsi"/>
          <w:noProof/>
        </w:rPr>
        <w:t>. 1998)</w:t>
      </w:r>
      <w:r w:rsidR="009A1FEC" w:rsidRPr="0013327C">
        <w:rPr>
          <w:rFonts w:asciiTheme="majorHAnsi" w:hAnsiTheme="majorHAnsi"/>
        </w:rPr>
        <w:fldChar w:fldCharType="end"/>
      </w:r>
      <w:r w:rsidRPr="0013327C">
        <w:rPr>
          <w:rFonts w:asciiTheme="majorHAnsi" w:hAnsiTheme="majorHAnsi"/>
        </w:rPr>
        <w:t>.</w:t>
      </w:r>
      <w:r>
        <w:rPr>
          <w:rFonts w:asciiTheme="majorHAnsi" w:hAnsiTheme="majorHAnsi"/>
        </w:rPr>
        <w:t xml:space="preserve"> Structural crystallography studies have shown that a C-terminal helical domain contains an mPTS motif that is responsible for Pex19p mediated insertion of PMPs into the peroxisomal membrane</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"10.1038/emboj.2010.115", "abstract" : "The protein Pex19p functions as a receptor and chaperone of peroxisomal membrane proteins (PMPs). The crystal structure of the folded C-terminal part of the receptor reveals a globular domain that displays a bundle of three long helices in an antiparallel arrangement. Complementary functional experiments, using a range of truncated Pex19p constructs, show that the structured alpha-helical domain binds PMP-targeting signal (mPTS) sequences with about 10 muM affinity. Removal of a conserved N-terminal helical segment from the mPTS recognition domain impairs the ability for mPTS binding, indicating that it forms part of the mPTS-binding site. Pex19p variants with mutations in the same sequence segment abolish correct cargo import. Our data indicate a divided N-terminal and C-terminal structural arrangement in Pex19p, which is reminiscent of a similar division in the Pex5p receptor, to allow separation of cargo-targeting signal recognition and additional functions.", "author" : [ { "dropping-particle" : "", "family" : "Schueller", "given" : "Nicole", "non-dropping-particle" : "", "parse-names" : false, "suffix" : "" }, { "dropping-particle" : "", "family" : "Holton", "given" : "Simon J", "non-dropping-particle" : "", "parse-names" : false, "suffix" : "" }, { "dropping-particle" : "", "family" : "Fodor", "given" : "Krisztian", "non-dropping-particle" : "", "parse-names" : false, "suffix" : "" }, { "dropping-particle" : "", "family" : "Milewski", "given" : "Morlin", "non-dropping-particle" : "", "parse-names" : false, "suffix" : "" }, { "dropping-particle" : "", "family" : "Konarev", "given" : "Petr", "non-dropping-particle" : "", "parse-names" : false, "suffix" : "" }, { "dropping-particle" : "", "family" : "Stanley", "given" : "Will a", "non-dropping-particle" : "", "parse-names" : false, "suffix" : "" }, { "dropping-particle" : "", "family" : "Wolf", "given" : "Janina", "non-dropping-particle" : "", "parse-names" : false, "suffix" : "" }, { "dropping-particle" : "", "family" : "Erdmann", "given" : "Ralf", "non-dropping-particle" : "", "parse-names" : false, "suffix" : "" }, { "dropping-particle" : "", "family" : "Schliebs", "given" : "Wolfgang", "non-dropping-particle" : "", "parse-names" : false, "suffix" : "" }, { "dropping-particle" : "", "family" : "Song", "given" : "Young-Hwa", "non-dropping-particle" : "", "parse-names" : false, "suffix" : "" }, { "dropping-particle" : "", "family" : "Wilmanns", "given" : "Matthias", "non-dropping-particle" : "", "parse-names" : false, "suffix" : "" } ], "container-title" : "The EMBO journal", "id" : "ITEM-1", "issue" : "15", "issued" : { "date-parts" : [ [ "2010", "8", "4" ] ] }, "page" : "2491-500", "publisher" : "Nature Publishing Group", "title" : "The peroxisomal receptor Pex19p forms a helical mPTS recognition domain.", "type" : "article-journal", "volume" : "29" }, "uris" : [ "http://www.mendeley.com/documents/?uuid=f9d6dd09-7237-4c83-926d-6dda68ecee82" ] } ], "mendeley" : { "previouslyFormattedCitation" : "(Schueller et al. 2010)" }, "properties" : { "noteIndex" : 0 }, "schema" : "https://github.com/citation-style-language/schema/raw/master/csl-citation.json" }</w:instrText>
      </w:r>
      <w:r w:rsidR="009A1FEC">
        <w:rPr>
          <w:rFonts w:asciiTheme="majorHAnsi" w:hAnsiTheme="majorHAnsi"/>
        </w:rPr>
        <w:fldChar w:fldCharType="separate"/>
      </w:r>
      <w:r w:rsidRPr="001522D4">
        <w:rPr>
          <w:rFonts w:asciiTheme="majorHAnsi" w:hAnsiTheme="majorHAnsi"/>
          <w:noProof/>
        </w:rPr>
        <w:t xml:space="preserve">(Schueller </w:t>
      </w:r>
      <w:r w:rsidR="00466108" w:rsidRPr="00466108">
        <w:rPr>
          <w:rFonts w:asciiTheme="majorHAnsi" w:hAnsiTheme="majorHAnsi"/>
          <w:i/>
          <w:noProof/>
        </w:rPr>
        <w:t>et al</w:t>
      </w:r>
      <w:r w:rsidRPr="001522D4">
        <w:rPr>
          <w:rFonts w:asciiTheme="majorHAnsi" w:hAnsiTheme="majorHAnsi"/>
          <w:noProof/>
        </w:rPr>
        <w:t>. 2010)</w:t>
      </w:r>
      <w:r w:rsidR="009A1FEC">
        <w:rPr>
          <w:rFonts w:asciiTheme="majorHAnsi" w:hAnsiTheme="majorHAnsi"/>
        </w:rPr>
        <w:fldChar w:fldCharType="end"/>
      </w:r>
      <w:r>
        <w:rPr>
          <w:rFonts w:asciiTheme="majorHAnsi" w:hAnsiTheme="majorHAnsi"/>
        </w:rPr>
        <w:t xml:space="preserve">. The same study claims that a motif in the N-terminal region of Pex19p (uncharacterised) has an equal affinity for the PMPs Pex3p and Pex11p, that the two motifs are not synergistic and that the effect on the C-terminal motif is attenuated by the presence of the region containing the farnesylation site.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"10.1038/emboj.2010.293", "abstract" : "Peroxisomes require peroxin (Pex) proteins for their biogenesis. The interaction between Pex3p, which resides on the peroxisomal membrane, and Pex19p, which resides in the cytosol, is crucial for peroxisome formation and the post-translational targeting of peroxisomal membrane proteins (PMPs). It is not known how Pex3p promotes the specific interaction with Pex19p for the purpose of PMP translocation. Here, we present the three-dimensional structure of the complex between a cytosolic domain of Pex3p and the binding-region peptide of Pex19p. The overall shape of Pex3p is a prolate spheroid with a novel fold, the 'twisted six-helix bundle.' The Pex19p-binding site is at an apex of the Pex3p spheroid. A 16-residue region of the Pex19p peptide forms an \u03b1-helix and makes a contact with Pex3p; this helix is disordered in the unbound state. The Pex19p peptide contains a characteristic motif, consisting of the leucine triad (Leu18, Leu21, Leu22), and Phe29, which are critical for the Pex3p binding and peroxisome biogenesis.", "author" : [ { "dropping-particle" : "", "family" : "Sato", "given" : "Yasuhiko", "non-dropping-particle" : "", "parse-names" : false, "suffix" : "" }, { "dropping-particle" : "", "family" : "Shibata", "given" : "Hiroyuki", "non-dropping-particle" : "", "parse-names" : false, "suffix" : "" }, { "dropping-particle" : "", "family" : "Nakatsu", "given" : "Toru", "non-dropping-particle" : "", "parse-names" : false, "suffix" : "" }, { "dropping-particle" : "", "family" : "Nakano", "given" : "Hiroaki", "non-dropping-particle" : "", "parse-names" : false, "suffix" : "" }, { "dropping-particle" : "", "family" : "Kashiwayama", "given" : "Yoshinori", "non-dropping-particle" : "", "parse-names" : false, "suffix" : "" }, { "dropping-particle" : "", "family" : "Imanaka", "given" : "Tsuneo", "non-dropping-particle" : "", "parse-names" : false, "suffix" : "" }, { "dropping-particle" : "", "family" : "Kato", "given" : "Hiroaki", "non-dropping-particle" : "", "parse-names" : false, "suffix" : "" } ], "container-title" : "The EMBO journal", "id" : "ITEM-1", "issue" : "24", "issued" : { "date-parts" : [ [ "2010", "12", "15" ] ] }, "page" : "4083-93", "publisher" : "Nature Publishing Group", "title" : "Structural basis for docking of peroxisomal membrane protein carrier Pex19p onto its receptor Pex3p.", "type" : "article-journal", "volume" : "29" }, "uris" : [ "http://www.mendeley.com/documents/?uuid=373d0ea3-6a05-4412-92a0-bf5c2244db4b" ] } ], "mendeley" : { "manualFormatting" : "Sato et al. (2010)", "previouslyFormattedCitation" : "(Sato et al. 2010)" }, "properties" : { "noteIndex" : 0 }, "schema" : "https://github.com/citation-style-language/schema/raw/master/csl-citation.json" }</w:instrText>
      </w:r>
      <w:r w:rsidR="009A1FEC">
        <w:rPr>
          <w:rFonts w:asciiTheme="majorHAnsi" w:hAnsiTheme="majorHAnsi"/>
        </w:rPr>
        <w:fldChar w:fldCharType="separate"/>
      </w:r>
      <w:r w:rsidRPr="0026414A">
        <w:rPr>
          <w:rFonts w:asciiTheme="majorHAnsi" w:hAnsiTheme="majorHAnsi"/>
          <w:noProof/>
        </w:rPr>
        <w:t xml:space="preserve">Sato </w:t>
      </w:r>
      <w:r w:rsidR="00466108" w:rsidRPr="00466108">
        <w:rPr>
          <w:rFonts w:asciiTheme="majorHAnsi" w:hAnsiTheme="majorHAnsi"/>
          <w:i/>
          <w:noProof/>
        </w:rPr>
        <w:t>et al</w:t>
      </w:r>
      <w:r w:rsidRPr="0026414A">
        <w:rPr>
          <w:rFonts w:asciiTheme="majorHAnsi" w:hAnsiTheme="majorHAnsi"/>
          <w:noProof/>
        </w:rPr>
        <w:t xml:space="preserve">. </w:t>
      </w:r>
      <w:r>
        <w:rPr>
          <w:rFonts w:asciiTheme="majorHAnsi" w:hAnsiTheme="majorHAnsi"/>
          <w:noProof/>
        </w:rPr>
        <w:t>(</w:t>
      </w:r>
      <w:r w:rsidRPr="0026414A">
        <w:rPr>
          <w:rFonts w:asciiTheme="majorHAnsi" w:hAnsiTheme="majorHAnsi"/>
          <w:noProof/>
        </w:rPr>
        <w:t>2010)</w:t>
      </w:r>
      <w:r w:rsidR="009A1FEC">
        <w:rPr>
          <w:rFonts w:asciiTheme="majorHAnsi" w:hAnsiTheme="majorHAnsi"/>
        </w:rPr>
        <w:fldChar w:fldCharType="end"/>
      </w:r>
      <w:r>
        <w:rPr>
          <w:rFonts w:asciiTheme="majorHAnsi" w:hAnsiTheme="majorHAnsi"/>
        </w:rPr>
        <w:t xml:space="preserve"> demonstrate that the N-terminal 44 residues of Pex19p form an amphipathic helix that interacts with a six-helix domain of Pex3p. This helix is disordered when not in complex but by treating with methanol </w:t>
      </w:r>
      <w:r>
        <w:rPr>
          <w:rFonts w:asciiTheme="majorHAnsi" w:hAnsiTheme="majorHAnsi"/>
          <w:i/>
        </w:rPr>
        <w:t>in vitro</w:t>
      </w:r>
      <w:r>
        <w:rPr>
          <w:rFonts w:asciiTheme="majorHAnsi" w:hAnsiTheme="majorHAnsi"/>
        </w:rPr>
        <w:t xml:space="preserve"> the group have been able to achieve the N-terminal helix without complex. The group c</w:t>
      </w:r>
      <w:r w:rsidR="00FA5D94">
        <w:rPr>
          <w:rFonts w:asciiTheme="majorHAnsi" w:hAnsiTheme="majorHAnsi"/>
        </w:rPr>
        <w:t>laims this behaviour presumably</w:t>
      </w:r>
      <w:r>
        <w:rPr>
          <w:rFonts w:asciiTheme="majorHAnsi" w:hAnsiTheme="majorHAnsi"/>
        </w:rPr>
        <w:t xml:space="preserve"> minimises non-specific binding with cytosolic proteins.</w:t>
      </w:r>
    </w:p>
    <w:p w:rsidR="00FD54DA" w:rsidRPr="0013327C" w:rsidRDefault="00FD54DA" w:rsidP="00FD54DA">
      <w:pPr>
        <w:jc w:val="both"/>
        <w:rPr>
          <w:rFonts w:asciiTheme="majorHAnsi" w:hAnsiTheme="majorHAnsi"/>
        </w:rPr>
      </w:pPr>
      <w:r w:rsidRPr="000C26B2">
        <w:rPr>
          <w:rFonts w:asciiTheme="majorHAnsi" w:hAnsiTheme="majorHAnsi"/>
          <w:i/>
        </w:rPr>
        <w:lastRenderedPageBreak/>
        <w:t>PEX</w:t>
      </w:r>
      <w:r w:rsidRPr="0013327C">
        <w:rPr>
          <w:rFonts w:asciiTheme="majorHAnsi" w:hAnsiTheme="majorHAnsi"/>
        </w:rPr>
        <w:t xml:space="preserve">3 has been able to complement </w:t>
      </w:r>
      <w:r w:rsidRPr="000C26B2">
        <w:rPr>
          <w:rFonts w:asciiTheme="majorHAnsi" w:hAnsiTheme="majorHAnsi"/>
          <w:i/>
        </w:rPr>
        <w:t>PEX</w:t>
      </w:r>
      <w:r w:rsidRPr="0013327C">
        <w:rPr>
          <w:rFonts w:asciiTheme="majorHAnsi" w:hAnsiTheme="majorHAnsi"/>
        </w:rPr>
        <w:t xml:space="preserve">3Δ cells lacking in peroxisomal membrane bodies in </w:t>
      </w:r>
      <w:r w:rsidRPr="0013327C">
        <w:rPr>
          <w:rFonts w:asciiTheme="majorHAnsi" w:hAnsiTheme="majorHAnsi"/>
          <w:i/>
        </w:rPr>
        <w:t xml:space="preserve">H. polymorpha, P. pastoris, </w:t>
      </w:r>
      <w:proofErr w:type="gramStart"/>
      <w:r w:rsidRPr="0013327C">
        <w:rPr>
          <w:rFonts w:asciiTheme="majorHAnsi" w:hAnsiTheme="majorHAnsi"/>
          <w:i/>
        </w:rPr>
        <w:t>S</w:t>
      </w:r>
      <w:proofErr w:type="gramEnd"/>
      <w:r w:rsidRPr="0013327C">
        <w:rPr>
          <w:rFonts w:asciiTheme="majorHAnsi" w:hAnsiTheme="majorHAnsi"/>
          <w:i/>
        </w:rPr>
        <w:t>. cerevisiae and in CHO cells</w:t>
      </w:r>
      <w:r w:rsidRPr="0013327C">
        <w:rPr>
          <w:rFonts w:asciiTheme="majorHAnsi" w:hAnsiTheme="majorHAnsi"/>
        </w:rPr>
        <w:t xml:space="preserve">. </w:t>
      </w:r>
      <w:r w:rsidRPr="000C26B2">
        <w:rPr>
          <w:rFonts w:asciiTheme="majorHAnsi" w:hAnsiTheme="majorHAnsi"/>
          <w:i/>
        </w:rPr>
        <w:t>PEX</w:t>
      </w:r>
      <w:r w:rsidRPr="0013327C">
        <w:rPr>
          <w:rFonts w:asciiTheme="majorHAnsi" w:hAnsiTheme="majorHAnsi"/>
        </w:rPr>
        <w:t xml:space="preserve">3 has been shown to be an integral membrane protein; its N-terminal 40 amino acids target it to the peroxisomal membrane. </w:t>
      </w:r>
      <w:r w:rsidRPr="000C26B2">
        <w:rPr>
          <w:rFonts w:asciiTheme="majorHAnsi" w:hAnsiTheme="majorHAnsi"/>
          <w:i/>
        </w:rPr>
        <w:t>PEX</w:t>
      </w:r>
      <w:r w:rsidRPr="0013327C">
        <w:rPr>
          <w:rFonts w:asciiTheme="majorHAnsi" w:hAnsiTheme="majorHAnsi"/>
        </w:rPr>
        <w:t xml:space="preserve">3 and </w:t>
      </w:r>
      <w:r w:rsidRPr="000C26B2">
        <w:rPr>
          <w:rFonts w:asciiTheme="majorHAnsi" w:hAnsiTheme="majorHAnsi"/>
          <w:i/>
        </w:rPr>
        <w:t>PEX</w:t>
      </w:r>
      <w:r w:rsidRPr="0013327C">
        <w:rPr>
          <w:rFonts w:asciiTheme="majorHAnsi" w:hAnsiTheme="majorHAnsi"/>
        </w:rPr>
        <w:t xml:space="preserve">19 interaction is crucial for peroxisome formation; cells lacking either have no peroxisomes. Pex3p is capable of targeting to peroxisomes in the absence of Pex19p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"10.1016/j.bbamcr.2009.08.007", "abstract" : "According to current models, most newly synthesized peroxisomal intrinsic membrane proteins are recognized in the cytosol and targeted to the peroxisomal membrane by PEX19. At the organelle membrane the PEX19-cargo protein complex interacts with PEX3, a protein believed to possess only one transmembrane domain and exposing the majority of its polypeptide chain into the cytosol. In agreement with this topological model, a recombinant protein comprising the cytosolic domain of PEX3 can be purified in a soluble and monomeric form in the absence of detergents or other solubilizing agents. Here, we show that this recombinant protein actually precipitates when incubated with mild detergents, suggesting that this domain of PEX3 interacts with amphipathic molecules. Following this observation, we tested this recombinant protein in lipid-binding assays and found that it interacts strongly with liposomes inducing their flocculation or even partial solubilization. The implications of these findings are discussed.", "author" : [ { "dropping-particle" : "", "family" : "Pinto", "given" : "Manuel P", "non-dropping-particle" : "", "parse-names" : false, "suffix" : "" }, { "dropping-particle" : "", "family" : "Grou", "given" : "Cl\u00e1udia P", "non-dropping-particle" : "", "parse-names" : false, "suffix" : "" }, { "dropping-particle" : "", "family" : "Fransen", "given" : "Marc", "non-dropping-particle" : "", "parse-names" : false, "suffix" : "" }, { "dropping-particle" : "", "family" : "S\u00e1-Miranda", "given" : "Clara", "non-dropping-particle" : "", "parse-names" : false, "suffix" : "" }, { "dropping-particle" : "", "family" : "Azevedo", "given" : "Jorge E", "non-dropping-particle" : "", "parse-names" : false, "suffix" : "" } ], "container-title" : "Biochimica et biophysica acta", "id" : "ITEM-1", "issue" : "11", "issued" : { "date-parts" : [ [ "2009", "11" ] ] }, "page" : "1669-75", "publisher" : "Elsevier B.V.", "title" : "The cytosolic domain of PEX3, a protein involved in the biogenesis of peroxisomes, binds membrane lipids.", "type" : "article-journal", "volume" : "1793" }, "uris" : [ "http://www.mendeley.com/documents/?uuid=d509de4f-2da2-4612-bd5c-a5f9b78e0fd1" ] } ], "mendeley" : { "manualFormatting" : "(Pinto et al., 2009)", "previouslyFormattedCitation" : "(Pinto et al. 2009)"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(Pinto </w:t>
      </w:r>
      <w:r w:rsidR="00466108" w:rsidRPr="00466108">
        <w:rPr>
          <w:rFonts w:asciiTheme="majorHAnsi" w:hAnsiTheme="majorHAnsi"/>
          <w:i/>
          <w:noProof/>
        </w:rPr>
        <w:t>et al</w:t>
      </w:r>
      <w:r w:rsidRPr="0013327C">
        <w:rPr>
          <w:rFonts w:asciiTheme="majorHAnsi" w:hAnsiTheme="majorHAnsi"/>
          <w:i/>
          <w:noProof/>
        </w:rPr>
        <w:t>.</w:t>
      </w:r>
      <w:r w:rsidRPr="0013327C">
        <w:rPr>
          <w:rFonts w:asciiTheme="majorHAnsi" w:hAnsiTheme="majorHAnsi"/>
          <w:noProof/>
        </w:rPr>
        <w:t>, 2009)</w:t>
      </w:r>
      <w:r w:rsidR="009A1FEC" w:rsidRPr="0013327C">
        <w:rPr>
          <w:rFonts w:asciiTheme="majorHAnsi" w:hAnsiTheme="majorHAnsi"/>
        </w:rPr>
        <w:fldChar w:fldCharType="end"/>
      </w:r>
      <w:r w:rsidRPr="0013327C">
        <w:rPr>
          <w:rFonts w:asciiTheme="majorHAnsi" w:hAnsiTheme="majorHAnsi"/>
        </w:rPr>
        <w:t xml:space="preserve"> and is believed to act as a “docking” receptor to facilitate </w:t>
      </w:r>
      <w:r w:rsidRPr="000C26B2">
        <w:rPr>
          <w:rFonts w:asciiTheme="majorHAnsi" w:hAnsiTheme="majorHAnsi"/>
          <w:i/>
        </w:rPr>
        <w:t>PEX</w:t>
      </w:r>
      <w:r w:rsidRPr="0013327C">
        <w:rPr>
          <w:rFonts w:asciiTheme="majorHAnsi" w:hAnsiTheme="majorHAnsi"/>
        </w:rPr>
        <w:t xml:space="preserve">19-mediated insertion of PMPs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"10.1083/jcb.200311131", "abstract" : "PEX19 is a chaperone and import receptor for newly synthesized, class I peroxisomal membrane proteins (PMPs). PEX19 binds these PMPs in the cytoplasm and delivers them to the peroxisome for subsequent insertion into the peroxisome membrane, indicating that there may be a PEX19 docking factor in the peroxisome membrane. Here we show that PEX3 is required for PEX19 to dock at peroxisomes, interacts specifically with the docking domain of PEX19, and is required for recruitment of the PEX19 docking domain to peroxisomes. PEX3 is also sufficient to dock PEX19 at heterologous organelles and binds PEX19 via a conserved motif that is essential for this docking activity and for PEX3 function in general. Not surprisingly, transient inhibition of PEX3 abrogates class I PMP import but has no effect on class II PMP import or peroxisomal matrix protein import. Taken together, these results suggest that PEX3 plays a selective, essential, and direct role in PMP import as a docking factor for PEX19.", "author" : [ { "dropping-particle" : "", "family" : "Fang", "given" : "Yi", "non-dropping-particle" : "", "parse-names" : false, "suffix" : "" }, { "dropping-particle" : "", "family" : "Morrell", "given" : "James C", "non-dropping-particle" : "", "parse-names" : false, "suffix" : "" }, { "dropping-particle" : "", "family" : "Jones", "given" : "Jacob M", "non-dropping-particle" : "", "parse-names" : false, "suffix" : "" }, { "dropping-particle" : "", "family" : "Gould", "given" : "Stephen J", "non-dropping-particle" : "", "parse-names" : false, "suffix" : "" } ], "container-title" : "The Journal of cell biology", "id" : "ITEM-1", "issue" : "6", "issued" : { "date-parts" : [ [ "2004", "3", "15" ] ] }, "page" : "863-75", "title" : "PEX3 functions as a PEX19 docking factor in the import of class I peroxisomal membrane proteins.", "type" : "article-journal", "volume" : "164" }, "uris" : [ "http://www.mendeley.com/documents/?uuid=0e994636-cc40-40cb-8f81-9e40fbf0f663" ] } ], "mendeley" : { "previouslyFormattedCitation" : "(Fang et al. 2004)"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(Fang </w:t>
      </w:r>
      <w:r w:rsidR="00466108" w:rsidRPr="00466108">
        <w:rPr>
          <w:rFonts w:asciiTheme="majorHAnsi" w:hAnsiTheme="majorHAnsi"/>
          <w:i/>
          <w:noProof/>
        </w:rPr>
        <w:t>et al</w:t>
      </w:r>
      <w:r w:rsidRPr="0013327C">
        <w:rPr>
          <w:rFonts w:asciiTheme="majorHAnsi" w:hAnsiTheme="majorHAnsi"/>
          <w:noProof/>
        </w:rPr>
        <w:t>. 2004)</w:t>
      </w:r>
      <w:r w:rsidR="009A1FEC" w:rsidRPr="0013327C">
        <w:rPr>
          <w:rFonts w:asciiTheme="majorHAnsi" w:hAnsiTheme="majorHAnsi"/>
        </w:rPr>
        <w:fldChar w:fldCharType="end"/>
      </w:r>
      <w:r w:rsidRPr="0013327C">
        <w:rPr>
          <w:rFonts w:asciiTheme="majorHAnsi" w:hAnsiTheme="majorHAnsi"/>
        </w:rPr>
        <w:t xml:space="preserve"> </w:t>
      </w:r>
    </w:p>
    <w:p w:rsidR="00FD54DA" w:rsidRPr="0013327C" w:rsidRDefault="00FD54DA" w:rsidP="00FD54DA">
      <w:pPr>
        <w:jc w:val="both"/>
        <w:rPr>
          <w:rFonts w:asciiTheme="majorHAnsi" w:hAnsiTheme="majorHAnsi"/>
        </w:rPr>
      </w:pPr>
      <w:r w:rsidRPr="000C26B2">
        <w:rPr>
          <w:rFonts w:asciiTheme="majorHAnsi" w:hAnsiTheme="majorHAnsi"/>
          <w:i/>
        </w:rPr>
        <w:t>PEX</w:t>
      </w:r>
      <w:r w:rsidRPr="0013327C">
        <w:rPr>
          <w:rFonts w:asciiTheme="majorHAnsi" w:hAnsiTheme="majorHAnsi"/>
        </w:rPr>
        <w:t xml:space="preserve">16 is a protein also recognised as having a role in PMP import. Originally observed in </w:t>
      </w:r>
      <w:r w:rsidRPr="0013327C">
        <w:rPr>
          <w:rFonts w:asciiTheme="majorHAnsi" w:hAnsiTheme="majorHAnsi"/>
          <w:i/>
        </w:rPr>
        <w:t xml:space="preserve">Y lipolytica </w:t>
      </w:r>
      <w:r w:rsidR="009A1FEC" w:rsidRPr="0013327C">
        <w:rPr>
          <w:rFonts w:asciiTheme="majorHAnsi" w:hAnsiTheme="majorHAnsi"/>
          <w:i/>
        </w:rPr>
        <w:fldChar w:fldCharType="begin" w:fldLock="1"/>
      </w:r>
      <w:r w:rsidR="00D72F07">
        <w:rPr>
          <w:rFonts w:asciiTheme="majorHAnsi" w:hAnsiTheme="majorHAnsi"/>
          <w:i/>
        </w:rPr>
        <w:instrText>ADDIN CSL_CITATION { "citationItems" : [ { "id" : "ITEM-1", "itemData" : { "author" : [ { "dropping-particle" : "", "family" : "Eitzen", "given" : "Gary A", "non-dropping-particle" : "", "parse-names" : false, "suffix" : "" }, { "dropping-particle" : "", "family" : "Szilard", "given" : "Rachel K", "non-dropping-particle" : "", "parse-names" : false, "suffix" : "" }, { "dropping-particle" : "", "family" : "Rachubinski", "given" : "Richard A", "non-dropping-particle" : "", "parse-names" : false, "suffix" : "" } ], "container-title" : "Journal of Cell Biology", "id" : "ITEM-1", "issue" : "6", "issued" : { "date-parts" : [ [ "1997" ] ] }, "page" : "1265-1278", "title" : "Enlarged Peroxisomes Are Present in Oleic Acid\u2013grown", "type" : "article-journal", "volume" : "137" }, "uris" : [ "http://www.mendeley.com/documents/?uuid=7726c0d2-0c53-45b6-ad5d-2c69db4f5aa3" ] } ], "mendeley" : { "manualFormatting" : "(Eitzen et al., 1997)", "previouslyFormattedCitation" : "(Eitzen, Szilard &amp; Rachubinski 1997)" }, "properties" : { "noteIndex" : 0 }, "schema" : "https://github.com/citation-style-language/schema/raw/master/csl-citation.json" }</w:instrText>
      </w:r>
      <w:r w:rsidR="009A1FEC" w:rsidRPr="0013327C">
        <w:rPr>
          <w:rFonts w:asciiTheme="majorHAnsi" w:hAnsiTheme="majorHAnsi"/>
          <w:i/>
        </w:rPr>
        <w:fldChar w:fldCharType="separate"/>
      </w:r>
      <w:r w:rsidRPr="0013327C">
        <w:rPr>
          <w:rFonts w:asciiTheme="majorHAnsi" w:hAnsiTheme="majorHAnsi"/>
          <w:noProof/>
        </w:rPr>
        <w:t xml:space="preserve">(Eitzen </w:t>
      </w:r>
      <w:r w:rsidR="00466108" w:rsidRPr="00466108">
        <w:rPr>
          <w:rFonts w:asciiTheme="majorHAnsi" w:hAnsiTheme="majorHAnsi"/>
          <w:i/>
          <w:noProof/>
        </w:rPr>
        <w:t>et al</w:t>
      </w:r>
      <w:r w:rsidRPr="0013327C">
        <w:rPr>
          <w:rFonts w:asciiTheme="majorHAnsi" w:hAnsiTheme="majorHAnsi"/>
          <w:noProof/>
        </w:rPr>
        <w:t>., 1997)</w:t>
      </w:r>
      <w:r w:rsidR="009A1FEC" w:rsidRPr="0013327C">
        <w:rPr>
          <w:rFonts w:asciiTheme="majorHAnsi" w:hAnsiTheme="majorHAnsi"/>
          <w:i/>
        </w:rPr>
        <w:fldChar w:fldCharType="end"/>
      </w:r>
      <w:r w:rsidRPr="0013327C">
        <w:rPr>
          <w:rFonts w:asciiTheme="majorHAnsi" w:hAnsiTheme="majorHAnsi"/>
        </w:rPr>
        <w:t xml:space="preserve">. It has been shown to be a crucial protein for peroxisome biogenesis in mammals and humans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"10.1086/302161", "abstract" : "Peroxisome-biogenesis disorders (PBDs), including Zellweger syndrome (ZS), are autosomal recessive diseases caused by a deficiency in peroxisome assembly as well as by a malfunction of peroxisomes, among which&gt;10 genotypes have been identified. We have isolated a human PEX16 cDNA (HsPEX16) by performing an expressed-sequence-tag homology search on a human DNA database, by using yeast PEX16 from Yarrowia lipolytica and then screening the human liver cDNA library. This cDNA encodes a peroxisomal protein (a peroxin Pex16p) made up of 336 amino acids. Among 13 peroxisome-deficiency complementation groups (CGs), HsPEX16 expression morphologically and biochemically restored peroxisome biogenesis only in fibroblasts from a CG-D patient with ZS in Japan (the same group as CG-IX in the United States). Pex16p was localized to peroxisomes through expression study of epitope-tagged Pex16p. One patient (PBDD-01) possessed a homozygous, inactivating nonsense mutation, C--&gt;T at position 526 in a codon (CGA) for 176Arg, that resulted in a termination codon (TGA). This implies that the C-terminal half is required for the biological function of Pex16p. PBDD-01-derived PEX16 cDNA was defective in peroxisome-restoring activity when expressed in the patient's fibroblasts. These results demonstrate that mutation in PEX16 is the genetic cause of CG-D PBDs.", "author" : [ { "dropping-particle" : "", "family" : "Honsho", "given" : "M", "non-dropping-particle" : "", "parse-names" : false, "suffix" : "" }, { "dropping-particle" : "", "family" : "Tamura", "given" : "S", "non-dropping-particle" : "", "parse-names" : false, "suffix" : "" }, { "dropping-particle" : "", "family" : "Shimozawa", "given" : "N", "non-dropping-particle" : "", "parse-names" : false, "suffix" : "" }, { "dropping-particle" : "", "family" : "Suzuki", "given" : "Y", "non-dropping-particle" : "", "parse-names" : false, "suffix" : "" }, { "dropping-particle" : "", "family" : "Kondo", "given" : "N", "non-dropping-particle" : "", "parse-names" : false, "suffix" : "" }, { "dropping-particle" : "", "family" : "Fujiki", "given" : "Y", "non-dropping-particle" : "", "parse-names" : false, "suffix" : "" } ], "container-title" : "American journal of human genetics", "id" : "ITEM-1", "issue" : "6", "issued" : { "date-parts" : [ [ "1998", "12" ] ] }, "page" : "1622-30", "title" : "Mutation in PEX16 is causal in the peroxisome-deficient Zellweger syndrome of complementation group D.", "type" : "article-journal", "volume" : "63" }, "uris" : [ "http://www.mendeley.com/documents/?uuid=3f1a8ffb-04f0-4ff1-861b-c592ba945b79" ] } ], "mendeley" : { "previouslyFormattedCitation" : "(Honsho et al. 1998)"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(Honsho </w:t>
      </w:r>
      <w:r w:rsidR="00466108" w:rsidRPr="00466108">
        <w:rPr>
          <w:rFonts w:asciiTheme="majorHAnsi" w:hAnsiTheme="majorHAnsi"/>
          <w:i/>
          <w:noProof/>
        </w:rPr>
        <w:t>et al</w:t>
      </w:r>
      <w:r w:rsidRPr="0013327C">
        <w:rPr>
          <w:rFonts w:asciiTheme="majorHAnsi" w:hAnsiTheme="majorHAnsi"/>
          <w:noProof/>
        </w:rPr>
        <w:t>. 1998)</w:t>
      </w:r>
      <w:r w:rsidR="009A1FEC" w:rsidRPr="0013327C">
        <w:rPr>
          <w:rFonts w:asciiTheme="majorHAnsi" w:hAnsiTheme="majorHAnsi"/>
        </w:rPr>
        <w:fldChar w:fldCharType="end"/>
      </w:r>
      <w:r w:rsidRPr="0013327C">
        <w:rPr>
          <w:rFonts w:asciiTheme="majorHAnsi" w:hAnsiTheme="majorHAnsi"/>
        </w:rPr>
        <w:t xml:space="preserve">. It appears to act as a receptor for </w:t>
      </w:r>
      <w:r w:rsidRPr="000C26B2">
        <w:rPr>
          <w:rFonts w:asciiTheme="majorHAnsi" w:hAnsiTheme="majorHAnsi"/>
          <w:i/>
        </w:rPr>
        <w:t>PEX</w:t>
      </w:r>
      <w:r w:rsidRPr="0013327C">
        <w:rPr>
          <w:rFonts w:asciiTheme="majorHAnsi" w:hAnsiTheme="majorHAnsi"/>
        </w:rPr>
        <w:t>3-</w:t>
      </w:r>
      <w:r w:rsidRPr="000C26B2">
        <w:rPr>
          <w:rFonts w:asciiTheme="majorHAnsi" w:hAnsiTheme="majorHAnsi"/>
          <w:i/>
        </w:rPr>
        <w:t>PEX</w:t>
      </w:r>
      <w:r w:rsidRPr="0013327C">
        <w:rPr>
          <w:rFonts w:asciiTheme="majorHAnsi" w:hAnsiTheme="majorHAnsi"/>
        </w:rPr>
        <w:t>19 complexes formed in the cytosol</w:t>
      </w:r>
      <w:r w:rsidR="00FA5D94">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"10.1083/jcb.200806062", "abstract" : "Two distinct pathways have recently been proposed for the import of peroxisomal membrane proteins (PMPs): a Pex19p- and Pex3p-dependent class I pathway and a Pex19p- and Pex3p-independent class II pathway. We show here that Pex19p plays an essential role as the chaperone for full-length Pex3p in the cytosol. Pex19p forms a soluble complex with newly synthesized Pex3p in the cytosol and directly translocates it to peroxisomes. Knockdown of Pex19p inhibits peroxisomal targeting of newly synthesized full-length Pex3p and results in failure of the peroxisomal localization of Pex3p. Moreover, we demonstrate that Pex16p functions as the Pex3p-docking site and serves as the peroxisomal membrane receptor that is specific to the Pex3p-Pex19p complexes. Based on these novel findings, we suggest a model for the import of PMPs that provides new insights into the molecular mechanisms underlying the biogenesis of peroxisomes and its regulation involving Pex3p, Pex19p, and Pex16p.", "author" : [ { "dropping-particle" : "", "family" : "Matsuzaki", "given" : "Takashi", "non-dropping-particle" : "", "parse-names" : false, "suffix" : "" }, { "dropping-particle" : "", "family" : "Fujiki", "given" : "Yukio", "non-dropping-particle" : "", "parse-names" : false, "suffix" : "" } ], "container-title" : "The Journal of cell biology", "id" : "ITEM-1", "issue" : "7", "issued" : { "date-parts" : [ [ "2008", "12", "29" ] ] }, "page" : "1275-86", "title" : "The peroxisomal membrane protein import receptor Pex3p is directly transported to peroxisomes by a novel Pex19p- and Pex16p-dependent pathway.", "type" : "article-journal", "volume" : "183" }, "uris" : [ "http://www.mendeley.com/documents/?uuid=9d167b96-cb6c-43f5-85ab-875105520c2a" ] } ], "mendeley" : { "previouslyFormattedCitation" : "(Matsuzaki &amp; Fujiki 2008)"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(Matsuzaki &amp; Fujiki 2008)</w:t>
      </w:r>
      <w:r w:rsidR="009A1FEC" w:rsidRPr="0013327C">
        <w:rPr>
          <w:rFonts w:asciiTheme="majorHAnsi" w:hAnsiTheme="majorHAnsi"/>
        </w:rPr>
        <w:fldChar w:fldCharType="end"/>
      </w:r>
      <w:r w:rsidRPr="0013327C">
        <w:rPr>
          <w:rFonts w:asciiTheme="majorHAnsi" w:hAnsiTheme="majorHAnsi"/>
        </w:rPr>
        <w:t xml:space="preserve"> and subsequently facilitate peroxisome membrane and PMP localisation to mature peroxisomes</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"10.1016/j.cub.2004.05.017", "abstract" : "Pex3p and Pex19p are key players in the post-translational import of peroxisomal membrane proteins. New data suggest that these peroxins act in tandem, Pex19p as a cytosolic chaperone and import receptor for peroxisomal membrane proteins, and Pex3p as docking factor at the peroxisomal membrane.", "author" : [ { "dropping-particle" : "", "family" : "Schliebs", "given" : "Wolfgang", "non-dropping-particle" : "", "parse-names" : false, "suffix" : "" }, { "dropping-particle" : "", "family" : "Kunau", "given" : "Wolf-H", "non-dropping-particle" : "", "parse-names" : false, "suffix" : "" } ], "container-title" : "Current biology : CB", "id" : "ITEM-1", "issue" : "10", "issued" : { "date-parts" : [ [ "2004", "5", "25" ] ] }, "page" : "R397-9", "title" : "Peroxisome membrane biogenesis: the stage is set.", "type" : "article-journal", "volume" : "14" }, "uris" : [ "http://www.mendeley.com/documents/?uuid=d3e93a96-37af-46be-97cd-28a7c37aef45" ] } ], "mendeley" : { "previouslyFormattedCitation" : "(Schliebs &amp; Kunau 2004)"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(Schliebs &amp; Kunau 2004)</w:t>
      </w:r>
      <w:r w:rsidR="009A1FEC" w:rsidRPr="0013327C">
        <w:rPr>
          <w:rFonts w:asciiTheme="majorHAnsi" w:hAnsiTheme="majorHAnsi"/>
        </w:rPr>
        <w:fldChar w:fldCharType="end"/>
      </w:r>
      <w:r w:rsidR="00C04304">
        <w:rPr>
          <w:rFonts w:asciiTheme="majorHAnsi" w:hAnsiTheme="majorHAnsi"/>
        </w:rPr>
        <w:t>.</w:t>
      </w:r>
    </w:p>
    <w:p w:rsidR="00FD54DA" w:rsidRDefault="00FD54DA" w:rsidP="00FD54DA">
      <w:pPr>
        <w:jc w:val="both"/>
        <w:rPr>
          <w:rFonts w:asciiTheme="majorHAnsi" w:hAnsiTheme="majorHAnsi"/>
        </w:rPr>
      </w:pPr>
      <w:r w:rsidRPr="0013327C">
        <w:rPr>
          <w:rFonts w:asciiTheme="majorHAnsi" w:hAnsiTheme="majorHAnsi"/>
        </w:rPr>
        <w:t xml:space="preserve">The genes </w:t>
      </w:r>
      <w:r w:rsidRPr="000C26B2">
        <w:rPr>
          <w:rFonts w:asciiTheme="majorHAnsi" w:hAnsiTheme="majorHAnsi"/>
          <w:i/>
        </w:rPr>
        <w:t>PEX</w:t>
      </w:r>
      <w:r w:rsidRPr="0013327C">
        <w:rPr>
          <w:rFonts w:asciiTheme="majorHAnsi" w:hAnsiTheme="majorHAnsi"/>
        </w:rPr>
        <w:t xml:space="preserve">3, </w:t>
      </w:r>
      <w:r w:rsidRPr="000C26B2">
        <w:rPr>
          <w:rFonts w:asciiTheme="majorHAnsi" w:hAnsiTheme="majorHAnsi"/>
          <w:i/>
        </w:rPr>
        <w:t>PEX</w:t>
      </w:r>
      <w:r w:rsidRPr="0013327C">
        <w:rPr>
          <w:rFonts w:asciiTheme="majorHAnsi" w:hAnsiTheme="majorHAnsi"/>
        </w:rPr>
        <w:t xml:space="preserve">16 and </w:t>
      </w:r>
      <w:r w:rsidRPr="000C26B2">
        <w:rPr>
          <w:rFonts w:asciiTheme="majorHAnsi" w:hAnsiTheme="majorHAnsi"/>
          <w:i/>
        </w:rPr>
        <w:t>PEX</w:t>
      </w:r>
      <w:r w:rsidRPr="0013327C">
        <w:rPr>
          <w:rFonts w:asciiTheme="majorHAnsi" w:hAnsiTheme="majorHAnsi"/>
        </w:rPr>
        <w:t xml:space="preserve">19 have been found in </w:t>
      </w:r>
      <w:r w:rsidRPr="0013327C">
        <w:rPr>
          <w:rFonts w:asciiTheme="majorHAnsi" w:hAnsiTheme="majorHAnsi"/>
          <w:i/>
        </w:rPr>
        <w:t xml:space="preserve">D. melanogaster </w:t>
      </w:r>
      <w:r w:rsidRPr="0013327C">
        <w:rPr>
          <w:rFonts w:asciiTheme="majorHAnsi" w:hAnsiTheme="majorHAnsi"/>
        </w:rPr>
        <w:t xml:space="preserve">and their knock-outs have been found to produce distinct phenotypes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"10.1242/dmm.007419", "abstract" : "Human peroxisome biogenesis disorders are lethal genetic diseases in which abnormal peroxisome assembly compromises overall peroxisome and cellular function. Peroxisomes are ubiquitous membrane-bound organelles involved in several important biochemical processes, notably lipid metabolism and the use of reactive oxygen species for detoxification. Using cultured cells, we systematically characterized the peroxisome assembly phenotypes associated with dsRNA-mediated knockdown of 14 predicted Drosophila homologs of PEX genes (encoding peroxins; required for peroxisome assembly and linked to peroxisome biogenesis disorders), and confirmed that at least 13 of them are required for normal peroxisome assembly. We also demonstrate the relevance of Drosophila as a genetic model for the early developmental defects associated with the human peroxisome biogenesis disorders. Mutation of the PEX1 gene is the most common cause of peroxisome biogenesis disorders and is one of the causes of the most severe form of the disease, Zellweger syndrome. Inherited mutations in Drosophila Pex1 correlate with reproducible defects during early development. Notably, Pex1 mutant larvae exhibit abnormalities that are analogous to those exhibited by Zellweger syndrome patients, including developmental delay, poor feeding, severe structural abnormalities in the peripheral and central nervous systems, and early death. Finally, microarray analysis defined several clusters of genes whose expression varied significantly between wild-type and mutant larvae, implicating peroxisomal function in neuronal development, innate immunity, lipid and protein metabolism, gamete formation, and meiosis.", "author" : [ { "dropping-particle" : "", "family" : "Mast", "given" : "Fred D", "non-dropping-particle" : "", "parse-names" : false, "suffix" : "" }, { "dropping-particle" : "", "family" : "Li", "given" : "Jing", "non-dropping-particle" : "", "parse-names" : false, "suffix" : "" }, { "dropping-particle" : "", "family" : "Virk", "given" : "Maninder K", "non-dropping-particle" : "", "parse-names" : false, "suffix" : "" }, { "dropping-particle" : "", "family" : "Hughes", "given" : "Sarah C", "non-dropping-particle" : "", "parse-names" : false, "suffix" : "" }, { "dropping-particle" : "", "family" : "Simmonds", "given" : "Andrew J", "non-dropping-particle" : "", "parse-names" : false, "suffix" : "" }, { "dropping-particle" : "", "family" : "Rachubinski", "given" : "Richard a", "non-dropping-particle" : "", "parse-names" : false, "suffix" : "" } ], "container-title" : "Disease models &amp; mechanisms", "id" : "ITEM-1", "issue" : "5", "issued" : { "date-parts" : [ [ "2011" ] ] }, "page" : "659-72", "title" : "A Drosophila model for the Zellweger spectrum of peroxisome biogenesis disorders.", "type" : "article-journal", "volume" : "4" }, "uris" : [ "http://www.mendeley.com/documents/?uuid=c63bc7d3-659e-4c6f-8bf7-053794159ba2" ] } ], "mendeley" : { "previouslyFormattedCitation" : "(Mast et al. 2011)"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(Mast </w:t>
      </w:r>
      <w:r w:rsidR="00466108" w:rsidRPr="00466108">
        <w:rPr>
          <w:rFonts w:asciiTheme="majorHAnsi" w:hAnsiTheme="majorHAnsi"/>
          <w:i/>
          <w:noProof/>
        </w:rPr>
        <w:t>et al</w:t>
      </w:r>
      <w:r w:rsidRPr="0013327C">
        <w:rPr>
          <w:rFonts w:asciiTheme="majorHAnsi" w:hAnsiTheme="majorHAnsi"/>
          <w:noProof/>
        </w:rPr>
        <w:t>. 2011)</w:t>
      </w:r>
      <w:r w:rsidR="009A1FEC" w:rsidRPr="0013327C">
        <w:rPr>
          <w:rFonts w:asciiTheme="majorHAnsi" w:hAnsiTheme="majorHAnsi"/>
        </w:rPr>
        <w:fldChar w:fldCharType="end"/>
      </w:r>
      <w:r w:rsidRPr="0013327C">
        <w:rPr>
          <w:rFonts w:asciiTheme="majorHAnsi" w:hAnsiTheme="majorHAnsi"/>
        </w:rPr>
        <w:t xml:space="preserve">. </w:t>
      </w:r>
      <w:r w:rsidR="005A41A2">
        <w:rPr>
          <w:rFonts w:asciiTheme="majorHAnsi" w:hAnsiTheme="majorHAnsi"/>
        </w:rPr>
        <w:t xml:space="preserve">A proposed model for the conserved functions of </w:t>
      </w:r>
      <w:r w:rsidR="00D93535" w:rsidRPr="00D93535">
        <w:rPr>
          <w:rFonts w:asciiTheme="majorHAnsi" w:hAnsiTheme="majorHAnsi"/>
          <w:i/>
        </w:rPr>
        <w:t>PEX</w:t>
      </w:r>
      <w:r w:rsidR="005A41A2">
        <w:rPr>
          <w:rFonts w:asciiTheme="majorHAnsi" w:hAnsiTheme="majorHAnsi"/>
        </w:rPr>
        <w:t xml:space="preserve">3, </w:t>
      </w:r>
      <w:r w:rsidR="00D93535" w:rsidRPr="00D93535">
        <w:rPr>
          <w:rFonts w:asciiTheme="majorHAnsi" w:hAnsiTheme="majorHAnsi"/>
          <w:i/>
        </w:rPr>
        <w:t>PEX</w:t>
      </w:r>
      <w:r w:rsidR="005A41A2">
        <w:rPr>
          <w:rFonts w:asciiTheme="majorHAnsi" w:hAnsiTheme="majorHAnsi"/>
        </w:rPr>
        <w:t xml:space="preserve">16 and </w:t>
      </w:r>
      <w:r w:rsidR="00D93535" w:rsidRPr="00D93535">
        <w:rPr>
          <w:rFonts w:asciiTheme="majorHAnsi" w:hAnsiTheme="majorHAnsi"/>
          <w:i/>
        </w:rPr>
        <w:t>PEX</w:t>
      </w:r>
      <w:r w:rsidR="005A41A2">
        <w:rPr>
          <w:rFonts w:asciiTheme="majorHAnsi" w:hAnsiTheme="majorHAnsi"/>
        </w:rPr>
        <w:t>19 is given in Figure 1.2.</w:t>
      </w:r>
    </w:p>
    <w:p w:rsidR="00C04304" w:rsidRDefault="00C04304" w:rsidP="00FD54DA">
      <w:pPr>
        <w:jc w:val="both"/>
        <w:rPr>
          <w:rFonts w:asciiTheme="majorHAnsi" w:hAnsiTheme="majorHAnsi"/>
        </w:rPr>
      </w:pPr>
    </w:p>
    <w:p w:rsidR="00C04304" w:rsidRDefault="00C04304" w:rsidP="00FD54DA">
      <w:pPr>
        <w:jc w:val="both"/>
        <w:rPr>
          <w:rFonts w:asciiTheme="majorHAnsi" w:hAnsiTheme="majorHAnsi"/>
        </w:rPr>
      </w:pPr>
    </w:p>
    <w:p w:rsidR="00C04304" w:rsidRPr="0013327C" w:rsidRDefault="00C04304" w:rsidP="00FD54DA">
      <w:pPr>
        <w:jc w:val="both"/>
        <w:rPr>
          <w:rFonts w:asciiTheme="majorHAnsi" w:hAnsiTheme="majorHAnsi"/>
        </w:rPr>
      </w:pPr>
    </w:p>
    <w:p w:rsidR="00C04304" w:rsidRPr="00456642" w:rsidRDefault="00C04304" w:rsidP="00C04304">
      <w:pPr>
        <w:jc w:val="both"/>
        <w:rPr>
          <w:rFonts w:asciiTheme="majorHAnsi" w:hAnsiTheme="majorHAnsi"/>
        </w:rPr>
      </w:pPr>
      <w:r w:rsidRPr="00526878">
        <w:rPr>
          <w:rFonts w:asciiTheme="majorHAnsi" w:hAnsiTheme="majorHAnsi"/>
          <w:b/>
          <w:noProof/>
          <w:lang w:eastAsia="en-GB"/>
        </w:rPr>
        <w:lastRenderedPageBreak/>
        <w:drawing>
          <wp:inline distT="0" distB="0" distL="0" distR="0">
            <wp:extent cx="5169535" cy="3576147"/>
            <wp:effectExtent l="0" t="0" r="0" b="0"/>
            <wp:docPr id="234"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39944" cy="5976664"/>
                      <a:chOff x="252536" y="188640"/>
                      <a:chExt cx="8639944" cy="5976664"/>
                    </a:xfrm>
                  </a:grpSpPr>
                  <a:grpSp>
                    <a:nvGrpSpPr>
                      <a:cNvPr id="114" name="Group 113"/>
                      <a:cNvGrpSpPr/>
                    </a:nvGrpSpPr>
                    <a:grpSpPr>
                      <a:xfrm>
                        <a:off x="252536" y="188640"/>
                        <a:ext cx="8639944" cy="5976664"/>
                        <a:chOff x="252536" y="188640"/>
                        <a:chExt cx="8639944" cy="5976664"/>
                      </a:xfrm>
                    </a:grpSpPr>
                    <a:sp>
                      <a:nvSpPr>
                        <a:cNvPr id="42" name="Oval 41"/>
                        <a:cNvSpPr/>
                      </a:nvSpPr>
                      <a:spPr>
                        <a:xfrm>
                          <a:off x="323528" y="5661248"/>
                          <a:ext cx="648072" cy="504056"/>
                        </a:xfrm>
                        <a:prstGeom prst="ellipse">
                          <a:avLst/>
                        </a:prstGeom>
                        <a:solidFill>
                          <a:srgbClr val="FFFF00"/>
                        </a:solidFill>
                        <a:ln>
                          <a:solidFill>
                            <a:srgbClr val="FFC0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5" name="Oval 64"/>
                        <a:cNvSpPr/>
                      </a:nvSpPr>
                      <a:spPr>
                        <a:xfrm>
                          <a:off x="899592" y="5733256"/>
                          <a:ext cx="360040" cy="360040"/>
                        </a:xfrm>
                        <a:prstGeom prst="ellipse">
                          <a:avLst/>
                        </a:prstGeom>
                        <a:solidFill>
                          <a:schemeClr val="accent6">
                            <a:lumMod val="40000"/>
                            <a:lumOff val="60000"/>
                          </a:schemeClr>
                        </a:solidFill>
                        <a:ln>
                          <a:solidFill>
                            <a:schemeClr val="accent6">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Oval 21"/>
                        <a:cNvSpPr/>
                      </a:nvSpPr>
                      <a:spPr>
                        <a:xfrm>
                          <a:off x="3815408" y="1268760"/>
                          <a:ext cx="576064" cy="504056"/>
                        </a:xfrm>
                        <a:prstGeom prst="ellipse">
                          <a:avLst/>
                        </a:prstGeom>
                        <a:solidFill>
                          <a:srgbClr val="FFFF00"/>
                        </a:solidFill>
                        <a:ln>
                          <a:solidFill>
                            <a:srgbClr val="FFC0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TextBox 22"/>
                        <a:cNvSpPr txBox="1"/>
                      </a:nvSpPr>
                      <a:spPr>
                        <a:xfrm>
                          <a:off x="3887416" y="1300698"/>
                          <a:ext cx="576064"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000" b="1" dirty="0" smtClean="0"/>
                              <a:t>19</a:t>
                            </a:r>
                            <a:endParaRPr lang="en-GB" b="1" dirty="0"/>
                          </a:p>
                        </a:txBody>
                        <a:useSpRect/>
                      </a:txSp>
                    </a:sp>
                    <a:grpSp>
                      <a:nvGrpSpPr>
                        <a:cNvPr id="7" name="Group 13"/>
                        <a:cNvGrpSpPr/>
                      </a:nvGrpSpPr>
                      <a:grpSpPr>
                        <a:xfrm>
                          <a:off x="648072" y="548680"/>
                          <a:ext cx="792088" cy="1008112"/>
                          <a:chOff x="827584" y="908720"/>
                          <a:chExt cx="792088" cy="1008112"/>
                        </a:xfrm>
                      </a:grpSpPr>
                      <a:sp>
                        <a:nvSpPr>
                          <a:cNvPr id="4" name="Oval 3"/>
                          <a:cNvSpPr/>
                        </a:nvSpPr>
                        <a:spPr>
                          <a:xfrm>
                            <a:off x="827584" y="908720"/>
                            <a:ext cx="792088" cy="792088"/>
                          </a:xfrm>
                          <a:prstGeom prst="ellipse">
                            <a:avLst/>
                          </a:prstGeom>
                          <a:noFill/>
                          <a:ln w="5715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Oval 4"/>
                          <a:cNvSpPr/>
                        </a:nvSpPr>
                        <a:spPr>
                          <a:xfrm>
                            <a:off x="1043608" y="1484784"/>
                            <a:ext cx="360040" cy="360040"/>
                          </a:xfrm>
                          <a:prstGeom prst="ellipse">
                            <a:avLst/>
                          </a:prstGeom>
                          <a:solidFill>
                            <a:schemeClr val="accent6">
                              <a:lumMod val="40000"/>
                              <a:lumOff val="60000"/>
                            </a:schemeClr>
                          </a:solidFill>
                          <a:ln>
                            <a:solidFill>
                              <a:schemeClr val="accent6">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TextBox 5"/>
                          <a:cNvSpPr txBox="1"/>
                        </a:nvSpPr>
                        <a:spPr>
                          <a:xfrm>
                            <a:off x="1043608" y="1455167"/>
                            <a:ext cx="360040"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400" b="1" dirty="0" smtClean="0"/>
                                <a:t>3</a:t>
                              </a:r>
                              <a:endParaRPr lang="en-GB" b="1" dirty="0"/>
                            </a:p>
                          </a:txBody>
                          <a:useSpRect/>
                        </a:txSp>
                      </a:sp>
                    </a:grpSp>
                    <a:grpSp>
                      <a:nvGrpSpPr>
                        <a:cNvPr id="8" name="Group 18"/>
                        <a:cNvGrpSpPr/>
                      </a:nvGrpSpPr>
                      <a:grpSpPr>
                        <a:xfrm>
                          <a:off x="504056" y="2564904"/>
                          <a:ext cx="1440160" cy="504056"/>
                          <a:chOff x="683568" y="2924944"/>
                          <a:chExt cx="1440160" cy="504056"/>
                        </a:xfrm>
                      </a:grpSpPr>
                      <a:sp>
                        <a:nvSpPr>
                          <a:cNvPr id="10" name="Oval 9"/>
                          <a:cNvSpPr/>
                        </a:nvSpPr>
                        <a:spPr>
                          <a:xfrm>
                            <a:off x="1115616" y="2924944"/>
                            <a:ext cx="1008112" cy="432048"/>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 name="Oval 7"/>
                          <a:cNvSpPr/>
                        </a:nvSpPr>
                        <a:spPr>
                          <a:xfrm>
                            <a:off x="683568" y="2924944"/>
                            <a:ext cx="576064" cy="504056"/>
                          </a:xfrm>
                          <a:prstGeom prst="ellipse">
                            <a:avLst/>
                          </a:prstGeom>
                          <a:solidFill>
                            <a:srgbClr val="FFFF00"/>
                          </a:solidFill>
                          <a:ln>
                            <a:solidFill>
                              <a:srgbClr val="FFC0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8"/>
                          <a:cNvSpPr txBox="1"/>
                        </a:nvSpPr>
                        <a:spPr>
                          <a:xfrm>
                            <a:off x="755576" y="2956882"/>
                            <a:ext cx="576064"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000" b="1" dirty="0" smtClean="0"/>
                                <a:t>19</a:t>
                              </a:r>
                              <a:endParaRPr lang="en-GB" b="1" dirty="0"/>
                            </a:p>
                          </a:txBody>
                          <a:useSpRect/>
                        </a:txSp>
                      </a:sp>
                      <a:sp>
                        <a:nvSpPr>
                          <a:cNvPr id="11" name="TextBox 10"/>
                          <a:cNvSpPr txBox="1"/>
                        </a:nvSpPr>
                        <a:spPr>
                          <a:xfrm>
                            <a:off x="1331640" y="2924944"/>
                            <a:ext cx="79208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b="1" dirty="0" smtClean="0"/>
                                <a:t>PMP</a:t>
                              </a:r>
                              <a:endParaRPr lang="en-GB" b="1" dirty="0"/>
                            </a:p>
                          </a:txBody>
                          <a:useSpRect/>
                        </a:txSp>
                      </a:sp>
                    </a:grpSp>
                    <a:cxnSp>
                      <a:nvCxnSpPr>
                        <a:cNvPr id="13" name="Straight Arrow Connector 12"/>
                        <a:cNvCxnSpPr/>
                      </a:nvCxnSpPr>
                      <a:spPr>
                        <a:xfrm flipV="1">
                          <a:off x="1080120" y="1484784"/>
                          <a:ext cx="0" cy="936104"/>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6" name="Oval 15"/>
                        <a:cNvSpPr/>
                      </a:nvSpPr>
                      <a:spPr>
                        <a:xfrm>
                          <a:off x="4031432" y="548680"/>
                          <a:ext cx="792088" cy="792088"/>
                        </a:xfrm>
                        <a:prstGeom prst="ellipse">
                          <a:avLst/>
                        </a:prstGeom>
                        <a:noFill/>
                        <a:ln w="5715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Oval 20"/>
                        <a:cNvSpPr/>
                      </a:nvSpPr>
                      <a:spPr>
                        <a:xfrm>
                          <a:off x="4247456" y="1052736"/>
                          <a:ext cx="1008112" cy="432048"/>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Oval 16"/>
                        <a:cNvSpPr/>
                      </a:nvSpPr>
                      <a:spPr>
                        <a:xfrm>
                          <a:off x="4103440" y="1052736"/>
                          <a:ext cx="360040" cy="360040"/>
                        </a:xfrm>
                        <a:prstGeom prst="ellipse">
                          <a:avLst/>
                        </a:prstGeom>
                        <a:solidFill>
                          <a:schemeClr val="accent6">
                            <a:lumMod val="40000"/>
                            <a:lumOff val="60000"/>
                          </a:schemeClr>
                        </a:solidFill>
                        <a:ln>
                          <a:solidFill>
                            <a:schemeClr val="accent6">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TextBox 23"/>
                        <a:cNvSpPr txBox="1"/>
                      </a:nvSpPr>
                      <a:spPr>
                        <a:xfrm>
                          <a:off x="4463480" y="1052736"/>
                          <a:ext cx="79208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b="1" dirty="0" smtClean="0"/>
                              <a:t>PMP</a:t>
                            </a:r>
                            <a:endParaRPr lang="en-GB" b="1" dirty="0"/>
                          </a:p>
                        </a:txBody>
                        <a:useSpRect/>
                      </a:txSp>
                    </a:sp>
                    <a:sp>
                      <a:nvSpPr>
                        <a:cNvPr id="18" name="TextBox 17"/>
                        <a:cNvSpPr txBox="1"/>
                      </a:nvSpPr>
                      <a:spPr>
                        <a:xfrm>
                          <a:off x="4103440" y="1023119"/>
                          <a:ext cx="360040"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400" b="1" dirty="0" smtClean="0"/>
                              <a:t>3</a:t>
                            </a:r>
                            <a:endParaRPr lang="en-GB" b="1" dirty="0"/>
                          </a:p>
                        </a:txBody>
                        <a:useSpRect/>
                      </a:txSp>
                    </a:sp>
                    <a:sp>
                      <a:nvSpPr>
                        <a:cNvPr id="25" name="Oval 24"/>
                        <a:cNvSpPr/>
                      </a:nvSpPr>
                      <a:spPr>
                        <a:xfrm>
                          <a:off x="7452320" y="2564904"/>
                          <a:ext cx="576064" cy="504056"/>
                        </a:xfrm>
                        <a:prstGeom prst="ellipse">
                          <a:avLst/>
                        </a:prstGeom>
                        <a:solidFill>
                          <a:srgbClr val="FFFF00"/>
                        </a:solidFill>
                        <a:ln>
                          <a:solidFill>
                            <a:srgbClr val="FFC0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TextBox 25"/>
                        <a:cNvSpPr txBox="1"/>
                      </a:nvSpPr>
                      <a:spPr>
                        <a:xfrm>
                          <a:off x="7524328" y="2596842"/>
                          <a:ext cx="576064"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000" b="1" dirty="0" smtClean="0"/>
                              <a:t>19</a:t>
                            </a:r>
                            <a:endParaRPr lang="en-GB" b="1" dirty="0"/>
                          </a:p>
                        </a:txBody>
                        <a:useSpRect/>
                      </a:txSp>
                    </a:sp>
                    <a:sp>
                      <a:nvSpPr>
                        <a:cNvPr id="27" name="Oval 26"/>
                        <a:cNvSpPr/>
                      </a:nvSpPr>
                      <a:spPr>
                        <a:xfrm>
                          <a:off x="7668344" y="548680"/>
                          <a:ext cx="792088" cy="792088"/>
                        </a:xfrm>
                        <a:prstGeom prst="ellipse">
                          <a:avLst/>
                        </a:prstGeom>
                        <a:noFill/>
                        <a:ln w="5715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Oval 27"/>
                        <a:cNvSpPr/>
                      </a:nvSpPr>
                      <a:spPr>
                        <a:xfrm>
                          <a:off x="7884368" y="1052736"/>
                          <a:ext cx="1008112" cy="432048"/>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9" name="Oval 28"/>
                        <a:cNvSpPr/>
                      </a:nvSpPr>
                      <a:spPr>
                        <a:xfrm>
                          <a:off x="7524328" y="836712"/>
                          <a:ext cx="360040" cy="360040"/>
                        </a:xfrm>
                        <a:prstGeom prst="ellipse">
                          <a:avLst/>
                        </a:prstGeom>
                        <a:solidFill>
                          <a:schemeClr val="accent6">
                            <a:lumMod val="40000"/>
                            <a:lumOff val="60000"/>
                          </a:schemeClr>
                        </a:solidFill>
                        <a:ln>
                          <a:solidFill>
                            <a:schemeClr val="accent6">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0" name="TextBox 29"/>
                        <a:cNvSpPr txBox="1"/>
                      </a:nvSpPr>
                      <a:spPr>
                        <a:xfrm>
                          <a:off x="8100392" y="1052736"/>
                          <a:ext cx="79208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b="1" dirty="0" smtClean="0"/>
                              <a:t>PMP</a:t>
                            </a:r>
                            <a:endParaRPr lang="en-GB" b="1" dirty="0"/>
                          </a:p>
                        </a:txBody>
                        <a:useSpRect/>
                      </a:txSp>
                    </a:sp>
                    <a:sp>
                      <a:nvSpPr>
                        <a:cNvPr id="31" name="TextBox 30"/>
                        <a:cNvSpPr txBox="1"/>
                      </a:nvSpPr>
                      <a:spPr>
                        <a:xfrm>
                          <a:off x="7524328" y="764704"/>
                          <a:ext cx="360040"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400" b="1" dirty="0" smtClean="0"/>
                              <a:t>3</a:t>
                            </a:r>
                            <a:endParaRPr lang="en-GB" b="1" dirty="0"/>
                          </a:p>
                        </a:txBody>
                        <a:useSpRect/>
                      </a:txSp>
                    </a:sp>
                    <a:cxnSp>
                      <a:nvCxnSpPr>
                        <a:cNvPr id="32" name="Straight Arrow Connector 31"/>
                        <a:cNvCxnSpPr/>
                      </a:nvCxnSpPr>
                      <a:spPr>
                        <a:xfrm>
                          <a:off x="7740352" y="1484784"/>
                          <a:ext cx="0" cy="936104"/>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7" name="Oval 36"/>
                        <a:cNvSpPr/>
                      </a:nvSpPr>
                      <a:spPr>
                        <a:xfrm>
                          <a:off x="648072" y="3645024"/>
                          <a:ext cx="792088" cy="792088"/>
                        </a:xfrm>
                        <a:prstGeom prst="ellipse">
                          <a:avLst/>
                        </a:prstGeom>
                        <a:noFill/>
                        <a:ln w="5715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TextBox 42"/>
                        <a:cNvSpPr txBox="1"/>
                      </a:nvSpPr>
                      <a:spPr>
                        <a:xfrm>
                          <a:off x="395536" y="5693186"/>
                          <a:ext cx="504056"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2000" b="1" dirty="0" smtClean="0"/>
                              <a:t>19</a:t>
                            </a:r>
                            <a:endParaRPr lang="en-GB" b="1" dirty="0"/>
                          </a:p>
                        </a:txBody>
                        <a:useSpRect/>
                      </a:txSp>
                    </a:sp>
                    <a:cxnSp>
                      <a:nvCxnSpPr>
                        <a:cNvPr id="45" name="Straight Arrow Connector 44"/>
                        <a:cNvCxnSpPr/>
                      </a:nvCxnSpPr>
                      <a:spPr>
                        <a:xfrm flipV="1">
                          <a:off x="1043608" y="4797152"/>
                          <a:ext cx="0" cy="720080"/>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7" name="Oval 46"/>
                        <a:cNvSpPr/>
                      </a:nvSpPr>
                      <a:spPr>
                        <a:xfrm>
                          <a:off x="4103440" y="3645024"/>
                          <a:ext cx="792088" cy="792088"/>
                        </a:xfrm>
                        <a:prstGeom prst="ellipse">
                          <a:avLst/>
                        </a:prstGeom>
                        <a:noFill/>
                        <a:ln w="5715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9" name="TextBox 48"/>
                        <a:cNvSpPr txBox="1"/>
                      </a:nvSpPr>
                      <a:spPr>
                        <a:xfrm>
                          <a:off x="899592" y="5661248"/>
                          <a:ext cx="360040"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400" b="1" dirty="0" smtClean="0"/>
                              <a:t>3</a:t>
                            </a:r>
                            <a:endParaRPr lang="en-GB" b="1" dirty="0"/>
                          </a:p>
                        </a:txBody>
                        <a:useSpRect/>
                      </a:txSp>
                    </a:sp>
                    <a:grpSp>
                      <a:nvGrpSpPr>
                        <a:cNvPr id="33" name="Group 49"/>
                        <a:cNvGrpSpPr/>
                      </a:nvGrpSpPr>
                      <a:grpSpPr>
                        <a:xfrm>
                          <a:off x="3959424" y="5661248"/>
                          <a:ext cx="1440160" cy="504056"/>
                          <a:chOff x="683568" y="2924944"/>
                          <a:chExt cx="1440160" cy="504056"/>
                        </a:xfrm>
                      </a:grpSpPr>
                      <a:sp>
                        <a:nvSpPr>
                          <a:cNvPr id="51" name="Oval 50"/>
                          <a:cNvSpPr/>
                        </a:nvSpPr>
                        <a:spPr>
                          <a:xfrm>
                            <a:off x="1115616" y="2924944"/>
                            <a:ext cx="1008112" cy="432048"/>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2" name="Oval 51"/>
                          <a:cNvSpPr/>
                        </a:nvSpPr>
                        <a:spPr>
                          <a:xfrm>
                            <a:off x="683568" y="2924944"/>
                            <a:ext cx="576064" cy="504056"/>
                          </a:xfrm>
                          <a:prstGeom prst="ellipse">
                            <a:avLst/>
                          </a:prstGeom>
                          <a:solidFill>
                            <a:srgbClr val="FFFF00"/>
                          </a:solidFill>
                          <a:ln>
                            <a:solidFill>
                              <a:srgbClr val="FFC0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3" name="TextBox 52"/>
                          <a:cNvSpPr txBox="1"/>
                        </a:nvSpPr>
                        <a:spPr>
                          <a:xfrm>
                            <a:off x="755576" y="2956882"/>
                            <a:ext cx="576064"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000" b="1" dirty="0" smtClean="0"/>
                                <a:t>19</a:t>
                              </a:r>
                              <a:endParaRPr lang="en-GB" b="1" dirty="0"/>
                            </a:p>
                          </a:txBody>
                          <a:useSpRect/>
                        </a:txSp>
                      </a:sp>
                      <a:sp>
                        <a:nvSpPr>
                          <a:cNvPr id="54" name="TextBox 53"/>
                          <a:cNvSpPr txBox="1"/>
                        </a:nvSpPr>
                        <a:spPr>
                          <a:xfrm>
                            <a:off x="1331640" y="2924944"/>
                            <a:ext cx="79208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b="1" dirty="0" smtClean="0"/>
                                <a:t>PMP</a:t>
                              </a:r>
                              <a:endParaRPr lang="en-GB" b="1" dirty="0"/>
                            </a:p>
                          </a:txBody>
                          <a:useSpRect/>
                        </a:txSp>
                      </a:sp>
                    </a:grpSp>
                    <a:cxnSp>
                      <a:nvCxnSpPr>
                        <a:cNvPr id="55" name="Straight Arrow Connector 54"/>
                        <a:cNvCxnSpPr/>
                      </a:nvCxnSpPr>
                      <a:spPr>
                        <a:xfrm flipV="1">
                          <a:off x="4427984" y="4581128"/>
                          <a:ext cx="0" cy="936104"/>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59" name="Diamond 58"/>
                        <a:cNvSpPr/>
                      </a:nvSpPr>
                      <a:spPr>
                        <a:xfrm>
                          <a:off x="792088" y="4149080"/>
                          <a:ext cx="504056" cy="576064"/>
                        </a:xfrm>
                        <a:prstGeom prst="diamond">
                          <a:avLst/>
                        </a:prstGeom>
                        <a:solidFill>
                          <a:srgbClr val="00B050"/>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 name="TextBox 59"/>
                        <a:cNvSpPr txBox="1"/>
                      </a:nvSpPr>
                      <a:spPr>
                        <a:xfrm>
                          <a:off x="864096" y="4221088"/>
                          <a:ext cx="43204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b="1" dirty="0" smtClean="0"/>
                              <a:t>16</a:t>
                            </a:r>
                            <a:endParaRPr lang="en-GB" b="1" dirty="0"/>
                          </a:p>
                        </a:txBody>
                        <a:useSpRect/>
                      </a:txSp>
                    </a:sp>
                    <a:sp>
                      <a:nvSpPr>
                        <a:cNvPr id="64" name="Diamond 63"/>
                        <a:cNvSpPr/>
                      </a:nvSpPr>
                      <a:spPr>
                        <a:xfrm>
                          <a:off x="3887416" y="4077072"/>
                          <a:ext cx="504056" cy="576064"/>
                        </a:xfrm>
                        <a:prstGeom prst="diamond">
                          <a:avLst/>
                        </a:prstGeom>
                        <a:solidFill>
                          <a:srgbClr val="00B050"/>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6" name="TextBox 65"/>
                        <a:cNvSpPr txBox="1"/>
                      </a:nvSpPr>
                      <a:spPr>
                        <a:xfrm>
                          <a:off x="3959424" y="4149080"/>
                          <a:ext cx="43204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b="1" dirty="0" smtClean="0"/>
                              <a:t>16</a:t>
                            </a:r>
                            <a:endParaRPr lang="en-GB" b="1" dirty="0"/>
                          </a:p>
                        </a:txBody>
                        <a:useSpRect/>
                      </a:txSp>
                    </a:sp>
                    <a:grpSp>
                      <a:nvGrpSpPr>
                        <a:cNvPr id="34" name="Group 66"/>
                        <a:cNvGrpSpPr/>
                      </a:nvGrpSpPr>
                      <a:grpSpPr>
                        <a:xfrm>
                          <a:off x="4319464" y="4149080"/>
                          <a:ext cx="360040" cy="461665"/>
                          <a:chOff x="3779912" y="4077072"/>
                          <a:chExt cx="360040" cy="461665"/>
                        </a:xfrm>
                      </a:grpSpPr>
                      <a:sp>
                        <a:nvSpPr>
                          <a:cNvPr id="48" name="Oval 47"/>
                          <a:cNvSpPr/>
                        </a:nvSpPr>
                        <a:spPr>
                          <a:xfrm>
                            <a:off x="3779912" y="4149080"/>
                            <a:ext cx="360040" cy="360040"/>
                          </a:xfrm>
                          <a:prstGeom prst="ellipse">
                            <a:avLst/>
                          </a:prstGeom>
                          <a:solidFill>
                            <a:schemeClr val="accent6">
                              <a:lumMod val="40000"/>
                              <a:lumOff val="60000"/>
                            </a:schemeClr>
                          </a:solidFill>
                          <a:ln>
                            <a:solidFill>
                              <a:schemeClr val="accent6">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3" name="TextBox 62"/>
                          <a:cNvSpPr txBox="1"/>
                        </a:nvSpPr>
                        <a:spPr>
                          <a:xfrm>
                            <a:off x="3779912" y="4077072"/>
                            <a:ext cx="360040"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400" b="1" dirty="0" smtClean="0"/>
                                <a:t>3</a:t>
                              </a:r>
                              <a:endParaRPr lang="en-GB" b="1" dirty="0"/>
                            </a:p>
                          </a:txBody>
                          <a:useSpRect/>
                        </a:txSp>
                      </a:sp>
                    </a:grpSp>
                    <a:sp>
                      <a:nvSpPr>
                        <a:cNvPr id="68" name="Oval 67"/>
                        <a:cNvSpPr/>
                      </a:nvSpPr>
                      <a:spPr>
                        <a:xfrm>
                          <a:off x="7740352" y="3645024"/>
                          <a:ext cx="792088" cy="792088"/>
                        </a:xfrm>
                        <a:prstGeom prst="ellipse">
                          <a:avLst/>
                        </a:prstGeom>
                        <a:noFill/>
                        <a:ln w="5715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36" name="Group 78"/>
                        <a:cNvGrpSpPr/>
                      </a:nvGrpSpPr>
                      <a:grpSpPr>
                        <a:xfrm>
                          <a:off x="7452320" y="3789040"/>
                          <a:ext cx="504056" cy="576064"/>
                          <a:chOff x="4211960" y="3861048"/>
                          <a:chExt cx="504056" cy="576064"/>
                        </a:xfrm>
                      </a:grpSpPr>
                      <a:sp>
                        <a:nvSpPr>
                          <a:cNvPr id="69" name="Diamond 68"/>
                          <a:cNvSpPr/>
                        </a:nvSpPr>
                        <a:spPr>
                          <a:xfrm>
                            <a:off x="4211960" y="3861048"/>
                            <a:ext cx="504056" cy="576064"/>
                          </a:xfrm>
                          <a:prstGeom prst="diamond">
                            <a:avLst/>
                          </a:prstGeom>
                          <a:solidFill>
                            <a:srgbClr val="00B050"/>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0" name="TextBox 69"/>
                          <a:cNvSpPr txBox="1"/>
                        </a:nvSpPr>
                        <a:spPr>
                          <a:xfrm>
                            <a:off x="4283968" y="3933056"/>
                            <a:ext cx="43204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b="1" dirty="0" smtClean="0"/>
                                <a:t>16</a:t>
                              </a:r>
                              <a:endParaRPr lang="en-GB" b="1" dirty="0"/>
                            </a:p>
                          </a:txBody>
                          <a:useSpRect/>
                        </a:txSp>
                      </a:sp>
                    </a:grpSp>
                    <a:grpSp>
                      <a:nvGrpSpPr>
                        <a:cNvPr id="38" name="Group 79"/>
                        <a:cNvGrpSpPr/>
                      </a:nvGrpSpPr>
                      <a:grpSpPr>
                        <a:xfrm>
                          <a:off x="7812360" y="4221088"/>
                          <a:ext cx="1008112" cy="432048"/>
                          <a:chOff x="4644008" y="4293096"/>
                          <a:chExt cx="1008112" cy="432048"/>
                        </a:xfrm>
                      </a:grpSpPr>
                      <a:sp>
                        <a:nvSpPr>
                          <a:cNvPr id="75" name="Oval 74"/>
                          <a:cNvSpPr/>
                        </a:nvSpPr>
                        <a:spPr>
                          <a:xfrm>
                            <a:off x="4644008" y="4293096"/>
                            <a:ext cx="1008112" cy="432048"/>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8" name="TextBox 77"/>
                          <a:cNvSpPr txBox="1"/>
                        </a:nvSpPr>
                        <a:spPr>
                          <a:xfrm>
                            <a:off x="4860032" y="4293096"/>
                            <a:ext cx="79208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b="1" dirty="0" smtClean="0"/>
                                <a:t>PMP</a:t>
                              </a:r>
                              <a:endParaRPr lang="en-GB" b="1" dirty="0"/>
                            </a:p>
                          </a:txBody>
                          <a:useSpRect/>
                        </a:txSp>
                      </a:sp>
                    </a:grpSp>
                    <a:sp>
                      <a:nvSpPr>
                        <a:cNvPr id="76" name="Oval 75"/>
                        <a:cNvSpPr/>
                      </a:nvSpPr>
                      <a:spPr>
                        <a:xfrm>
                          <a:off x="7884368" y="5085184"/>
                          <a:ext cx="576064" cy="504056"/>
                        </a:xfrm>
                        <a:prstGeom prst="ellipse">
                          <a:avLst/>
                        </a:prstGeom>
                        <a:solidFill>
                          <a:srgbClr val="FFFF00"/>
                        </a:solidFill>
                        <a:ln>
                          <a:solidFill>
                            <a:srgbClr val="FFC0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7" name="TextBox 76"/>
                        <a:cNvSpPr txBox="1"/>
                      </a:nvSpPr>
                      <a:spPr>
                        <a:xfrm>
                          <a:off x="7956376" y="5117122"/>
                          <a:ext cx="576064"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000" b="1" dirty="0" smtClean="0"/>
                              <a:t>19</a:t>
                            </a:r>
                            <a:endParaRPr lang="en-GB" b="1" dirty="0"/>
                          </a:p>
                        </a:txBody>
                        <a:useSpRect/>
                      </a:txSp>
                    </a:sp>
                    <a:grpSp>
                      <a:nvGrpSpPr>
                        <a:cNvPr id="40" name="Group 70"/>
                        <a:cNvGrpSpPr/>
                      </a:nvGrpSpPr>
                      <a:grpSpPr>
                        <a:xfrm>
                          <a:off x="7596336" y="4077072"/>
                          <a:ext cx="360040" cy="461665"/>
                          <a:chOff x="3779912" y="4077072"/>
                          <a:chExt cx="360040" cy="461665"/>
                        </a:xfrm>
                      </a:grpSpPr>
                      <a:sp>
                        <a:nvSpPr>
                          <a:cNvPr id="72" name="Oval 71"/>
                          <a:cNvSpPr/>
                        </a:nvSpPr>
                        <a:spPr>
                          <a:xfrm>
                            <a:off x="3779912" y="4149080"/>
                            <a:ext cx="360040" cy="360040"/>
                          </a:xfrm>
                          <a:prstGeom prst="ellipse">
                            <a:avLst/>
                          </a:prstGeom>
                          <a:solidFill>
                            <a:schemeClr val="accent6">
                              <a:lumMod val="40000"/>
                              <a:lumOff val="60000"/>
                            </a:schemeClr>
                          </a:solidFill>
                          <a:ln>
                            <a:solidFill>
                              <a:schemeClr val="accent6">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 name="TextBox 72"/>
                          <a:cNvSpPr txBox="1"/>
                        </a:nvSpPr>
                        <a:spPr>
                          <a:xfrm>
                            <a:off x="3779912" y="4077072"/>
                            <a:ext cx="360040"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400" b="1" dirty="0" smtClean="0"/>
                                <a:t>3</a:t>
                              </a:r>
                              <a:endParaRPr lang="en-GB" b="1" dirty="0"/>
                            </a:p>
                          </a:txBody>
                          <a:useSpRect/>
                        </a:txSp>
                      </a:sp>
                    </a:grpSp>
                    <a:sp>
                      <a:nvSpPr>
                        <a:cNvPr id="81" name="TextBox 80"/>
                        <a:cNvSpPr txBox="1"/>
                      </a:nvSpPr>
                      <a:spPr>
                        <a:xfrm>
                          <a:off x="252536" y="216024"/>
                          <a:ext cx="539552"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600" b="1" dirty="0" smtClean="0"/>
                              <a:t>A</a:t>
                            </a:r>
                            <a:endParaRPr lang="en-GB" b="1" dirty="0"/>
                          </a:p>
                        </a:txBody>
                        <a:useSpRect/>
                      </a:txSp>
                    </a:sp>
                    <a:sp>
                      <a:nvSpPr>
                        <a:cNvPr id="82" name="TextBox 81"/>
                        <a:cNvSpPr txBox="1"/>
                      </a:nvSpPr>
                      <a:spPr>
                        <a:xfrm>
                          <a:off x="3491880" y="188640"/>
                          <a:ext cx="539552"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600" b="1" dirty="0" smtClean="0"/>
                              <a:t>B</a:t>
                            </a:r>
                            <a:endParaRPr lang="en-GB" b="1" dirty="0"/>
                          </a:p>
                        </a:txBody>
                        <a:useSpRect/>
                      </a:txSp>
                    </a:sp>
                    <a:sp>
                      <a:nvSpPr>
                        <a:cNvPr id="83" name="TextBox 82"/>
                        <a:cNvSpPr txBox="1"/>
                      </a:nvSpPr>
                      <a:spPr>
                        <a:xfrm>
                          <a:off x="7200800" y="188640"/>
                          <a:ext cx="539552"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600" b="1" dirty="0" smtClean="0"/>
                              <a:t>C</a:t>
                            </a:r>
                            <a:endParaRPr lang="en-GB" b="1" dirty="0"/>
                          </a:p>
                        </a:txBody>
                        <a:useSpRect/>
                      </a:txSp>
                    </a:sp>
                    <a:sp>
                      <a:nvSpPr>
                        <a:cNvPr id="84" name="TextBox 83"/>
                        <a:cNvSpPr txBox="1"/>
                      </a:nvSpPr>
                      <a:spPr>
                        <a:xfrm>
                          <a:off x="252536" y="3212976"/>
                          <a:ext cx="539552"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600" b="1" dirty="0" smtClean="0"/>
                              <a:t>D</a:t>
                            </a:r>
                            <a:endParaRPr lang="en-GB" b="1" dirty="0"/>
                          </a:p>
                        </a:txBody>
                        <a:useSpRect/>
                      </a:txSp>
                    </a:sp>
                    <a:sp>
                      <a:nvSpPr>
                        <a:cNvPr id="85" name="TextBox 84"/>
                        <a:cNvSpPr txBox="1"/>
                      </a:nvSpPr>
                      <a:spPr>
                        <a:xfrm>
                          <a:off x="3671392" y="3212976"/>
                          <a:ext cx="539552"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600" b="1" dirty="0" smtClean="0"/>
                              <a:t>E</a:t>
                            </a:r>
                            <a:endParaRPr lang="en-GB" b="1" dirty="0"/>
                          </a:p>
                        </a:txBody>
                        <a:useSpRect/>
                      </a:txSp>
                    </a:sp>
                    <a:sp>
                      <a:nvSpPr>
                        <a:cNvPr id="86" name="TextBox 85"/>
                        <a:cNvSpPr txBox="1"/>
                      </a:nvSpPr>
                      <a:spPr>
                        <a:xfrm>
                          <a:off x="7200800" y="3212976"/>
                          <a:ext cx="539552"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600" b="1" dirty="0" smtClean="0"/>
                              <a:t>F</a:t>
                            </a:r>
                            <a:endParaRPr lang="en-GB" b="1" dirty="0"/>
                          </a:p>
                        </a:txBody>
                        <a:useSpRect/>
                      </a:txSp>
                    </a:sp>
                    <a:cxnSp>
                      <a:nvCxnSpPr>
                        <a:cNvPr id="110" name="Straight Connector 109"/>
                        <a:cNvCxnSpPr/>
                      </a:nvCxnSpPr>
                      <a:spPr>
                        <a:xfrm>
                          <a:off x="432048" y="3140968"/>
                          <a:ext cx="8316416" cy="0"/>
                        </a:xfrm>
                        <a:prstGeom prst="line">
                          <a:avLst/>
                        </a:prstGeom>
                        <a:ln w="19050">
                          <a:solidFill>
                            <a:schemeClr val="tx1"/>
                          </a:solidFill>
                          <a:prstDash val="sysDash"/>
                        </a:ln>
                      </a:spPr>
                      <a:style>
                        <a:lnRef idx="1">
                          <a:schemeClr val="accent1"/>
                        </a:lnRef>
                        <a:fillRef idx="0">
                          <a:schemeClr val="accent1"/>
                        </a:fillRef>
                        <a:effectRef idx="0">
                          <a:schemeClr val="accent1"/>
                        </a:effectRef>
                        <a:fontRef idx="minor">
                          <a:schemeClr val="tx1"/>
                        </a:fontRef>
                      </a:style>
                    </a:cxnSp>
                  </a:grpSp>
                </lc:lockedCanvas>
              </a:graphicData>
            </a:graphic>
          </wp:inline>
        </w:drawing>
      </w:r>
      <w:proofErr w:type="gramStart"/>
      <w:r>
        <w:rPr>
          <w:rFonts w:asciiTheme="majorHAnsi" w:hAnsiTheme="majorHAnsi"/>
          <w:b/>
        </w:rPr>
        <w:t>Figure 1.</w:t>
      </w:r>
      <w:r w:rsidR="00992411">
        <w:rPr>
          <w:rFonts w:asciiTheme="majorHAnsi" w:hAnsiTheme="majorHAnsi"/>
          <w:b/>
        </w:rPr>
        <w:t>2</w:t>
      </w:r>
      <w:r w:rsidR="00F616FC">
        <w:rPr>
          <w:rFonts w:asciiTheme="majorHAnsi" w:hAnsiTheme="majorHAnsi"/>
          <w:b/>
        </w:rPr>
        <w:t>.</w:t>
      </w:r>
      <w:proofErr w:type="gramEnd"/>
      <w:r>
        <w:rPr>
          <w:rFonts w:asciiTheme="majorHAnsi" w:hAnsiTheme="majorHAnsi"/>
          <w:b/>
        </w:rPr>
        <w:t xml:space="preserve"> </w:t>
      </w:r>
      <w:proofErr w:type="gramStart"/>
      <w:r>
        <w:rPr>
          <w:rFonts w:asciiTheme="majorHAnsi" w:hAnsiTheme="majorHAnsi"/>
          <w:b/>
        </w:rPr>
        <w:t xml:space="preserve">A </w:t>
      </w:r>
      <w:r w:rsidR="00C1481F">
        <w:rPr>
          <w:rFonts w:asciiTheme="majorHAnsi" w:hAnsiTheme="majorHAnsi"/>
          <w:b/>
        </w:rPr>
        <w:t>model for post-translational insertion of PMPs into the peroxisomal membrane</w:t>
      </w:r>
      <w:r>
        <w:rPr>
          <w:rFonts w:asciiTheme="majorHAnsi" w:hAnsiTheme="majorHAnsi"/>
          <w:b/>
        </w:rPr>
        <w:t xml:space="preserve"> in </w:t>
      </w:r>
      <w:r>
        <w:rPr>
          <w:rFonts w:asciiTheme="majorHAnsi" w:hAnsiTheme="majorHAnsi"/>
          <w:b/>
          <w:i/>
        </w:rPr>
        <w:t>S. cerevisiae</w:t>
      </w:r>
      <w:r>
        <w:rPr>
          <w:rFonts w:asciiTheme="majorHAnsi" w:hAnsiTheme="majorHAnsi"/>
          <w:b/>
        </w:rPr>
        <w:t xml:space="preserve"> (A-C) and </w:t>
      </w:r>
      <w:r w:rsidR="00CE7478">
        <w:rPr>
          <w:rFonts w:asciiTheme="majorHAnsi" w:hAnsiTheme="majorHAnsi"/>
          <w:b/>
          <w:i/>
        </w:rPr>
        <w:t>Metazoa</w:t>
      </w:r>
      <w:r>
        <w:rPr>
          <w:rFonts w:asciiTheme="majorHAnsi" w:hAnsiTheme="majorHAnsi"/>
          <w:b/>
          <w:i/>
        </w:rPr>
        <w:t xml:space="preserve"> </w:t>
      </w:r>
      <w:r>
        <w:rPr>
          <w:rFonts w:asciiTheme="majorHAnsi" w:hAnsiTheme="majorHAnsi"/>
          <w:b/>
        </w:rPr>
        <w:t>(D-F).</w:t>
      </w:r>
      <w:proofErr w:type="gramEnd"/>
      <w:r>
        <w:rPr>
          <w:rFonts w:asciiTheme="majorHAnsi" w:hAnsiTheme="majorHAnsi"/>
        </w:rPr>
        <w:t xml:space="preserve"> </w:t>
      </w:r>
      <w:r w:rsidR="003126F4">
        <w:rPr>
          <w:rFonts w:asciiTheme="majorHAnsi" w:hAnsiTheme="majorHAnsi"/>
        </w:rPr>
        <w:t xml:space="preserve">Pex3p is directed to the ER and </w:t>
      </w:r>
      <w:r w:rsidR="00C1481F">
        <w:rPr>
          <w:rFonts w:asciiTheme="majorHAnsi" w:hAnsiTheme="majorHAnsi"/>
        </w:rPr>
        <w:t>traffics via an ER sub-domain to peroxisomes</w:t>
      </w:r>
      <w:r w:rsidR="003126F4">
        <w:rPr>
          <w:rFonts w:asciiTheme="majorHAnsi" w:hAnsiTheme="majorHAnsi"/>
        </w:rPr>
        <w:t xml:space="preserve"> (Black circle in </w:t>
      </w:r>
      <w:r w:rsidR="003126F4">
        <w:rPr>
          <w:rFonts w:asciiTheme="majorHAnsi" w:hAnsiTheme="majorHAnsi"/>
          <w:b/>
        </w:rPr>
        <w:t>A</w:t>
      </w:r>
      <w:r w:rsidR="003126F4">
        <w:rPr>
          <w:rFonts w:asciiTheme="majorHAnsi" w:hAnsiTheme="majorHAnsi"/>
        </w:rPr>
        <w:t>)</w:t>
      </w:r>
      <w:r>
        <w:rPr>
          <w:rFonts w:asciiTheme="majorHAnsi" w:hAnsiTheme="majorHAnsi"/>
        </w:rPr>
        <w:t xml:space="preserve">. In </w:t>
      </w:r>
      <w:r>
        <w:rPr>
          <w:rFonts w:asciiTheme="majorHAnsi" w:hAnsiTheme="majorHAnsi"/>
          <w:b/>
        </w:rPr>
        <w:t>B</w:t>
      </w:r>
      <w:r>
        <w:rPr>
          <w:rFonts w:asciiTheme="majorHAnsi" w:hAnsiTheme="majorHAnsi"/>
        </w:rPr>
        <w:t xml:space="preserve"> </w:t>
      </w:r>
      <w:r w:rsidR="00B147D9">
        <w:rPr>
          <w:rFonts w:asciiTheme="majorHAnsi" w:hAnsiTheme="majorHAnsi"/>
        </w:rPr>
        <w:t xml:space="preserve">cytosolic </w:t>
      </w:r>
      <w:r>
        <w:rPr>
          <w:rFonts w:asciiTheme="majorHAnsi" w:hAnsiTheme="majorHAnsi"/>
        </w:rPr>
        <w:t xml:space="preserve">Pex19p </w:t>
      </w:r>
      <w:r w:rsidR="003126F4">
        <w:rPr>
          <w:rFonts w:asciiTheme="majorHAnsi" w:hAnsiTheme="majorHAnsi"/>
        </w:rPr>
        <w:t xml:space="preserve">in complex with </w:t>
      </w:r>
      <w:r w:rsidR="00B147D9">
        <w:rPr>
          <w:rFonts w:asciiTheme="majorHAnsi" w:hAnsiTheme="majorHAnsi"/>
        </w:rPr>
        <w:t xml:space="preserve">its cargo, a peroxisomal membrane protein (PMP), </w:t>
      </w:r>
      <w:r>
        <w:rPr>
          <w:rFonts w:asciiTheme="majorHAnsi" w:hAnsiTheme="majorHAnsi"/>
        </w:rPr>
        <w:t xml:space="preserve">docks with Pex3p and the PMP inserts into the peroxisomal membrane. </w:t>
      </w:r>
      <w:r>
        <w:rPr>
          <w:rFonts w:asciiTheme="majorHAnsi" w:hAnsiTheme="majorHAnsi"/>
          <w:b/>
        </w:rPr>
        <w:t>C</w:t>
      </w:r>
      <w:r>
        <w:rPr>
          <w:rFonts w:asciiTheme="majorHAnsi" w:hAnsiTheme="majorHAnsi"/>
        </w:rPr>
        <w:t xml:space="preserve"> shows the unbound polypeptides with Pex19p returning to the cytosol and the PMP in the membrane, dissociated from Pex3p. In </w:t>
      </w:r>
      <w:r>
        <w:rPr>
          <w:rFonts w:asciiTheme="majorHAnsi" w:hAnsiTheme="majorHAnsi"/>
          <w:i/>
        </w:rPr>
        <w:t>metazoa</w:t>
      </w:r>
      <w:r>
        <w:rPr>
          <w:rFonts w:asciiTheme="majorHAnsi" w:hAnsiTheme="majorHAnsi"/>
        </w:rPr>
        <w:t xml:space="preserve"> ER-derived pre-peroxisomal vesicles containing Pex16p associate with Pex3p that is bound to Pex19p in the cytosol (</w:t>
      </w:r>
      <w:r>
        <w:rPr>
          <w:rFonts w:asciiTheme="majorHAnsi" w:hAnsiTheme="majorHAnsi"/>
          <w:b/>
        </w:rPr>
        <w:t>D</w:t>
      </w:r>
      <w:r>
        <w:rPr>
          <w:rFonts w:asciiTheme="majorHAnsi" w:hAnsiTheme="majorHAnsi"/>
        </w:rPr>
        <w:t>); Pex3p inserts into the peroxisomal membrane</w:t>
      </w:r>
      <w:r w:rsidR="00010B1A">
        <w:rPr>
          <w:rFonts w:asciiTheme="majorHAnsi" w:hAnsiTheme="majorHAnsi"/>
        </w:rPr>
        <w:t xml:space="preserve"> in a Pex16p-dependent interaction</w:t>
      </w:r>
      <w:r>
        <w:rPr>
          <w:rFonts w:asciiTheme="majorHAnsi" w:hAnsiTheme="majorHAnsi"/>
        </w:rPr>
        <w:t xml:space="preserve">. </w:t>
      </w:r>
      <w:r>
        <w:rPr>
          <w:rFonts w:asciiTheme="majorHAnsi" w:hAnsiTheme="majorHAnsi"/>
          <w:b/>
        </w:rPr>
        <w:t>E</w:t>
      </w:r>
      <w:r>
        <w:rPr>
          <w:rFonts w:asciiTheme="majorHAnsi" w:hAnsiTheme="majorHAnsi"/>
        </w:rPr>
        <w:t xml:space="preserve"> shows PMPs cytosolically bound to Pex19p insert into the membrane via a Pex3p/Pex19p-mediated interation as in </w:t>
      </w:r>
      <w:r>
        <w:rPr>
          <w:rFonts w:asciiTheme="majorHAnsi" w:hAnsiTheme="majorHAnsi"/>
          <w:i/>
        </w:rPr>
        <w:t>S. cerevisiae</w:t>
      </w:r>
      <w:r>
        <w:rPr>
          <w:rFonts w:asciiTheme="majorHAnsi" w:hAnsiTheme="majorHAnsi"/>
        </w:rPr>
        <w:t xml:space="preserve">. </w:t>
      </w:r>
      <w:r>
        <w:rPr>
          <w:rFonts w:asciiTheme="majorHAnsi" w:hAnsiTheme="majorHAnsi"/>
          <w:b/>
        </w:rPr>
        <w:t>F</w:t>
      </w:r>
      <w:r>
        <w:rPr>
          <w:rFonts w:asciiTheme="majorHAnsi" w:hAnsiTheme="majorHAnsi"/>
        </w:rPr>
        <w:t xml:space="preserve"> shows the completed insertion of PMPs into the peroxisomal membrane and the return of Pex19p to the cytosol</w:t>
      </w:r>
      <w:r w:rsidR="00D10073">
        <w:rPr>
          <w:rFonts w:asciiTheme="majorHAnsi" w:hAnsiTheme="majorHAnsi"/>
        </w:rPr>
        <w:t xml:space="preserve">. </w:t>
      </w:r>
    </w:p>
    <w:p w:rsidR="00FD54DA" w:rsidRPr="0013327C" w:rsidRDefault="00FD54DA" w:rsidP="00FD54DA">
      <w:pPr>
        <w:pStyle w:val="Heading3"/>
        <w:jc w:val="both"/>
      </w:pPr>
      <w:bookmarkStart w:id="30" w:name="_Toc348423287"/>
      <w:r w:rsidRPr="0013327C">
        <w:t>Peroxins involved in matrix protein import</w:t>
      </w:r>
      <w:bookmarkEnd w:id="30"/>
    </w:p>
    <w:p w:rsidR="00FD54DA" w:rsidRPr="0013327C" w:rsidRDefault="00FD54DA" w:rsidP="00FD54DA">
      <w:pPr>
        <w:jc w:val="both"/>
        <w:rPr>
          <w:rFonts w:asciiTheme="majorHAnsi" w:hAnsiTheme="majorHAnsi"/>
        </w:rPr>
      </w:pPr>
      <w:r>
        <w:rPr>
          <w:rFonts w:asciiTheme="majorHAnsi" w:hAnsiTheme="majorHAnsi"/>
        </w:rPr>
        <w:t>Sometimes referred to as Class I peroxins,</w:t>
      </w:r>
      <w:r w:rsidRPr="0013327C">
        <w:rPr>
          <w:rFonts w:asciiTheme="majorHAnsi" w:hAnsiTheme="majorHAnsi"/>
        </w:rPr>
        <w:t xml:space="preserve"> </w:t>
      </w:r>
      <w:r>
        <w:rPr>
          <w:rFonts w:asciiTheme="majorHAnsi" w:hAnsiTheme="majorHAnsi"/>
        </w:rPr>
        <w:t xml:space="preserve">these </w:t>
      </w:r>
      <w:r w:rsidRPr="0013327C">
        <w:rPr>
          <w:rFonts w:asciiTheme="majorHAnsi" w:hAnsiTheme="majorHAnsi"/>
        </w:rPr>
        <w:t xml:space="preserve">are involved in the uptake of proteins from the cellular cytosol into the peroxisomal matrix, having to pass through the peroxisomal single-membrane. In order for this to occur there must be a number of protein interactions between peroxins themselves and between them and the matrix proteins. Loss-of-function mutations and knock-outs of class I </w:t>
      </w:r>
      <w:r w:rsidRPr="000C26B2">
        <w:rPr>
          <w:rFonts w:asciiTheme="majorHAnsi" w:hAnsiTheme="majorHAnsi"/>
          <w:i/>
        </w:rPr>
        <w:t>PEX</w:t>
      </w:r>
      <w:r w:rsidRPr="0013327C">
        <w:rPr>
          <w:rFonts w:asciiTheme="majorHAnsi" w:hAnsiTheme="majorHAnsi"/>
        </w:rPr>
        <w:t xml:space="preserve"> genes typically cause the accumulation of cytosolic matrix proteins or greatly reduced matrix protein uptake with attributed loss of enzyme function.</w:t>
      </w:r>
    </w:p>
    <w:p w:rsidR="00FD54DA" w:rsidRPr="0013327C" w:rsidRDefault="00FD54DA" w:rsidP="00FD54DA">
      <w:pPr>
        <w:jc w:val="both"/>
        <w:rPr>
          <w:rFonts w:asciiTheme="majorHAnsi" w:hAnsiTheme="majorHAnsi"/>
        </w:rPr>
      </w:pPr>
      <w:r w:rsidRPr="0013327C">
        <w:rPr>
          <w:rFonts w:asciiTheme="majorHAnsi" w:hAnsiTheme="majorHAnsi"/>
        </w:rPr>
        <w:lastRenderedPageBreak/>
        <w:t>In eukaryotes the most common for</w:t>
      </w:r>
      <w:r>
        <w:rPr>
          <w:rFonts w:asciiTheme="majorHAnsi" w:hAnsiTheme="majorHAnsi"/>
        </w:rPr>
        <w:t xml:space="preserve">m of peroxisomal matrix protein-targetting </w:t>
      </w:r>
      <w:r w:rsidRPr="0013327C">
        <w:rPr>
          <w:rFonts w:asciiTheme="majorHAnsi" w:hAnsiTheme="majorHAnsi"/>
        </w:rPr>
        <w:t>signature is the peroxisomal targeting signal (PTS) of which there are two.  PTS1 is a tripeptide sequence found at the extreme C-terminus of the polypeptide</w:t>
      </w:r>
      <w:r w:rsidRPr="0013327C">
        <w:rPr>
          <w:rFonts w:asciiTheme="majorHAnsi" w:hAnsiTheme="majorHAnsi"/>
          <w:noProof/>
        </w:rPr>
        <w:t xml:space="preserve"> first discovered by Gould </w:t>
      </w:r>
      <w:r w:rsidR="00466108" w:rsidRPr="00466108">
        <w:rPr>
          <w:rFonts w:asciiTheme="majorHAnsi" w:hAnsiTheme="majorHAnsi"/>
          <w:i/>
          <w:noProof/>
        </w:rPr>
        <w:t>et al</w:t>
      </w:r>
      <w:r w:rsidRPr="0013327C">
        <w:rPr>
          <w:rFonts w:asciiTheme="majorHAnsi" w:hAnsiTheme="majorHAnsi"/>
          <w:noProof/>
        </w:rPr>
        <w:t>. (1987)</w:t>
      </w:r>
      <w:r w:rsidRPr="0013327C">
        <w:rPr>
          <w:rFonts w:asciiTheme="majorHAnsi" w:hAnsiTheme="majorHAnsi"/>
        </w:rPr>
        <w:t xml:space="preserve">. The consensus sequence is currently (S/A/C) – (K/R/H) – (L/M), most potent signal being S-K-L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"Gould", "given" : "Stephen J", "non-dropping-particle" : "", "parse-names" : false, "suffix" : "" }, { "dropping-particle" : "", "family" : "Keller", "given" : "Gilbert-andre", "non-dropping-particle" : "", "parse-names" : false, "suffix" : "" }, { "dropping-particle" : "", "family" : "Subramani", "given" : "Suresh", "non-dropping-particle" : "", "parse-names" : false, "suffix" : "" } ], "container-title" : "Journal of Cell Biology", "id" : "ITEM-1", "issue" : "6", "issued" : { "date-parts" : [ [ "1987" ] ] }, "page" : "2923-2931", "title" : "Identification of a Peroxisomal Targeting Signal at the Carboxy Terminus of Firefly Luciferase", "type" : "article-journal", "volume" : "105" }, "uris" : [ "http://www.mendeley.com/documents/?uuid=15d4e8dc-6a84-4fcf-abd4-220da12a43fe" ] }, { "id" : "ITEM-2", "itemData" : { "ISBN" : "5555555555", "abstract" : "The firefly luciferase protein contains a peroxisomal targeting signal at its extreme COOH terminus (Gould et al., 1987). Site-directed mutagenesis of the luciferase gene reveals that this peroxisomal targeting signal consists of the COOH-terminal three amino acids of the protein, serine-lysine-leucine. When this tripeptide is appended to the COOH terminus of a cytosolic protein (chloramphenicol acetyltransferase), it is sufficient to direct the fusion protein into peroxisomes. Additional mutagenesis experiments reveal that only a limited number of conservative changes can be made in this tripeptide targeting signal without abolishing its activity. These results indicate that peroxisomal protein import, unlike other types of transmembrane translocation, is dependent upon a conserved amino acid sequence.", "author" : [ { "dropping-particle" : "", "family" : "Gould", "given" : "S J", "non-dropping-particle" : "", "parse-names" : false, "suffix" : "" }, { "dropping-particle" : "", "family" : "Keller", "given" : "G a", "non-dropping-particle" : "", "parse-names" : false, "suffix" : "" }, { "dropping-particle" : "", "family" : "Hosken", "given" : "N", "non-dropping-particle" : "", "parse-names" : false, "suffix" : "" }, { "dropping-particle" : "", "family" : "Wilkinson", "given" : "J", "non-dropping-particle" : "", "parse-names" : false, "suffix" : "" }, { "dropping-particle" : "", "family" : "Subramani", "given" : "S", "non-dropping-particle" : "", "parse-names" : false, "suffix" : "" } ], "container-title" : "The Journal of cell biology", "id" : "ITEM-2", "issue" : "5", "issued" : { "date-parts" : [ [ "1989", "5" ] ] }, "page" : "1657-64", "title" : "A conserved tripeptide sorts proteins to peroxisomes.", "type" : "article-journal", "volume" : "108" }, "uris" : [ "http://www.mendeley.com/documents/?uuid=7b593b27-cd13-4918-9cf4-f36c67b189f1" ] } ], "mendeley" : { "manualFormatting" : "(Gould et al., 1989)", "previouslyFormattedCitation" : "(Gould, Keller &amp; Subramani 1987; Gould et al. 1989)"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(Gould </w:t>
      </w:r>
      <w:r w:rsidR="00466108" w:rsidRPr="00466108">
        <w:rPr>
          <w:rFonts w:asciiTheme="majorHAnsi" w:hAnsiTheme="majorHAnsi"/>
          <w:i/>
          <w:noProof/>
        </w:rPr>
        <w:t>et al</w:t>
      </w:r>
      <w:r w:rsidRPr="0013327C">
        <w:rPr>
          <w:rFonts w:asciiTheme="majorHAnsi" w:hAnsiTheme="majorHAnsi"/>
          <w:noProof/>
        </w:rPr>
        <w:t>., 1989)</w:t>
      </w:r>
      <w:r w:rsidR="009A1FEC" w:rsidRPr="0013327C">
        <w:rPr>
          <w:rFonts w:asciiTheme="majorHAnsi" w:hAnsiTheme="majorHAnsi"/>
        </w:rPr>
        <w:fldChar w:fldCharType="end"/>
      </w:r>
      <w:r w:rsidRPr="0013327C">
        <w:rPr>
          <w:rFonts w:asciiTheme="majorHAnsi" w:hAnsiTheme="majorHAnsi"/>
        </w:rPr>
        <w:t xml:space="preserve">, with L as the terminal residue though others are found throughout Eukarya. The cytosolic receptor for PTS1 is </w:t>
      </w:r>
      <w:r w:rsidRPr="000C26B2">
        <w:rPr>
          <w:rFonts w:asciiTheme="majorHAnsi" w:hAnsiTheme="majorHAnsi"/>
          <w:i/>
        </w:rPr>
        <w:t>PEX</w:t>
      </w:r>
      <w:r w:rsidRPr="0013327C">
        <w:rPr>
          <w:rFonts w:asciiTheme="majorHAnsi" w:hAnsiTheme="majorHAnsi"/>
        </w:rPr>
        <w:t xml:space="preserve">5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"pas mutants of Saccharomyces cerevisiae are disturbed in peroxisome assembly (pas) and proliferation. Here we report the characterization of the PAS10 gene and its product (PAS10) that is essential for the import of a large subset of proteins into the peroxisomal matrix. PAS10, a protein of 69 kDa, is a member of the tetratricopeptide repeat, or snap helix, protein family, characterized by several direct repeats of a degenerate 34-amino acid motif (Sikorski, R. S., Boguski, M. S., Goebl, M. &amp; Hieter, P. (1990) Cell 60, 307-317). Other members of this family are MAS70 (S. cerevisiae) and MOM72 (Neurospora crassa), which are mitochondrial receptors for protein import. A pas10 null mutant accumulates peroxisomal, leaflet-like membrane structures and exhibits deficient import of a number of peroxisomal matrix enzymes, particularly of proteins with an SKL-like import signal. In contrast, 3-ketoacyl-CoA thiolase associated with these membranes is resistant in vitro to degradation by proteinase K, indicating true protein import. These results suggest that PAS10 is an essential component of a peroxisomal import machinery which mediates the translocation of a specific subset of proteins to the peroxisomal matrix with an SKL-like import signal.", "author" : [ { "dropping-particle" : "", "family" : "Leij", "given" : "I", "non-dropping-particle" : "van der", "parse-names" : false, "suffix" : "" }, { "dropping-particle" : "", "family" : "Franse", "given" : "M M", "non-dropping-particle" : "", "parse-names" : false, "suffix" : "" }, { "dropping-particle" : "", "family" : "Elgersma", "given" : "Y", "non-dropping-particle" : "", "parse-names" : false, "suffix" : "" }, { "dropping-particle" : "", "family" : "Distel", "given" : "B", "non-dropping-particle" : "", "parse-names" : false, "suffix" : "" }, { "dropping-particle" : "", "family" : "Tabak", "given" : "H F", "non-dropping-particle" : "", "parse-names" : false, "suffix" : "" } ], "container-title" : "Proceedings of the National Academy of Sciences of the United States of America", "id" : "ITEM-1", "issue" : "24", "issued" : { "date-parts" : [ [ "1993", "12", "15" ] ] }, "page" : "11782-6", "title" : "PAS10 is a tetratricopeptide-repeat protein that is essential for the import of most matrix proteins into peroxisomes of Saccharomyces cerevisiae.", "type" : "article-journal", "volume" : "90" }, "uris" : [ "http://www.mendeley.com/documents/?uuid=5d7dc7ce-5f95-45f8-9320-6781a834ad83" ] } ], "mendeley" : { "manualFormatting" : "(Van der Leij et al., 1993)", "previouslyFormattedCitation" : "(Van der Leij et al. 1993)"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(Van der Leij </w:t>
      </w:r>
      <w:r w:rsidR="00466108" w:rsidRPr="00466108">
        <w:rPr>
          <w:rFonts w:asciiTheme="majorHAnsi" w:hAnsiTheme="majorHAnsi"/>
          <w:i/>
          <w:noProof/>
        </w:rPr>
        <w:t>et al</w:t>
      </w:r>
      <w:r w:rsidRPr="0013327C">
        <w:rPr>
          <w:rFonts w:asciiTheme="majorHAnsi" w:hAnsiTheme="majorHAnsi"/>
          <w:noProof/>
        </w:rPr>
        <w:t>., 1993)</w:t>
      </w:r>
      <w:r w:rsidR="009A1FEC" w:rsidRPr="0013327C">
        <w:rPr>
          <w:rFonts w:asciiTheme="majorHAnsi" w:hAnsiTheme="majorHAnsi"/>
        </w:rPr>
        <w:fldChar w:fldCharType="end"/>
      </w:r>
      <w:r w:rsidRPr="0013327C">
        <w:rPr>
          <w:rFonts w:asciiTheme="majorHAnsi" w:hAnsiTheme="majorHAnsi"/>
        </w:rPr>
        <w:t>.</w:t>
      </w:r>
    </w:p>
    <w:p w:rsidR="00FD54DA" w:rsidRPr="0013327C" w:rsidRDefault="00FD54DA" w:rsidP="00FD54DA">
      <w:pPr>
        <w:jc w:val="both"/>
        <w:rPr>
          <w:rFonts w:asciiTheme="majorHAnsi" w:hAnsiTheme="majorHAnsi"/>
        </w:rPr>
      </w:pPr>
      <w:r w:rsidRPr="0013327C">
        <w:rPr>
          <w:rFonts w:asciiTheme="majorHAnsi" w:hAnsiTheme="majorHAnsi"/>
        </w:rPr>
        <w:t xml:space="preserve">The PTS2 sequence is much rarer among matrix proteins but still ubiquitous among Eukaryotes with the exception of </w:t>
      </w:r>
      <w:r w:rsidRPr="0013327C">
        <w:rPr>
          <w:rFonts w:asciiTheme="majorHAnsi" w:hAnsiTheme="majorHAnsi"/>
          <w:i/>
        </w:rPr>
        <w:t xml:space="preserve">C. elegans </w:t>
      </w:r>
      <w:r w:rsidRPr="0013327C">
        <w:rPr>
          <w:rFonts w:asciiTheme="majorHAnsi" w:hAnsiTheme="majorHAnsi"/>
        </w:rPr>
        <w:t>for whom the loss of PTS2 import into peroxisomes has meant sole reliance on PTS1 transport has become necessary</w:t>
      </w:r>
      <w:r>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"10.1093/embo-reports/kvd010", "author" : [ { "dropping-particle" : "", "family" : "Motley", "given" : "Alison M.", "non-dropping-particle" : "", "parse-names" : false, "suffix" : "" }, { "dropping-particle" : "", "family" : "Hettema", "given" : "Ewald H.", "non-dropping-particle" : "", "parse-names" : false, "suffix" : "" }, { "dropping-particle" : "", "family" : "Ketting", "given" : "Rene", "non-dropping-particle" : "", "parse-names" : false, "suffix" : "" }, { "dropping-particle" : "", "family" : "Plasterk", "given" : "Ronald", "non-dropping-particle" : "", "parse-names" : false, "suffix" : "" }, { "dropping-particle" : "", "family" : "Tabak", "given" : "Henk F.", "non-dropping-particle" : "", "parse-names" : false, "suffix" : "" } ], "container-title" : "EMBO Reports", "id" : "ITEM-1", "issue" : "1", "issued" : { "date-parts" : [ [ "2000", "7" ] ] }, "page" : "40-46", "title" : "Caenorhabditis elegans has a single pathway to target matrix proteins to peroxisomes", "type" : "article-journal", "volume" : "1" }, "uris" : [ "http://www.mendeley.com/documents/?uuid=91395e52-a063-4532-9b14-7ddfd6377fa9" ] } ], "mendeley" : { "previouslyFormattedCitation" : "(Motley et al. 2000)"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(Motley </w:t>
      </w:r>
      <w:r w:rsidR="00466108" w:rsidRPr="00466108">
        <w:rPr>
          <w:rFonts w:asciiTheme="majorHAnsi" w:hAnsiTheme="majorHAnsi"/>
          <w:i/>
          <w:noProof/>
        </w:rPr>
        <w:t>et al</w:t>
      </w:r>
      <w:r w:rsidRPr="0013327C">
        <w:rPr>
          <w:rFonts w:asciiTheme="majorHAnsi" w:hAnsiTheme="majorHAnsi"/>
          <w:noProof/>
        </w:rPr>
        <w:t>. 2000)</w:t>
      </w:r>
      <w:r w:rsidR="009A1FEC" w:rsidRPr="0013327C">
        <w:rPr>
          <w:rFonts w:asciiTheme="majorHAnsi" w:hAnsiTheme="majorHAnsi"/>
        </w:rPr>
        <w:fldChar w:fldCharType="end"/>
      </w:r>
      <w:r w:rsidRPr="0013327C">
        <w:rPr>
          <w:rFonts w:asciiTheme="majorHAnsi" w:hAnsiTheme="majorHAnsi"/>
        </w:rPr>
        <w:t xml:space="preserve">. The recognising receptor for PTS2 is </w:t>
      </w:r>
      <w:r w:rsidRPr="000C26B2">
        <w:rPr>
          <w:rFonts w:asciiTheme="majorHAnsi" w:hAnsiTheme="majorHAnsi"/>
          <w:i/>
        </w:rPr>
        <w:t>PEX</w:t>
      </w:r>
      <w:r w:rsidRPr="0013327C">
        <w:rPr>
          <w:rFonts w:asciiTheme="majorHAnsi" w:hAnsiTheme="majorHAnsi"/>
        </w:rPr>
        <w:t xml:space="preserve">7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"To identify components of the peroxisomal import pathway in yeast, we have isolated pas mutants affected in peroxisome biogenesis. Two mutants assigned to complementation group 7 define a new gene, PAS7, whose product is necessary for import of thiolase, a PTS2-containing protein, but not for that of SKL (PTS1)-containing proteins, into peroxisomes. We have cloned PAS7 by complementation of the oleic acid non-utilizing phenotype of the pas7-1 strain. The DNA sequence predicts a 42.3 kDa polypeptide of 375 amino acids encoding a novel member of the beta-transducin related (WD-40) protein family. A Myc epitope-tagged Pas7p, expressed under the control of the CUP1 promotor, was functionally active. Subcellular localization studies revealed that in the presence of thiolase this epitope-tagged Pas7p in part associates with peroxisomes. However, in a thiolase-deficient mutant, Pas7p was entirely found in the cytoplasm. We suggest that Pas7p mediates the binding of thiolase to these organelles.", "author" : [ { "dropping-particle" : "", "family" : "Marzioch", "given" : "M", "non-dropping-particle" : "", "parse-names" : false, "suffix" : "" }, { "dropping-particle" : "", "family" : "Erdmann", "given" : "R", "non-dropping-particle" : "", "parse-names" : false, "suffix" : "" }, { "dropping-particle" : "", "family" : "Veenhuis", "given" : "M", "non-dropping-particle" : "", "parse-names" : false, "suffix" : "" }, { "dropping-particle" : "", "family" : "Kunau", "given" : "W H", "non-dropping-particle" : "", "parse-names" : false, "suffix" : "" } ], "container-title" : "The EMBO journal", "id" : "ITEM-1", "issue" : "20", "issued" : { "date-parts" : [ [ "1994", "10", "17" ] ] }, "page" : "4908-18", "title" : "PAS7 encodes a novel yeast member of the WD-40 protein family essential for import of 3-oxoacyl-CoA thiolase, a PTS2-containing protein, into peroxisomes.", "type" : "article-journal", "volume" : "13" }, "uris" : [ "http://www.mendeley.com/documents/?uuid=db383462-eb44-4904-b704-c6ff8410914e" ] } ], "mendeley" : { "manualFormatting" : "(Marzioch et al., 1994)", "previouslyFormattedCitation" : "(Marzioch et al. 1994)"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(Marzioch </w:t>
      </w:r>
      <w:r w:rsidR="00466108" w:rsidRPr="00466108">
        <w:rPr>
          <w:rFonts w:asciiTheme="majorHAnsi" w:hAnsiTheme="majorHAnsi"/>
          <w:i/>
          <w:noProof/>
        </w:rPr>
        <w:t>et al</w:t>
      </w:r>
      <w:r w:rsidRPr="0013327C">
        <w:rPr>
          <w:rFonts w:asciiTheme="majorHAnsi" w:hAnsiTheme="majorHAnsi"/>
          <w:i/>
          <w:noProof/>
        </w:rPr>
        <w:t>.</w:t>
      </w:r>
      <w:r w:rsidRPr="0013327C">
        <w:rPr>
          <w:rFonts w:asciiTheme="majorHAnsi" w:hAnsiTheme="majorHAnsi"/>
          <w:noProof/>
        </w:rPr>
        <w:t>, 1994)</w:t>
      </w:r>
      <w:r w:rsidR="009A1FEC" w:rsidRPr="0013327C">
        <w:rPr>
          <w:rFonts w:asciiTheme="majorHAnsi" w:hAnsiTheme="majorHAnsi"/>
        </w:rPr>
        <w:fldChar w:fldCharType="end"/>
      </w:r>
      <w:r w:rsidRPr="0013327C">
        <w:rPr>
          <w:rFonts w:asciiTheme="majorHAnsi" w:hAnsiTheme="majorHAnsi"/>
        </w:rPr>
        <w:t xml:space="preserve">. While the PTS2-mediated matrix protein transport </w:t>
      </w:r>
      <w:r>
        <w:rPr>
          <w:rFonts w:asciiTheme="majorHAnsi" w:hAnsiTheme="majorHAnsi"/>
        </w:rPr>
        <w:t xml:space="preserve">machinery </w:t>
      </w:r>
      <w:r w:rsidRPr="0013327C">
        <w:rPr>
          <w:rFonts w:asciiTheme="majorHAnsi" w:hAnsiTheme="majorHAnsi"/>
        </w:rPr>
        <w:t>is well-conserved throughout many eukaryotes</w:t>
      </w:r>
      <w:r>
        <w:rPr>
          <w:rFonts w:asciiTheme="majorHAnsi" w:hAnsiTheme="majorHAnsi"/>
        </w:rPr>
        <w:t xml:space="preserve">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"10.1016/j.jmb.2004.05.064", "abstract" : "All organisms except the nematode Caenorhabditis elegans have been shown to possess an import system for peroxisomal proteins containing a peroxisome targeting signal type 2 (PTS2). The currently accepted consensus sequence for this amino-terminal nonapeptide is -(R/K)(L/V/I)X(5)(H/Q)(L/A)-. Some C.elegans proteins contain putative PTS2 motifs, including the ortholog (CeMeK) of human mevalonate kinase, an enzyme known to be targeted by PTS2 to mammalian peroxisomes. We cloned the gene for CeMeK (open reading frame Y42G9A.4) and examined the subcellular localization of CeMeK and of two other proteins with putative PTS2s at their amino termini encoded by the open reading frames D1053.2 and W10G11.11. All three proteins localized to the cytosol, confirming and extending the finding that C.elegans lacks PTS2-dependent peroxisomal protein import. The putative PTS2s of the proteins encoded by D1053.2 and W10G11.11 did not function in targeting to peroxisomes in yeast or mammalian cells, suggesting that the current PTS2 consensus sequence is too broad. Analysis of available experimental data on both functional and nonfunctional PTS2s led to two re-evaluated PTS2 consensus sequences: -R(L/V/I/Q)XX(L/V/I/H)(L/S/G/A)X(H/Q)(L/A)-, describes the most common variants of PTS2, while -(R/K)(L/V/I/Q)XX(L/V/I/H/Q)(L/S/G/A/K)X(H/Q)(L/A/F)-, describes essentially all variants of PTS2. These redefined PTS2 consensus sequences will facilitate the identification of proteins of unknown cellular localization as possible peroxisomal proteins.", "author" : [ { "dropping-particle" : "", "family" : "Petriv", "given" : "Oleh I", "non-dropping-particle" : "", "parse-names" : false, "suffix" : "" }, { "dropping-particle" : "", "family" : "Tang", "given" : "Ling", "non-dropping-particle" : "", "parse-names" : false, "suffix" : "" }, { "dropping-particle" : "", "family" : "Titorenko", "given" : "Vladimir I", "non-dropping-particle" : "", "parse-names" : false, "suffix" : "" }, { "dropping-particle" : "", "family" : "Rachubinski", "given" : "Richard a", "non-dropping-particle" : "", "parse-names" : false, "suffix" : "" } ], "container-title" : "Journal of molecular biology", "id" : "ITEM-1", "issue" : "1", "issued" : { "date-parts" : [ [ "2004", "7", "30" ] ] }, "page" : "119-34", "title" : "A new definition for the consensus sequence of the peroxisome targeting signal type 2.", "type" : "article-journal", "volume" : "341" }, "uris" : [ "http://www.mendeley.com/documents/?uuid=b9678e4c-5d10-4f84-8e7b-0fa7fe8446c0" ] } ], "mendeley" : { "previouslyFormattedCitation" : "(Petriv et al. 2004)" }, "properties" : { "noteIndex" : 0 }, "schema" : "https://github.com/citation-style-language/schema/raw/master/csl-citation.json" }</w:instrText>
      </w:r>
      <w:r w:rsidR="009A1FEC">
        <w:rPr>
          <w:rFonts w:asciiTheme="majorHAnsi" w:hAnsiTheme="majorHAnsi"/>
        </w:rPr>
        <w:fldChar w:fldCharType="separate"/>
      </w:r>
      <w:r w:rsidRPr="0085269B">
        <w:rPr>
          <w:rFonts w:asciiTheme="majorHAnsi" w:hAnsiTheme="majorHAnsi"/>
          <w:noProof/>
        </w:rPr>
        <w:t xml:space="preserve">(Petriv </w:t>
      </w:r>
      <w:r w:rsidR="00466108" w:rsidRPr="00466108">
        <w:rPr>
          <w:rFonts w:asciiTheme="majorHAnsi" w:hAnsiTheme="majorHAnsi"/>
          <w:i/>
          <w:noProof/>
        </w:rPr>
        <w:t>et al</w:t>
      </w:r>
      <w:r w:rsidRPr="0085269B">
        <w:rPr>
          <w:rFonts w:asciiTheme="majorHAnsi" w:hAnsiTheme="majorHAnsi"/>
          <w:noProof/>
        </w:rPr>
        <w:t>. 2004)</w:t>
      </w:r>
      <w:r w:rsidR="009A1FEC">
        <w:rPr>
          <w:rFonts w:asciiTheme="majorHAnsi" w:hAnsiTheme="majorHAnsi"/>
        </w:rPr>
        <w:fldChar w:fldCharType="end"/>
      </w:r>
      <w:r w:rsidRPr="0013327C">
        <w:rPr>
          <w:rFonts w:asciiTheme="majorHAnsi" w:hAnsiTheme="majorHAnsi"/>
        </w:rPr>
        <w:t xml:space="preserve">, </w:t>
      </w:r>
      <w:r w:rsidRPr="0013327C">
        <w:rPr>
          <w:rFonts w:asciiTheme="majorHAnsi" w:hAnsiTheme="majorHAnsi"/>
          <w:i/>
        </w:rPr>
        <w:t>S. cerevisiae</w:t>
      </w:r>
      <w:r w:rsidRPr="0013327C">
        <w:rPr>
          <w:rFonts w:asciiTheme="majorHAnsi" w:hAnsiTheme="majorHAnsi"/>
        </w:rPr>
        <w:t xml:space="preserve"> </w:t>
      </w:r>
      <w:r>
        <w:rPr>
          <w:rFonts w:asciiTheme="majorHAnsi" w:hAnsiTheme="majorHAnsi"/>
        </w:rPr>
        <w:t>has only one</w:t>
      </w:r>
      <w:r w:rsidRPr="0013327C">
        <w:rPr>
          <w:rFonts w:asciiTheme="majorHAnsi" w:hAnsiTheme="majorHAnsi"/>
        </w:rPr>
        <w:t xml:space="preserve"> PTS2-mediated </w:t>
      </w:r>
      <w:r>
        <w:rPr>
          <w:rFonts w:asciiTheme="majorHAnsi" w:hAnsiTheme="majorHAnsi"/>
        </w:rPr>
        <w:t xml:space="preserve">peroxisomal matrix protein, 3-ketoacy-thiolase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"10.1111/j.1600-0854.2008.00876.x", "author" : [ { "dropping-particle" : "", "family" : "Grunau", "given" : "Silke", "non-dropping-particle" : "", "parse-names" : false, "suffix" : "" }, { "dropping-particle" : "", "family" : "Schliebs", "given" : "Wolfgang", "non-dropping-particle" : "", "parse-names" : false, "suffix" : "" }, { "dropping-particle" : "", "family" : "Linnepe", "given" : "Ruth", "non-dropping-particle" : "", "parse-names" : false, "suffix" : "" }, { "dropping-particle" : "", "family" : "Neufeld", "given" : "Christian", "non-dropping-particle" : "", "parse-names" : false, "suffix" : "" }, { "dropping-particle" : "", "family" : "Cizmowski", "given" : "Christian", "non-dropping-particle" : "", "parse-names" : false, "suffix" : "" }, { "dropping-particle" : "", "family" : "Reinartz", "given" : "Benedikt", "non-dropping-particle" : "", "parse-names" : false, "suffix" : "" }, { "dropping-particle" : "", "family" : "Meyer", "given" : "Helmut E.", "non-dropping-particle" : "", "parse-names" : false, "suffix" : "" }, { "dropping-particle" : "", "family" : "Warscheid", "given" : "Bettina", "non-dropping-particle" : "", "parse-names" : false, "suffix" : "" }, { "dropping-particle" : "", "family" : "Girzalsky", "given" : "Wolfgang", "non-dropping-particle" : "", "parse-names" : false, "suffix" : "" }, { "dropping-particle" : "", "family" : "Erdmann", "given" : "Ralf", "non-dropping-particle" : "", "parse-names" : false, "suffix" : "" } ], "container-title" : "Traffic", "id" : "ITEM-1", "issue" : "4", "issued" : { "date-parts" : [ [ "2009", "4" ] ] }, "page" : "451-460", "title" : "Peroxisomal Targeting of PTS2 Pre-Import Complexes in the Yeast Saccharomyces cerevisiae", "type" : "article-journal", "volume" : "10" }, "uris" : [ "http://www.mendeley.com/documents/?uuid=9a5edcac-f320-4015-a669-0161a72269d4" ] } ], "mendeley" : { "previouslyFormattedCitation" : "(Grunau et al. 2009)" }, "properties" : { "noteIndex" : 0 }, "schema" : "https://github.com/citation-style-language/schema/raw/master/csl-citation.json" }</w:instrText>
      </w:r>
      <w:r w:rsidR="009A1FEC">
        <w:rPr>
          <w:rFonts w:asciiTheme="majorHAnsi" w:hAnsiTheme="majorHAnsi"/>
        </w:rPr>
        <w:fldChar w:fldCharType="separate"/>
      </w:r>
      <w:r w:rsidRPr="00D83666">
        <w:rPr>
          <w:rFonts w:asciiTheme="majorHAnsi" w:hAnsiTheme="majorHAnsi"/>
          <w:noProof/>
        </w:rPr>
        <w:t xml:space="preserve">(Grunau </w:t>
      </w:r>
      <w:r w:rsidR="00466108" w:rsidRPr="00466108">
        <w:rPr>
          <w:rFonts w:asciiTheme="majorHAnsi" w:hAnsiTheme="majorHAnsi"/>
          <w:i/>
          <w:noProof/>
        </w:rPr>
        <w:t>et al</w:t>
      </w:r>
      <w:r w:rsidRPr="00D83666">
        <w:rPr>
          <w:rFonts w:asciiTheme="majorHAnsi" w:hAnsiTheme="majorHAnsi"/>
          <w:noProof/>
        </w:rPr>
        <w:t>. 2009)</w:t>
      </w:r>
      <w:r w:rsidR="009A1FEC">
        <w:rPr>
          <w:rFonts w:asciiTheme="majorHAnsi" w:hAnsiTheme="majorHAnsi"/>
        </w:rPr>
        <w:fldChar w:fldCharType="end"/>
      </w:r>
      <w:r w:rsidRPr="0013327C">
        <w:rPr>
          <w:rFonts w:asciiTheme="majorHAnsi" w:hAnsiTheme="majorHAnsi"/>
        </w:rPr>
        <w:t xml:space="preserve">. No matrix proteins are known in </w:t>
      </w:r>
      <w:r w:rsidRPr="0013327C">
        <w:rPr>
          <w:rFonts w:asciiTheme="majorHAnsi" w:hAnsiTheme="majorHAnsi"/>
          <w:i/>
        </w:rPr>
        <w:t xml:space="preserve">D. melanogaster </w:t>
      </w:r>
      <w:r w:rsidRPr="0013327C">
        <w:rPr>
          <w:rFonts w:asciiTheme="majorHAnsi" w:hAnsiTheme="majorHAnsi"/>
        </w:rPr>
        <w:t xml:space="preserve">that possess a distinctly recognisable PTS2 sequence, despite the presence of a </w:t>
      </w:r>
      <w:r w:rsidRPr="000C26B2">
        <w:rPr>
          <w:rFonts w:asciiTheme="majorHAnsi" w:hAnsiTheme="majorHAnsi"/>
          <w:i/>
        </w:rPr>
        <w:t>PEX</w:t>
      </w:r>
      <w:r w:rsidRPr="0013327C">
        <w:rPr>
          <w:rFonts w:asciiTheme="majorHAnsi" w:hAnsiTheme="majorHAnsi"/>
        </w:rPr>
        <w:t xml:space="preserve">7 homologue. </w:t>
      </w:r>
    </w:p>
    <w:p w:rsidR="00FD54DA" w:rsidRPr="0013327C" w:rsidRDefault="00FD54DA" w:rsidP="00FD54DA">
      <w:pPr>
        <w:jc w:val="both"/>
        <w:rPr>
          <w:rFonts w:asciiTheme="majorHAnsi" w:hAnsiTheme="majorHAnsi"/>
        </w:rPr>
      </w:pPr>
      <w:r w:rsidRPr="000C26B2">
        <w:rPr>
          <w:rFonts w:asciiTheme="majorHAnsi" w:hAnsiTheme="majorHAnsi"/>
          <w:i/>
        </w:rPr>
        <w:t>PEX</w:t>
      </w:r>
      <w:r w:rsidRPr="0013327C">
        <w:rPr>
          <w:rFonts w:asciiTheme="majorHAnsi" w:hAnsiTheme="majorHAnsi"/>
        </w:rPr>
        <w:t xml:space="preserve">5 is the cytosolic PTS1 recognition protein that binds to peroxisomal matrix proteins and targets them to the peroxisomal membrane through binding with them at </w:t>
      </w:r>
      <w:r>
        <w:rPr>
          <w:rFonts w:asciiTheme="majorHAnsi" w:hAnsiTheme="majorHAnsi"/>
        </w:rPr>
        <w:t xml:space="preserve">2 sets of </w:t>
      </w:r>
      <w:r w:rsidRPr="0013327C">
        <w:rPr>
          <w:rFonts w:asciiTheme="majorHAnsi" w:hAnsiTheme="majorHAnsi"/>
        </w:rPr>
        <w:t xml:space="preserve">three tetra-tricopeptide repeat sequences (TPR) in its C-terminal portion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"Mccollum", "given" : "Dannel", "non-dropping-particle" : "", "parse-names" : false, "suffix" : "" }, { "dropping-particle" : "", "family" : "Monosov", "given" : "Edward", "non-dropping-particle" : "", "parse-names" : false, "suffix" : "" }, { "dropping-particle" : "", "family" : "Subramani", "given" : "Suresh", "non-dropping-particle" : "", "parse-names" : false, "suffix" : "" } ], "container-title" : "Journal of Cell Biology", "id" : "ITEM-1", "issue" : "4", "issued" : { "date-parts" : [ [ "1991" ] ] }, "page" : "761-774", "title" : "The pas8 Mutant of Pichia pastoris Exhibits the Peroxisomal Protein Import Deficiencies of Zellweger Syndrome Cells-The PAS8 Protein Binds to the COOH-Terminal Tripeptide Peroxisomal Targeting Signal, and Is a Member of the TPR Protein Family", "type" : "article-journal", "volume" : "121" }, "uris" : [ "http://www.mendeley.com/documents/?uuid=4bfad58e-3a59-4966-859e-1132eab8358a" ] } ], "mendeley" : { "manualFormatting" : "(McCollum et al., 1991)", "previouslyFormattedCitation" : "(Mccollum, Monosov &amp; Subramani 1991)" }, "properties" : { "noteIndex" : 0 }, "schema" : "https://github.com/citation-style-language/schema/raw/master/csl-citation.json" }</w:instrText>
      </w:r>
      <w:r w:rsidR="009A1FEC" w:rsidRPr="0013327C">
        <w:rPr>
          <w:rFonts w:asciiTheme="majorHAnsi" w:hAnsiTheme="majorHAnsi"/>
        </w:rPr>
        <w:fldChar w:fldCharType="separate"/>
      </w:r>
      <w:r w:rsidR="00E13648">
        <w:rPr>
          <w:rFonts w:asciiTheme="majorHAnsi" w:hAnsiTheme="majorHAnsi"/>
          <w:noProof/>
        </w:rPr>
        <w:t>(McC</w:t>
      </w:r>
      <w:r w:rsidRPr="0013327C">
        <w:rPr>
          <w:rFonts w:asciiTheme="majorHAnsi" w:hAnsiTheme="majorHAnsi"/>
          <w:noProof/>
        </w:rPr>
        <w:t xml:space="preserve">ollum </w:t>
      </w:r>
      <w:r w:rsidR="00466108" w:rsidRPr="00466108">
        <w:rPr>
          <w:rFonts w:asciiTheme="majorHAnsi" w:hAnsiTheme="majorHAnsi"/>
          <w:i/>
          <w:noProof/>
        </w:rPr>
        <w:t>et al</w:t>
      </w:r>
      <w:r w:rsidRPr="0013327C">
        <w:rPr>
          <w:rFonts w:asciiTheme="majorHAnsi" w:hAnsiTheme="majorHAnsi"/>
          <w:i/>
          <w:noProof/>
        </w:rPr>
        <w:t>.</w:t>
      </w:r>
      <w:r w:rsidRPr="0013327C">
        <w:rPr>
          <w:rFonts w:asciiTheme="majorHAnsi" w:hAnsiTheme="majorHAnsi"/>
          <w:noProof/>
        </w:rPr>
        <w:t>, 1991)</w:t>
      </w:r>
      <w:r w:rsidR="009A1FEC" w:rsidRPr="0013327C">
        <w:rPr>
          <w:rFonts w:asciiTheme="majorHAnsi" w:hAnsiTheme="majorHAnsi"/>
        </w:rPr>
        <w:fldChar w:fldCharType="end"/>
      </w:r>
      <w:r w:rsidRPr="0013327C">
        <w:rPr>
          <w:rFonts w:asciiTheme="majorHAnsi" w:hAnsiTheme="majorHAnsi"/>
        </w:rPr>
        <w:t xml:space="preserve">. It is a crucial protein for matrix protein import of PTS1 matrix proteins. In organisms lacking </w:t>
      </w:r>
      <w:r w:rsidRPr="000C26B2">
        <w:rPr>
          <w:rFonts w:asciiTheme="majorHAnsi" w:hAnsiTheme="majorHAnsi"/>
          <w:i/>
        </w:rPr>
        <w:t>PEX</w:t>
      </w:r>
      <w:r w:rsidRPr="0013327C">
        <w:rPr>
          <w:rFonts w:asciiTheme="majorHAnsi" w:hAnsiTheme="majorHAnsi"/>
        </w:rPr>
        <w:t>5 function proteins with a PTS1 signal will remain cytosolic and thus a crucial step in β-oxidation will be absent from within the peroxisomal matrix compartment, leading to substrate accumulation and P</w:t>
      </w:r>
      <w:r>
        <w:rPr>
          <w:rFonts w:asciiTheme="majorHAnsi" w:hAnsiTheme="majorHAnsi"/>
        </w:rPr>
        <w:t>B</w:t>
      </w:r>
      <w:r w:rsidRPr="0013327C">
        <w:rPr>
          <w:rFonts w:asciiTheme="majorHAnsi" w:hAnsiTheme="majorHAnsi"/>
        </w:rPr>
        <w:t xml:space="preserve">D pathology. In mammals two orthologues of </w:t>
      </w:r>
      <w:r w:rsidRPr="000C26B2">
        <w:rPr>
          <w:rFonts w:asciiTheme="majorHAnsi" w:hAnsiTheme="majorHAnsi"/>
          <w:i/>
        </w:rPr>
        <w:t>PEX</w:t>
      </w:r>
      <w:r w:rsidRPr="0013327C">
        <w:rPr>
          <w:rFonts w:asciiTheme="majorHAnsi" w:hAnsiTheme="majorHAnsi"/>
        </w:rPr>
        <w:t xml:space="preserve">5 exist, </w:t>
      </w:r>
      <w:r w:rsidRPr="000C26B2">
        <w:rPr>
          <w:rFonts w:asciiTheme="majorHAnsi" w:hAnsiTheme="majorHAnsi"/>
          <w:i/>
        </w:rPr>
        <w:t>PEX</w:t>
      </w:r>
      <w:r w:rsidRPr="0013327C">
        <w:rPr>
          <w:rFonts w:asciiTheme="majorHAnsi" w:hAnsiTheme="majorHAnsi"/>
        </w:rPr>
        <w:t xml:space="preserve">5L is 37 residues longer than its </w:t>
      </w:r>
      <w:r w:rsidRPr="000C26B2">
        <w:rPr>
          <w:rFonts w:asciiTheme="majorHAnsi" w:hAnsiTheme="majorHAnsi"/>
          <w:i/>
        </w:rPr>
        <w:t>PEX</w:t>
      </w:r>
      <w:r w:rsidRPr="0013327C">
        <w:rPr>
          <w:rFonts w:asciiTheme="majorHAnsi" w:hAnsiTheme="majorHAnsi"/>
        </w:rPr>
        <w:t xml:space="preserve">5S paralogue; specifically in CHO cells and in human fibroblasts. It has been shown that the </w:t>
      </w:r>
      <w:r w:rsidRPr="000C26B2">
        <w:rPr>
          <w:rFonts w:asciiTheme="majorHAnsi" w:hAnsiTheme="majorHAnsi"/>
          <w:i/>
        </w:rPr>
        <w:t>PEX</w:t>
      </w:r>
      <w:r w:rsidRPr="0013327C">
        <w:rPr>
          <w:rFonts w:asciiTheme="majorHAnsi" w:hAnsiTheme="majorHAnsi"/>
        </w:rPr>
        <w:t xml:space="preserve">5L paralogue has additional function in interacting with the </w:t>
      </w:r>
      <w:r w:rsidRPr="000C26B2">
        <w:rPr>
          <w:rFonts w:asciiTheme="majorHAnsi" w:hAnsiTheme="majorHAnsi"/>
          <w:i/>
        </w:rPr>
        <w:t>PEX</w:t>
      </w:r>
      <w:r w:rsidRPr="0013327C">
        <w:rPr>
          <w:rFonts w:asciiTheme="majorHAnsi" w:hAnsiTheme="majorHAnsi"/>
        </w:rPr>
        <w:t xml:space="preserve">7-PTS2 complex prior to docking with the peroxisomal docking complexes on the peroxisomal membrane. In yeasts this convergence is not present and the two PTS complexes arrive separately at the peroxisome (reviewed by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"Holroyd", "given" : "Claudia", "non-dropping-particle" : "", "parse-names" : false, "suffix" : "" }, { "dropping-particle" : "", "family" : "Erdmann", "given" : "Ralf", "non-dropping-particle" : "", "parse-names" : false, "suffix" : "" } ], "container-title" : "FEBS letters", "id" : "ITEM-1", "issued" : { "date-parts" : [ [ "2001" ] ] }, "page" : "6-10", "title" : "Protein translocation machineries of peroxisomes", "type" : "article-journal", "volume" : "501" }, "uris" : [ "http://www.mendeley.com/documents/?uuid=63cb3428-c756-4a0d-b52a-3f92386825ef" ] } ], "mendeley" : { "manualFormatting" : "Holroyd &amp; Erdmann, 2001)", "previouslyFormattedCitation" : "(Holroyd &amp; Erdmann 2001)"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Holroyd &amp; Erdmann, 2001)</w:t>
      </w:r>
      <w:r w:rsidR="009A1FEC" w:rsidRPr="0013327C">
        <w:rPr>
          <w:rFonts w:asciiTheme="majorHAnsi" w:hAnsiTheme="majorHAnsi"/>
        </w:rPr>
        <w:fldChar w:fldCharType="end"/>
      </w:r>
      <w:r w:rsidRPr="0013327C">
        <w:rPr>
          <w:rFonts w:asciiTheme="majorHAnsi" w:hAnsiTheme="majorHAnsi"/>
        </w:rPr>
        <w:t xml:space="preserve">. </w:t>
      </w:r>
    </w:p>
    <w:p w:rsidR="00FD54DA" w:rsidRPr="0013327C" w:rsidRDefault="00FD54DA" w:rsidP="00FD54DA">
      <w:pPr>
        <w:jc w:val="both"/>
        <w:rPr>
          <w:rFonts w:asciiTheme="majorHAnsi" w:hAnsiTheme="majorHAnsi"/>
        </w:rPr>
      </w:pPr>
      <w:r w:rsidRPr="0013327C">
        <w:rPr>
          <w:rFonts w:asciiTheme="majorHAnsi" w:hAnsiTheme="majorHAnsi"/>
          <w:i/>
        </w:rPr>
        <w:t>D. melanogaster</w:t>
      </w:r>
      <w:r w:rsidRPr="0013327C">
        <w:rPr>
          <w:rFonts w:asciiTheme="majorHAnsi" w:hAnsiTheme="majorHAnsi"/>
        </w:rPr>
        <w:t xml:space="preserve"> has only the single homologue of </w:t>
      </w:r>
      <w:r w:rsidRPr="000C26B2">
        <w:rPr>
          <w:rFonts w:asciiTheme="majorHAnsi" w:hAnsiTheme="majorHAnsi"/>
          <w:i/>
        </w:rPr>
        <w:t>PEX</w:t>
      </w:r>
      <w:r w:rsidRPr="0013327C">
        <w:rPr>
          <w:rFonts w:asciiTheme="majorHAnsi" w:hAnsiTheme="majorHAnsi"/>
        </w:rPr>
        <w:t xml:space="preserve">5 indicating that this dependence of the PTS2 import machinery on </w:t>
      </w:r>
      <w:r w:rsidRPr="000C26B2">
        <w:rPr>
          <w:rFonts w:asciiTheme="majorHAnsi" w:hAnsiTheme="majorHAnsi"/>
          <w:i/>
        </w:rPr>
        <w:t>PEX</w:t>
      </w:r>
      <w:r w:rsidRPr="0013327C">
        <w:rPr>
          <w:rFonts w:asciiTheme="majorHAnsi" w:hAnsiTheme="majorHAnsi"/>
        </w:rPr>
        <w:t xml:space="preserve">5L </w:t>
      </w:r>
      <w:r>
        <w:rPr>
          <w:rFonts w:asciiTheme="majorHAnsi" w:hAnsiTheme="majorHAnsi"/>
        </w:rPr>
        <w:t xml:space="preserve">has been lost in </w:t>
      </w:r>
      <w:r w:rsidRPr="00C4295A">
        <w:rPr>
          <w:rFonts w:asciiTheme="majorHAnsi" w:hAnsiTheme="majorHAnsi"/>
          <w:i/>
        </w:rPr>
        <w:t>Drosophila</w:t>
      </w:r>
      <w:r w:rsidRPr="0013327C">
        <w:rPr>
          <w:rFonts w:asciiTheme="majorHAnsi" w:hAnsiTheme="majorHAnsi"/>
        </w:rPr>
        <w:t>.</w:t>
      </w:r>
      <w:r>
        <w:rPr>
          <w:rFonts w:asciiTheme="majorHAnsi" w:hAnsiTheme="majorHAnsi"/>
        </w:rPr>
        <w:t xml:space="preserve"> This may be supported by the apparent absence of proteins with PTS2 import motifs. </w:t>
      </w:r>
      <w:r w:rsidRPr="0013327C">
        <w:rPr>
          <w:rFonts w:asciiTheme="majorHAnsi" w:hAnsiTheme="majorHAnsi"/>
        </w:rPr>
        <w:t xml:space="preserve"> After docking with the peroxisomal docking proteins it is thought that the PTS1 cargo </w:t>
      </w:r>
      <w:r w:rsidRPr="0013327C">
        <w:rPr>
          <w:rFonts w:asciiTheme="majorHAnsi" w:hAnsiTheme="majorHAnsi"/>
        </w:rPr>
        <w:lastRenderedPageBreak/>
        <w:t xml:space="preserve">crosses the peroxisomal membrane still-bound to </w:t>
      </w:r>
      <w:r w:rsidRPr="000C26B2">
        <w:rPr>
          <w:rFonts w:asciiTheme="majorHAnsi" w:hAnsiTheme="majorHAnsi"/>
          <w:i/>
        </w:rPr>
        <w:t>PEX</w:t>
      </w:r>
      <w:r w:rsidRPr="0013327C">
        <w:rPr>
          <w:rFonts w:asciiTheme="majorHAnsi" w:hAnsiTheme="majorHAnsi"/>
        </w:rPr>
        <w:t xml:space="preserve">5 as it has been observed that a small fraction of </w:t>
      </w:r>
      <w:r w:rsidRPr="000C26B2">
        <w:rPr>
          <w:rFonts w:asciiTheme="majorHAnsi" w:hAnsiTheme="majorHAnsi"/>
          <w:i/>
        </w:rPr>
        <w:t>PEX</w:t>
      </w:r>
      <w:r w:rsidRPr="0013327C">
        <w:rPr>
          <w:rFonts w:asciiTheme="majorHAnsi" w:hAnsiTheme="majorHAnsi"/>
        </w:rPr>
        <w:t xml:space="preserve">5 proteins is found within the peroxisomal lumen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"Erdmann", "given" : "Ralf", "non-dropping-particle" : "", "parse-names" : false, "suffix" : "" }, { "dropping-particle" : "", "family" : "Schliebs", "given" : "Wolfgang", "non-dropping-particle" : "", "parse-names" : false, "suffix" : "" } ], "container-title" : "Nature Reviews Molecular Cell Biology Biology", "id" : "ITEM-1", "issue" : "September", "issued" : { "date-parts" : [ [ "2005" ] ] }, "page" : "738-742", "title" : "Peroxisomal matrix protein import: the transient pore model", "type" : "article-journal", "volume" : "6" }, "uris" : [ "http://www.mendeley.com/documents/?uuid=95e86d15-4de9-44eb-a07a-abda02847b11" ] } ], "mendeley" : { "previouslyFormattedCitation" : "(Erdmann &amp; Schliebs 2005)"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(Erdmann &amp; Schliebs 2005)</w:t>
      </w:r>
      <w:r w:rsidR="009A1FEC" w:rsidRPr="0013327C">
        <w:rPr>
          <w:rFonts w:asciiTheme="majorHAnsi" w:hAnsiTheme="majorHAnsi"/>
        </w:rPr>
        <w:fldChar w:fldCharType="end"/>
      </w:r>
      <w:r w:rsidRPr="0013327C">
        <w:rPr>
          <w:rFonts w:asciiTheme="majorHAnsi" w:hAnsiTheme="majorHAnsi"/>
        </w:rPr>
        <w:t xml:space="preserve">. The hypothesis remains that the PTS1 cargo is released subsequently from this transgression before the </w:t>
      </w:r>
      <w:r w:rsidRPr="000C26B2">
        <w:rPr>
          <w:rFonts w:asciiTheme="majorHAnsi" w:hAnsiTheme="majorHAnsi"/>
          <w:i/>
        </w:rPr>
        <w:t>PEX</w:t>
      </w:r>
      <w:r w:rsidRPr="0013327C">
        <w:rPr>
          <w:rFonts w:asciiTheme="majorHAnsi" w:hAnsiTheme="majorHAnsi"/>
        </w:rPr>
        <w:t xml:space="preserve">5 protein is returned to the cytosol minus its cargo for continued PTS1 interaction, thus a </w:t>
      </w:r>
      <w:r w:rsidRPr="000C26B2">
        <w:rPr>
          <w:rFonts w:asciiTheme="majorHAnsi" w:hAnsiTheme="majorHAnsi"/>
          <w:i/>
        </w:rPr>
        <w:t>PEX</w:t>
      </w:r>
      <w:r w:rsidRPr="0013327C">
        <w:rPr>
          <w:rFonts w:asciiTheme="majorHAnsi" w:hAnsiTheme="majorHAnsi"/>
        </w:rPr>
        <w:t xml:space="preserve">5 protein cycle is thought to exist (reviewed by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"10.1016/j.biocel.2010.07.004", "ISBN" : "0000013919", "abstract" : "Peroxins are proteins that regulate the biogenesis of peroxisomes-small vesicular subcellular organelles essential for human life and health. A key peroxin - to date the best studied - is peroxin 5. Structurally, peroxin 5 is a bi-domain protein of about 70 kDa containing both globular and non-globular segments and displaying conformational flexibility. Functionally, it is a cycling receptor for importing essential enzymes into the peroxisome lumen, facilitated by highly promiscuous interactions with numerous proteins and possibly lipids. Peroxin 5 has medical significance in that (i) congenital defects can lead to fatal peroxisome biogenesis disorders, (ii) inefficient peroxisome targeting is linked to disease and aging and (iii) differences between human peroxin 5 and homologues in pathogens may be exploited in the development of therapeutics.", "author" : [ { "dropping-particle" : "", "family" : "Williams", "given" : "Chris P", "non-dropping-particle" : "", "parse-names" : false, "suffix" : "" }, { "dropping-particle" : "", "family" : "Stanley", "given" : "Will a", "non-dropping-particle" : "", "parse-names" : false, "suffix" : "" } ], "container-title" : "The international journal of biochemistry &amp; cell biology", "id" : "ITEM-1", "issue" : "11", "issued" : { "date-parts" : [ [ "2010", "11" ] ] }, "page" : "1771-4", "publisher" : "Elsevier Ltd", "title" : "Peroxin 5: a cycling receptor for protein translocation into peroxisomes.", "type" : "article-journal", "volume" : "42" }, "uris" : [ "http://www.mendeley.com/documents/?uuid=26efa447-0ed9-44fd-9aea-91fbc1cb88be" ] } ], "mendeley" : { "manualFormatting" : "Williams &amp; Stanley, 2010)", "previouslyFormattedCitation" : "(Williams &amp; Stanley 2010)"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Williams &amp; Stanley, 2010)</w:t>
      </w:r>
      <w:r w:rsidR="009A1FEC" w:rsidRPr="0013327C">
        <w:rPr>
          <w:rFonts w:asciiTheme="majorHAnsi" w:hAnsiTheme="majorHAnsi"/>
        </w:rPr>
        <w:fldChar w:fldCharType="end"/>
      </w:r>
      <w:r w:rsidRPr="0013327C">
        <w:rPr>
          <w:rFonts w:asciiTheme="majorHAnsi" w:hAnsiTheme="majorHAnsi"/>
        </w:rPr>
        <w:t>.</w:t>
      </w:r>
    </w:p>
    <w:p w:rsidR="00FD54DA" w:rsidRPr="0013327C" w:rsidRDefault="00FD54DA" w:rsidP="00FD54DA">
      <w:pPr>
        <w:jc w:val="both"/>
        <w:rPr>
          <w:rFonts w:asciiTheme="majorHAnsi" w:hAnsiTheme="majorHAnsi"/>
        </w:rPr>
      </w:pPr>
      <w:r w:rsidRPr="0013327C">
        <w:rPr>
          <w:rFonts w:asciiTheme="majorHAnsi" w:hAnsiTheme="majorHAnsi"/>
        </w:rPr>
        <w:t>As previously mentioned</w:t>
      </w:r>
      <w:r>
        <w:rPr>
          <w:rFonts w:asciiTheme="majorHAnsi" w:hAnsiTheme="majorHAnsi"/>
        </w:rPr>
        <w:t xml:space="preserve"> </w:t>
      </w:r>
      <w:r w:rsidRPr="0013327C">
        <w:rPr>
          <w:rFonts w:asciiTheme="majorHAnsi" w:hAnsiTheme="majorHAnsi"/>
        </w:rPr>
        <w:t>“docking machinery” exists to facilitate the reception and translocation of the PTS1-</w:t>
      </w:r>
      <w:r w:rsidRPr="000C26B2">
        <w:rPr>
          <w:rFonts w:asciiTheme="majorHAnsi" w:hAnsiTheme="majorHAnsi"/>
          <w:i/>
        </w:rPr>
        <w:t>PEX</w:t>
      </w:r>
      <w:r w:rsidRPr="0013327C">
        <w:rPr>
          <w:rFonts w:asciiTheme="majorHAnsi" w:hAnsiTheme="majorHAnsi"/>
        </w:rPr>
        <w:t xml:space="preserve">5 complex. </w:t>
      </w:r>
      <w:r w:rsidRPr="000C26B2">
        <w:rPr>
          <w:rFonts w:asciiTheme="majorHAnsi" w:hAnsiTheme="majorHAnsi"/>
          <w:i/>
        </w:rPr>
        <w:t>PEX</w:t>
      </w:r>
      <w:r w:rsidRPr="0013327C">
        <w:rPr>
          <w:rFonts w:asciiTheme="majorHAnsi" w:hAnsiTheme="majorHAnsi"/>
        </w:rPr>
        <w:t xml:space="preserve">13, </w:t>
      </w:r>
      <w:r w:rsidRPr="000C26B2">
        <w:rPr>
          <w:rFonts w:asciiTheme="majorHAnsi" w:hAnsiTheme="majorHAnsi"/>
          <w:i/>
        </w:rPr>
        <w:t>PEX</w:t>
      </w:r>
      <w:r w:rsidRPr="0013327C">
        <w:rPr>
          <w:rFonts w:asciiTheme="majorHAnsi" w:hAnsiTheme="majorHAnsi"/>
        </w:rPr>
        <w:t xml:space="preserve">14 and </w:t>
      </w:r>
      <w:r w:rsidRPr="000C26B2">
        <w:rPr>
          <w:rFonts w:asciiTheme="majorHAnsi" w:hAnsiTheme="majorHAnsi"/>
          <w:i/>
        </w:rPr>
        <w:t>PEX</w:t>
      </w:r>
      <w:r w:rsidRPr="0013327C">
        <w:rPr>
          <w:rFonts w:asciiTheme="majorHAnsi" w:hAnsiTheme="majorHAnsi"/>
        </w:rPr>
        <w:t xml:space="preserve">17 are peroxisomal membrane proteins that together comprise this machinery. </w:t>
      </w:r>
      <w:r w:rsidRPr="000C26B2">
        <w:rPr>
          <w:rFonts w:asciiTheme="majorHAnsi" w:hAnsiTheme="majorHAnsi"/>
          <w:i/>
        </w:rPr>
        <w:t>PEX</w:t>
      </w:r>
      <w:r w:rsidRPr="0013327C">
        <w:rPr>
          <w:rFonts w:asciiTheme="majorHAnsi" w:hAnsiTheme="majorHAnsi"/>
        </w:rPr>
        <w:t xml:space="preserve">14 is a peripheral membrane protein which interacts with </w:t>
      </w:r>
      <w:r w:rsidRPr="000C26B2">
        <w:rPr>
          <w:rFonts w:asciiTheme="majorHAnsi" w:hAnsiTheme="majorHAnsi"/>
          <w:i/>
        </w:rPr>
        <w:t>PEX</w:t>
      </w:r>
      <w:r w:rsidRPr="0013327C">
        <w:rPr>
          <w:rFonts w:asciiTheme="majorHAnsi" w:hAnsiTheme="majorHAnsi"/>
        </w:rPr>
        <w:t xml:space="preserve">5 and </w:t>
      </w:r>
      <w:r w:rsidRPr="000C26B2">
        <w:rPr>
          <w:rFonts w:asciiTheme="majorHAnsi" w:hAnsiTheme="majorHAnsi"/>
          <w:i/>
        </w:rPr>
        <w:t>PEX</w:t>
      </w:r>
      <w:r w:rsidRPr="0013327C">
        <w:rPr>
          <w:rFonts w:asciiTheme="majorHAnsi" w:hAnsiTheme="majorHAnsi"/>
        </w:rPr>
        <w:t xml:space="preserve">7 as a receptor for translocation of matrix proteins. It also shares a binding site with </w:t>
      </w:r>
      <w:r w:rsidRPr="000C26B2">
        <w:rPr>
          <w:rFonts w:asciiTheme="majorHAnsi" w:hAnsiTheme="majorHAnsi"/>
          <w:i/>
        </w:rPr>
        <w:t>PEX</w:t>
      </w:r>
      <w:r w:rsidRPr="0013327C">
        <w:rPr>
          <w:rFonts w:asciiTheme="majorHAnsi" w:hAnsiTheme="majorHAnsi"/>
        </w:rPr>
        <w:t xml:space="preserve">13, an integral peroxisomal membrane protein whose C-terminal region contains a Src-homology 3 (SH3) domain that projects into the cytosol. This SH3 domain interacts with both </w:t>
      </w:r>
      <w:r w:rsidRPr="000C26B2">
        <w:rPr>
          <w:rFonts w:asciiTheme="majorHAnsi" w:hAnsiTheme="majorHAnsi"/>
          <w:i/>
        </w:rPr>
        <w:t>PEX</w:t>
      </w:r>
      <w:r w:rsidRPr="0013327C">
        <w:rPr>
          <w:rFonts w:asciiTheme="majorHAnsi" w:hAnsiTheme="majorHAnsi"/>
        </w:rPr>
        <w:t xml:space="preserve">5 and </w:t>
      </w:r>
      <w:r w:rsidRPr="000C26B2">
        <w:rPr>
          <w:rFonts w:asciiTheme="majorHAnsi" w:hAnsiTheme="majorHAnsi"/>
          <w:i/>
        </w:rPr>
        <w:t>PEX</w:t>
      </w:r>
      <w:r w:rsidRPr="0013327C">
        <w:rPr>
          <w:rFonts w:asciiTheme="majorHAnsi" w:hAnsiTheme="majorHAnsi"/>
        </w:rPr>
        <w:t xml:space="preserve">14 directly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"Schliebs", "given" : "Wolfgang", "non-dropping-particle" : "", "parse-names" : false, "suffix" : "" }, { "dropping-particle" : "", "family" : "Agianian", "given" : "Bogos", "non-dropping-particle" : "", "parse-names" : false, "suffix" : "" }, { "dropping-particle" : "", "family" : "Dodt", "given" : "Gabriele", "non-dropping-particle" : "", "parse-names" : false, "suffix" : "" }, { "dropping-particle" : "", "family" : "Herberg", "given" : "Friedrich W", "non-dropping-particle" : "", "parse-names" : false, "suffix" : "" }, { "dropping-particle" : "", "family" : "Kunau", "given" : "Wolf-h", "non-dropping-particle" : "", "parse-names" : false, "suffix" : "" } ], "container-title" : "journal of biological chemistry", "id" : "ITEM-1", "issue" : "9", "issued" : { "date-parts" : [ [ "1999" ] ] }, "page" : "5666-5673", "title" : "Recombinant Human Peroxisomal Targeting Signal Receptor PEX5", "type" : "article-journal", "volume" : "274" }, "uris" : [ "http://www.mendeley.com/documents/?uuid=6175d6f6-9c1f-4d80-af1f-526bc8457108" ] } ], "mendeley" : { "previouslyFormattedCitation" : "(Schliebs et al. 1999)"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(Schliebs </w:t>
      </w:r>
      <w:r w:rsidR="00466108" w:rsidRPr="00466108">
        <w:rPr>
          <w:rFonts w:asciiTheme="majorHAnsi" w:hAnsiTheme="majorHAnsi"/>
          <w:i/>
          <w:noProof/>
        </w:rPr>
        <w:t>et al</w:t>
      </w:r>
      <w:r w:rsidRPr="0013327C">
        <w:rPr>
          <w:rFonts w:asciiTheme="majorHAnsi" w:hAnsiTheme="majorHAnsi"/>
          <w:noProof/>
        </w:rPr>
        <w:t>. 1999)</w:t>
      </w:r>
      <w:r w:rsidR="009A1FEC" w:rsidRPr="0013327C">
        <w:rPr>
          <w:rFonts w:asciiTheme="majorHAnsi" w:hAnsiTheme="majorHAnsi"/>
        </w:rPr>
        <w:fldChar w:fldCharType="end"/>
      </w:r>
      <w:r w:rsidRPr="0013327C">
        <w:rPr>
          <w:rFonts w:asciiTheme="majorHAnsi" w:hAnsiTheme="majorHAnsi"/>
        </w:rPr>
        <w:t xml:space="preserve">. The N-terminal region, also in the cytosol, reacts with </w:t>
      </w:r>
      <w:r w:rsidRPr="000C26B2">
        <w:rPr>
          <w:rFonts w:asciiTheme="majorHAnsi" w:hAnsiTheme="majorHAnsi"/>
          <w:i/>
        </w:rPr>
        <w:t>PEX</w:t>
      </w:r>
      <w:r w:rsidRPr="0013327C">
        <w:rPr>
          <w:rFonts w:asciiTheme="majorHAnsi" w:hAnsiTheme="majorHAnsi"/>
        </w:rPr>
        <w:t xml:space="preserve">7. </w:t>
      </w:r>
      <w:r>
        <w:rPr>
          <w:rFonts w:asciiTheme="majorHAnsi" w:hAnsiTheme="majorHAnsi"/>
        </w:rPr>
        <w:t xml:space="preserve">Yeasts and </w:t>
      </w:r>
      <w:r w:rsidRPr="003F75B9">
        <w:rPr>
          <w:rFonts w:asciiTheme="majorHAnsi" w:hAnsiTheme="majorHAnsi"/>
          <w:i/>
        </w:rPr>
        <w:t>A. thaliana</w:t>
      </w:r>
      <w:r>
        <w:rPr>
          <w:rFonts w:asciiTheme="majorHAnsi" w:hAnsiTheme="majorHAnsi"/>
        </w:rPr>
        <w:t xml:space="preserve"> contain </w:t>
      </w:r>
      <w:r w:rsidRPr="003F75B9">
        <w:rPr>
          <w:rFonts w:asciiTheme="majorHAnsi" w:hAnsiTheme="majorHAnsi"/>
          <w:i/>
        </w:rPr>
        <w:t>PEX</w:t>
      </w:r>
      <w:r>
        <w:rPr>
          <w:rFonts w:asciiTheme="majorHAnsi" w:hAnsiTheme="majorHAnsi"/>
        </w:rPr>
        <w:t xml:space="preserve">17. In </w:t>
      </w:r>
      <w:r w:rsidRPr="00E718FD">
        <w:rPr>
          <w:rFonts w:asciiTheme="majorHAnsi" w:hAnsiTheme="majorHAnsi"/>
          <w:i/>
        </w:rPr>
        <w:t>S. cerevisiae</w:t>
      </w:r>
      <w:r>
        <w:rPr>
          <w:rFonts w:asciiTheme="majorHAnsi" w:hAnsiTheme="majorHAnsi"/>
        </w:rPr>
        <w:t xml:space="preserve"> </w:t>
      </w:r>
      <w:r w:rsidRPr="000C26B2">
        <w:rPr>
          <w:rFonts w:asciiTheme="majorHAnsi" w:hAnsiTheme="majorHAnsi"/>
          <w:i/>
        </w:rPr>
        <w:t>PEX</w:t>
      </w:r>
      <w:r w:rsidRPr="0013327C">
        <w:rPr>
          <w:rFonts w:asciiTheme="majorHAnsi" w:hAnsiTheme="majorHAnsi"/>
        </w:rPr>
        <w:t xml:space="preserve">17 does not appear to directly react with either </w:t>
      </w:r>
      <w:r w:rsidRPr="000C26B2">
        <w:rPr>
          <w:rFonts w:asciiTheme="majorHAnsi" w:hAnsiTheme="majorHAnsi"/>
          <w:i/>
        </w:rPr>
        <w:t>PEX</w:t>
      </w:r>
      <w:r w:rsidRPr="0013327C">
        <w:rPr>
          <w:rFonts w:asciiTheme="majorHAnsi" w:hAnsiTheme="majorHAnsi"/>
        </w:rPr>
        <w:t xml:space="preserve">5 or </w:t>
      </w:r>
      <w:r w:rsidRPr="000C26B2">
        <w:rPr>
          <w:rFonts w:asciiTheme="majorHAnsi" w:hAnsiTheme="majorHAnsi"/>
          <w:i/>
        </w:rPr>
        <w:t>PEX</w:t>
      </w:r>
      <w:r w:rsidRPr="0013327C">
        <w:rPr>
          <w:rFonts w:asciiTheme="majorHAnsi" w:hAnsiTheme="majorHAnsi"/>
        </w:rPr>
        <w:t xml:space="preserve">7 but has been shown to interact with </w:t>
      </w:r>
      <w:r w:rsidRPr="000C26B2">
        <w:rPr>
          <w:rFonts w:asciiTheme="majorHAnsi" w:hAnsiTheme="majorHAnsi"/>
          <w:i/>
        </w:rPr>
        <w:t>PEX</w:t>
      </w:r>
      <w:r w:rsidRPr="0013327C">
        <w:rPr>
          <w:rFonts w:asciiTheme="majorHAnsi" w:hAnsiTheme="majorHAnsi"/>
        </w:rPr>
        <w:t xml:space="preserve">14 in the peroxisomal membrane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"Huhse", "given" : "Bettina", "non-dropping-particle" : "", "parse-names" : false, "suffix" : "" }, { "dropping-particle" : "", "family" : "Rehling", "given" : "Peter", "non-dropping-particle" : "", "parse-names" : false, "suffix" : "" }, { "dropping-particle" : "", "family" : "Albertini", "given" : "Markus", "non-dropping-particle" : "", "parse-names" : false, "suffix" : "" }, { "dropping-particle" : "", "family" : "Blank", "given" : "Lars", "non-dropping-particle" : "", "parse-names" : false, "suffix" : "" }, { "dropping-particle" : "", "family" : "Meller", "given" : "Karl", "non-dropping-particle" : "", "parse-names" : false, "suffix" : "" }, { "dropping-particle" : "", "family" : "Kunau", "given" : "Wolf-h", "non-dropping-particle" : "", "parse-names" : false, "suffix" : "" } ], "container-title" : "Journal of Cell Biology", "id" : "ITEM-1", "issue" : "1", "issued" : { "date-parts" : [ [ "1998" ] ] }, "page" : "49-60", "title" : "Pex17p of Saccharomyces cerevisiae Is a Novel Peroxin and Component of the Peroxisomal Protein Translocation Machinery", "type" : "article-journal", "volume" : "140" }, "uris" : [ "http://www.mendeley.com/documents/?uuid=f60ad177-01b8-4080-979b-e6365f1d5bad" ] } ], "mendeley" : { "previouslyFormattedCitation" : "(Huhse et al. 1998)"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(Huhse </w:t>
      </w:r>
      <w:r w:rsidR="00466108" w:rsidRPr="00466108">
        <w:rPr>
          <w:rFonts w:asciiTheme="majorHAnsi" w:hAnsiTheme="majorHAnsi"/>
          <w:i/>
          <w:noProof/>
        </w:rPr>
        <w:t>et al</w:t>
      </w:r>
      <w:r w:rsidRPr="0013327C">
        <w:rPr>
          <w:rFonts w:asciiTheme="majorHAnsi" w:hAnsiTheme="majorHAnsi"/>
          <w:noProof/>
        </w:rPr>
        <w:t>. 1998)</w:t>
      </w:r>
      <w:r w:rsidR="009A1FEC" w:rsidRPr="0013327C">
        <w:rPr>
          <w:rFonts w:asciiTheme="majorHAnsi" w:hAnsiTheme="majorHAnsi"/>
        </w:rPr>
        <w:fldChar w:fldCharType="end"/>
      </w:r>
      <w:r>
        <w:rPr>
          <w:rFonts w:asciiTheme="majorHAnsi" w:hAnsiTheme="majorHAnsi"/>
        </w:rPr>
        <w:t xml:space="preserve"> and is crucial for PTS1- and PTS2-mediated import</w:t>
      </w:r>
      <w:r w:rsidRPr="0013327C">
        <w:rPr>
          <w:rFonts w:asciiTheme="majorHAnsi" w:hAnsiTheme="majorHAnsi"/>
        </w:rPr>
        <w:t xml:space="preserve">.  Both </w:t>
      </w:r>
      <w:r w:rsidRPr="000C26B2">
        <w:rPr>
          <w:rFonts w:asciiTheme="majorHAnsi" w:hAnsiTheme="majorHAnsi"/>
          <w:i/>
        </w:rPr>
        <w:t>PEX</w:t>
      </w:r>
      <w:r w:rsidRPr="0013327C">
        <w:rPr>
          <w:rFonts w:asciiTheme="majorHAnsi" w:hAnsiTheme="majorHAnsi"/>
        </w:rPr>
        <w:t xml:space="preserve">13 and </w:t>
      </w:r>
      <w:r w:rsidRPr="000C26B2">
        <w:rPr>
          <w:rFonts w:asciiTheme="majorHAnsi" w:hAnsiTheme="majorHAnsi"/>
          <w:i/>
        </w:rPr>
        <w:t>PEX</w:t>
      </w:r>
      <w:r w:rsidRPr="0013327C">
        <w:rPr>
          <w:rFonts w:asciiTheme="majorHAnsi" w:hAnsiTheme="majorHAnsi"/>
        </w:rPr>
        <w:t xml:space="preserve">14 appear to be the main receptors for mediating </w:t>
      </w:r>
      <w:r w:rsidRPr="000C26B2">
        <w:rPr>
          <w:rFonts w:asciiTheme="majorHAnsi" w:hAnsiTheme="majorHAnsi"/>
          <w:i/>
        </w:rPr>
        <w:t>PEX</w:t>
      </w:r>
      <w:r w:rsidRPr="0013327C">
        <w:rPr>
          <w:rFonts w:asciiTheme="majorHAnsi" w:hAnsiTheme="majorHAnsi"/>
        </w:rPr>
        <w:t xml:space="preserve">5 and </w:t>
      </w:r>
      <w:r w:rsidRPr="000C26B2">
        <w:rPr>
          <w:rFonts w:asciiTheme="majorHAnsi" w:hAnsiTheme="majorHAnsi"/>
          <w:i/>
        </w:rPr>
        <w:t>PEX</w:t>
      </w:r>
      <w:r w:rsidRPr="0013327C">
        <w:rPr>
          <w:rFonts w:asciiTheme="majorHAnsi" w:hAnsiTheme="majorHAnsi"/>
        </w:rPr>
        <w:t xml:space="preserve">7 targeted matrix protein transport.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"10.1128/MCB.22.6.1639", "author" : [ { "dropping-particle" : "", "family" : "Otera", "given" : "Hidenori", "non-dropping-particle" : "", "parse-names" : false, "suffix" : "" }, { "dropping-particle" : "", "family" : "Setoguchi", "given" : "Kiyoko", "non-dropping-particle" : "", "parse-names" : false, "suffix" : "" }, { "dropping-particle" : "", "family" : "Hamasaki", "given" : "Maho", "non-dropping-particle" : "", "parse-names" : false, "suffix" : "" }, { "dropping-particle" : "", "family" : "Kumashiro", "given" : "Toshitaka", "non-dropping-particle" : "", "parse-names" : false, "suffix" : "" }, { "dropping-particle" : "", "family" : "Shimizu", "given" : "Nobuhiro", "non-dropping-particle" : "", "parse-names" : false, "suffix" : "" } ], "container-title" : "Molecular and cellular biology", "id" : "ITEM-1", "issue" : "6", "issued" : { "date-parts" : [ [ "2002" ] ] }, "page" : "1639-1655", "title" : "Peroxisomal Targeting Signal Receptor Pex5p Interacts with Cargoes and Import Machinery Components in a Spatiotemporally Differentiated Manner : Conserved Pex5p WXXXF / Y Motifs Are Critical for Matrix Protein Import", "type" : "article-journal", "volume" : "22" }, "uris" : [ "http://www.mendeley.com/documents/?uuid=568a41e6-5c40-421a-bd90-63fdb192b75b" ] } ], "mendeley" : { "manualFormatting" : "Otera et al. (2002)", "previouslyFormattedCitation" : "(Otera et al. 2002)"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Otera </w:t>
      </w:r>
      <w:r w:rsidR="00466108" w:rsidRPr="00466108">
        <w:rPr>
          <w:rFonts w:asciiTheme="majorHAnsi" w:hAnsiTheme="majorHAnsi"/>
          <w:i/>
          <w:noProof/>
        </w:rPr>
        <w:t>et al</w:t>
      </w:r>
      <w:r w:rsidRPr="0013327C">
        <w:rPr>
          <w:rFonts w:asciiTheme="majorHAnsi" w:hAnsiTheme="majorHAnsi"/>
          <w:noProof/>
        </w:rPr>
        <w:t>. (2002)</w:t>
      </w:r>
      <w:r w:rsidR="009A1FEC" w:rsidRPr="0013327C">
        <w:rPr>
          <w:rFonts w:asciiTheme="majorHAnsi" w:hAnsiTheme="majorHAnsi"/>
        </w:rPr>
        <w:fldChar w:fldCharType="end"/>
      </w:r>
      <w:r w:rsidRPr="0013327C">
        <w:rPr>
          <w:rFonts w:asciiTheme="majorHAnsi" w:hAnsiTheme="majorHAnsi"/>
        </w:rPr>
        <w:t xml:space="preserve"> suggest that not only does </w:t>
      </w:r>
      <w:r w:rsidRPr="000C26B2">
        <w:rPr>
          <w:rFonts w:asciiTheme="majorHAnsi" w:hAnsiTheme="majorHAnsi"/>
          <w:i/>
        </w:rPr>
        <w:t>PEX</w:t>
      </w:r>
      <w:r w:rsidRPr="0013327C">
        <w:rPr>
          <w:rFonts w:asciiTheme="majorHAnsi" w:hAnsiTheme="majorHAnsi"/>
        </w:rPr>
        <w:t xml:space="preserve">14 bind with </w:t>
      </w:r>
      <w:r w:rsidRPr="000C26B2">
        <w:rPr>
          <w:rFonts w:asciiTheme="majorHAnsi" w:hAnsiTheme="majorHAnsi"/>
          <w:i/>
        </w:rPr>
        <w:t>PEX</w:t>
      </w:r>
      <w:r w:rsidRPr="0013327C">
        <w:rPr>
          <w:rFonts w:asciiTheme="majorHAnsi" w:hAnsiTheme="majorHAnsi"/>
        </w:rPr>
        <w:t xml:space="preserve">5 before </w:t>
      </w:r>
      <w:r w:rsidRPr="000C26B2">
        <w:rPr>
          <w:rFonts w:asciiTheme="majorHAnsi" w:hAnsiTheme="majorHAnsi"/>
          <w:i/>
        </w:rPr>
        <w:t>PEX</w:t>
      </w:r>
      <w:r w:rsidRPr="0013327C">
        <w:rPr>
          <w:rFonts w:asciiTheme="majorHAnsi" w:hAnsiTheme="majorHAnsi"/>
        </w:rPr>
        <w:t xml:space="preserve">13 but that it occurs when </w:t>
      </w:r>
      <w:r w:rsidRPr="000C26B2">
        <w:rPr>
          <w:rFonts w:asciiTheme="majorHAnsi" w:hAnsiTheme="majorHAnsi"/>
          <w:i/>
        </w:rPr>
        <w:t>PEX</w:t>
      </w:r>
      <w:r w:rsidRPr="0013327C">
        <w:rPr>
          <w:rFonts w:asciiTheme="majorHAnsi" w:hAnsiTheme="majorHAnsi"/>
        </w:rPr>
        <w:t xml:space="preserve">5 is bound to a PTS1 motif and that </w:t>
      </w:r>
      <w:r w:rsidRPr="000C26B2">
        <w:rPr>
          <w:rFonts w:asciiTheme="majorHAnsi" w:hAnsiTheme="majorHAnsi"/>
          <w:i/>
        </w:rPr>
        <w:t>PEX</w:t>
      </w:r>
      <w:r w:rsidRPr="0013327C">
        <w:rPr>
          <w:rFonts w:asciiTheme="majorHAnsi" w:hAnsiTheme="majorHAnsi"/>
        </w:rPr>
        <w:t xml:space="preserve">13 has shown interactions with </w:t>
      </w:r>
      <w:r w:rsidRPr="000C26B2">
        <w:rPr>
          <w:rFonts w:asciiTheme="majorHAnsi" w:hAnsiTheme="majorHAnsi"/>
          <w:i/>
        </w:rPr>
        <w:t>PEX</w:t>
      </w:r>
      <w:r w:rsidRPr="0013327C">
        <w:rPr>
          <w:rFonts w:asciiTheme="majorHAnsi" w:hAnsiTheme="majorHAnsi"/>
        </w:rPr>
        <w:t xml:space="preserve">5 unloaded. The binding of </w:t>
      </w:r>
      <w:r w:rsidRPr="000C26B2">
        <w:rPr>
          <w:rFonts w:asciiTheme="majorHAnsi" w:hAnsiTheme="majorHAnsi"/>
          <w:i/>
        </w:rPr>
        <w:t>PEX</w:t>
      </w:r>
      <w:r w:rsidRPr="0013327C">
        <w:rPr>
          <w:rFonts w:asciiTheme="majorHAnsi" w:hAnsiTheme="majorHAnsi"/>
        </w:rPr>
        <w:t xml:space="preserve">5 seems to occur through a 25 residue α-helical domain which interacts directly with the SH3 domain on </w:t>
      </w:r>
      <w:r w:rsidRPr="000C26B2">
        <w:rPr>
          <w:rFonts w:asciiTheme="majorHAnsi" w:hAnsiTheme="majorHAnsi"/>
          <w:i/>
        </w:rPr>
        <w:t>PEX</w:t>
      </w:r>
      <w:r w:rsidRPr="0013327C">
        <w:rPr>
          <w:rFonts w:asciiTheme="majorHAnsi" w:hAnsiTheme="majorHAnsi"/>
        </w:rPr>
        <w:t xml:space="preserve">13. Yet the interaction with </w:t>
      </w:r>
      <w:r w:rsidRPr="000C26B2">
        <w:rPr>
          <w:rFonts w:asciiTheme="majorHAnsi" w:hAnsiTheme="majorHAnsi"/>
          <w:i/>
        </w:rPr>
        <w:t>PEX</w:t>
      </w:r>
      <w:r w:rsidRPr="0013327C">
        <w:rPr>
          <w:rFonts w:asciiTheme="majorHAnsi" w:hAnsiTheme="majorHAnsi"/>
        </w:rPr>
        <w:t>14 may well work upstream of this as by over</w:t>
      </w:r>
      <w:r>
        <w:rPr>
          <w:rFonts w:asciiTheme="majorHAnsi" w:hAnsiTheme="majorHAnsi"/>
        </w:rPr>
        <w:t>-</w:t>
      </w:r>
      <w:r w:rsidRPr="0013327C">
        <w:rPr>
          <w:rFonts w:asciiTheme="majorHAnsi" w:hAnsiTheme="majorHAnsi"/>
        </w:rPr>
        <w:t xml:space="preserve">expressing </w:t>
      </w:r>
      <w:r w:rsidRPr="000C26B2">
        <w:rPr>
          <w:rFonts w:asciiTheme="majorHAnsi" w:hAnsiTheme="majorHAnsi"/>
          <w:i/>
        </w:rPr>
        <w:t>PEX</w:t>
      </w:r>
      <w:r w:rsidRPr="0013327C">
        <w:rPr>
          <w:rFonts w:asciiTheme="majorHAnsi" w:hAnsiTheme="majorHAnsi"/>
        </w:rPr>
        <w:t xml:space="preserve">14 causes a build-up of </w:t>
      </w:r>
      <w:r w:rsidRPr="000C26B2">
        <w:rPr>
          <w:rFonts w:asciiTheme="majorHAnsi" w:hAnsiTheme="majorHAnsi"/>
          <w:i/>
        </w:rPr>
        <w:t>PEX</w:t>
      </w:r>
      <w:r w:rsidRPr="0013327C">
        <w:rPr>
          <w:rFonts w:asciiTheme="majorHAnsi" w:hAnsiTheme="majorHAnsi"/>
        </w:rPr>
        <w:t xml:space="preserve">5 in mammalian peroxisomes; something which does not occur by over-expression of </w:t>
      </w:r>
      <w:r w:rsidRPr="000C26B2">
        <w:rPr>
          <w:rFonts w:asciiTheme="majorHAnsi" w:hAnsiTheme="majorHAnsi"/>
          <w:i/>
        </w:rPr>
        <w:t>PEX</w:t>
      </w:r>
      <w:r w:rsidRPr="0013327C">
        <w:rPr>
          <w:rFonts w:asciiTheme="majorHAnsi" w:hAnsiTheme="majorHAnsi"/>
        </w:rPr>
        <w:t xml:space="preserve">13, </w:t>
      </w:r>
      <w:r w:rsidRPr="000C26B2">
        <w:rPr>
          <w:rFonts w:asciiTheme="majorHAnsi" w:hAnsiTheme="majorHAnsi"/>
          <w:i/>
        </w:rPr>
        <w:t>PEX</w:t>
      </w:r>
      <w:r w:rsidRPr="0013327C">
        <w:rPr>
          <w:rFonts w:asciiTheme="majorHAnsi" w:hAnsiTheme="majorHAnsi"/>
        </w:rPr>
        <w:t xml:space="preserve">10 or </w:t>
      </w:r>
      <w:r w:rsidRPr="000C26B2">
        <w:rPr>
          <w:rFonts w:asciiTheme="majorHAnsi" w:hAnsiTheme="majorHAnsi"/>
          <w:i/>
        </w:rPr>
        <w:t>PEX</w:t>
      </w:r>
      <w:r w:rsidRPr="0013327C">
        <w:rPr>
          <w:rFonts w:asciiTheme="majorHAnsi" w:hAnsiTheme="majorHAnsi"/>
        </w:rPr>
        <w:t xml:space="preserve">12. There is currently no known homologue of </w:t>
      </w:r>
      <w:r w:rsidRPr="000C26B2">
        <w:rPr>
          <w:rFonts w:asciiTheme="majorHAnsi" w:hAnsiTheme="majorHAnsi"/>
          <w:i/>
        </w:rPr>
        <w:t>PEX</w:t>
      </w:r>
      <w:r w:rsidRPr="0013327C">
        <w:rPr>
          <w:rFonts w:asciiTheme="majorHAnsi" w:hAnsiTheme="majorHAnsi"/>
        </w:rPr>
        <w:t xml:space="preserve">17 in </w:t>
      </w:r>
      <w:r w:rsidRPr="0013327C">
        <w:rPr>
          <w:rFonts w:asciiTheme="majorHAnsi" w:hAnsiTheme="majorHAnsi"/>
          <w:i/>
        </w:rPr>
        <w:t>D. melanogaster</w:t>
      </w:r>
      <w:r w:rsidRPr="0013327C">
        <w:rPr>
          <w:rFonts w:asciiTheme="majorHAnsi" w:hAnsiTheme="majorHAnsi"/>
        </w:rPr>
        <w:t>.</w:t>
      </w:r>
    </w:p>
    <w:p w:rsidR="00FD54DA" w:rsidRPr="0013327C" w:rsidRDefault="00FD54DA" w:rsidP="00FD54DA">
      <w:pPr>
        <w:jc w:val="both"/>
        <w:rPr>
          <w:rFonts w:asciiTheme="majorHAnsi" w:hAnsiTheme="majorHAnsi"/>
        </w:rPr>
      </w:pPr>
      <w:r w:rsidRPr="000C26B2">
        <w:rPr>
          <w:rFonts w:asciiTheme="majorHAnsi" w:hAnsiTheme="majorHAnsi"/>
          <w:i/>
        </w:rPr>
        <w:t>PEX</w:t>
      </w:r>
      <w:r w:rsidRPr="0013327C">
        <w:rPr>
          <w:rFonts w:asciiTheme="majorHAnsi" w:hAnsiTheme="majorHAnsi"/>
        </w:rPr>
        <w:t xml:space="preserve">2, </w:t>
      </w:r>
      <w:r w:rsidRPr="000C26B2">
        <w:rPr>
          <w:rFonts w:asciiTheme="majorHAnsi" w:hAnsiTheme="majorHAnsi"/>
          <w:i/>
        </w:rPr>
        <w:t>PEX</w:t>
      </w:r>
      <w:r w:rsidRPr="0013327C">
        <w:rPr>
          <w:rFonts w:asciiTheme="majorHAnsi" w:hAnsiTheme="majorHAnsi"/>
        </w:rPr>
        <w:t xml:space="preserve">10 and </w:t>
      </w:r>
      <w:r w:rsidRPr="000C26B2">
        <w:rPr>
          <w:rFonts w:asciiTheme="majorHAnsi" w:hAnsiTheme="majorHAnsi"/>
          <w:i/>
        </w:rPr>
        <w:t>PEX</w:t>
      </w:r>
      <w:r w:rsidRPr="0013327C">
        <w:rPr>
          <w:rFonts w:asciiTheme="majorHAnsi" w:hAnsiTheme="majorHAnsi"/>
        </w:rPr>
        <w:t xml:space="preserve">12 are RING-finger peroxins believed to interact with PTS1 after the docking event as the removal of </w:t>
      </w:r>
      <w:r w:rsidRPr="000C26B2">
        <w:rPr>
          <w:rFonts w:asciiTheme="majorHAnsi" w:hAnsiTheme="majorHAnsi"/>
          <w:i/>
        </w:rPr>
        <w:t>PEX</w:t>
      </w:r>
      <w:r w:rsidRPr="0013327C">
        <w:rPr>
          <w:rFonts w:asciiTheme="majorHAnsi" w:hAnsiTheme="majorHAnsi"/>
        </w:rPr>
        <w:t xml:space="preserve">10 and </w:t>
      </w:r>
      <w:r w:rsidRPr="000C26B2">
        <w:rPr>
          <w:rFonts w:asciiTheme="majorHAnsi" w:hAnsiTheme="majorHAnsi"/>
          <w:i/>
        </w:rPr>
        <w:t>PEX</w:t>
      </w:r>
      <w:r w:rsidRPr="0013327C">
        <w:rPr>
          <w:rFonts w:asciiTheme="majorHAnsi" w:hAnsiTheme="majorHAnsi"/>
        </w:rPr>
        <w:t xml:space="preserve">12 is ineffective at diminishing the association of </w:t>
      </w:r>
      <w:r w:rsidRPr="000C26B2">
        <w:rPr>
          <w:rFonts w:asciiTheme="majorHAnsi" w:hAnsiTheme="majorHAnsi"/>
          <w:i/>
        </w:rPr>
        <w:t>PEX</w:t>
      </w:r>
      <w:r w:rsidRPr="0013327C">
        <w:rPr>
          <w:rFonts w:asciiTheme="majorHAnsi" w:hAnsiTheme="majorHAnsi"/>
        </w:rPr>
        <w:t xml:space="preserve">5 with the peroxisomal membrane. </w:t>
      </w:r>
      <w:r w:rsidRPr="000C26B2">
        <w:rPr>
          <w:rFonts w:asciiTheme="majorHAnsi" w:hAnsiTheme="majorHAnsi"/>
          <w:i/>
        </w:rPr>
        <w:t>PEX</w:t>
      </w:r>
      <w:r w:rsidRPr="0013327C">
        <w:rPr>
          <w:rFonts w:asciiTheme="majorHAnsi" w:hAnsiTheme="majorHAnsi"/>
        </w:rPr>
        <w:t xml:space="preserve">12 and </w:t>
      </w:r>
      <w:r w:rsidRPr="000C26B2">
        <w:rPr>
          <w:rFonts w:asciiTheme="majorHAnsi" w:hAnsiTheme="majorHAnsi"/>
          <w:i/>
        </w:rPr>
        <w:t>PEX</w:t>
      </w:r>
      <w:r w:rsidRPr="0013327C">
        <w:rPr>
          <w:rFonts w:asciiTheme="majorHAnsi" w:hAnsiTheme="majorHAnsi"/>
        </w:rPr>
        <w:t xml:space="preserve">10 interact mutually with their zinc RING domains at their C-termini and also with </w:t>
      </w:r>
      <w:r w:rsidRPr="000C26B2">
        <w:rPr>
          <w:rFonts w:asciiTheme="majorHAnsi" w:hAnsiTheme="majorHAnsi"/>
          <w:i/>
        </w:rPr>
        <w:t>PEX</w:t>
      </w:r>
      <w:r w:rsidRPr="0013327C">
        <w:rPr>
          <w:rFonts w:asciiTheme="majorHAnsi" w:hAnsiTheme="majorHAnsi"/>
        </w:rPr>
        <w:t xml:space="preserve">5 through these domains which project cytosolically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"10.1074/jbc.M003303200", "abstract" : "The three peroxin genes, PEX12, PEX2, and PEX10, encode peroxisomal integral membrane proteins with RING finger at the C-terminal part and are responsible for human peroxisome biogenesis disorders. Mutation analysis in PEX12 of Chinese hamster ovary cell mutants revealed a homozygous nonsense mutation at residue Trp263Ter in ZP104 cells and a pair of heterozygous nonsense mutations, Trp170Ter and Trp114Ter, in ZP109. This result and domain mapping of Pex12p showed that RING finger is essential for peroxisome-restoring activity of Pex12p but not necessary for targeting to peroxisomes. The N-terminal region of Pex12p, including amino acid residues at positions 17-76, was required for localization to peroxisomes, while the sequence 17-76 was not sufficient for peroxisomal targeting. Peroxins interacting with RING finger of Pex2p, Pex10p, and Pex12p were investigated by yeast two-hybrid as well as in vitro binding assays. The RING finger of Pex12p bound to Pex10p and the PTS1-receptor Pex5p. Pex10p also interacted with Pex2p and Pex5p in vitro. Moreover, Pex12p was co-immunoprecipitated with Pex10p from CHO-K1 cells, where Pex5p was not associated with the Pex12p-Pex10p complex. This observation suggested that Pex5p does not bind to, or only transiently interacts with, Pex10p and Pex12p when Pex10p and Pex12p are in the oligomeric complex in peroxisome membranes. Hence, the RING finger peroxins are most likely to be involved in Pex5p-mediated matrix protein import into peroxisomes.", "author" : [ { "dropping-particle" : "", "family" : "Okumoto", "given" : "K", "non-dropping-particle" : "", "parse-names" : false, "suffix" : "" }, { "dropping-particle" : "", "family" : "Abe", "given" : "I", "non-dropping-particle" : "", "parse-names" : false, "suffix" : "" }, { "dropping-particle" : "", "family" : "Fujiki", "given" : "Y", "non-dropping-particle" : "", "parse-names" : false, "suffix" : "" } ], "container-title" : "The Journal of biological chemistry", "id" : "ITEM-1", "issue" : "33", "issued" : { "date-parts" : [ [ "2000", "8", "18" ] ] }, "page" : "25700-10", "title" : "Molecular anatomy of the peroxin Pex12p: ring finger domain is essential for Pex12p function and interacts with the peroxisome-targeting signal type 1-receptor Pex5p and a ring peroxin, Pex10p.", "type" : "article-journal", "volume" : "275" }, "uris" : [ "http://www.mendeley.com/documents/?uuid=c65a9021-5cf2-45de-a669-728f9334ce18" ] } ], "mendeley" : { "manualFormatting" : "(Okumoto et al.,  2000)", "previouslyFormattedCitation" : "(Okumoto, Abe &amp; Fujiki 2000)"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(Okumoto </w:t>
      </w:r>
      <w:r w:rsidR="00466108" w:rsidRPr="00466108">
        <w:rPr>
          <w:rFonts w:asciiTheme="majorHAnsi" w:hAnsiTheme="majorHAnsi"/>
          <w:i/>
          <w:noProof/>
        </w:rPr>
        <w:t>et al</w:t>
      </w:r>
      <w:r w:rsidRPr="0013327C">
        <w:rPr>
          <w:rFonts w:asciiTheme="majorHAnsi" w:hAnsiTheme="majorHAnsi"/>
          <w:noProof/>
        </w:rPr>
        <w:t>.,  2000)</w:t>
      </w:r>
      <w:r w:rsidR="009A1FEC" w:rsidRPr="0013327C">
        <w:rPr>
          <w:rFonts w:asciiTheme="majorHAnsi" w:hAnsiTheme="majorHAnsi"/>
        </w:rPr>
        <w:fldChar w:fldCharType="end"/>
      </w:r>
      <w:r w:rsidRPr="0013327C">
        <w:rPr>
          <w:rFonts w:asciiTheme="majorHAnsi" w:hAnsiTheme="majorHAnsi"/>
        </w:rPr>
        <w:t xml:space="preserve">. The RING finger proteins form a heterotrimeric complex which forms the translocation machinery for the PTS1 cargo across the membrane. Evidence shows stoichiometric interactions of </w:t>
      </w:r>
      <w:r w:rsidRPr="000C26B2">
        <w:rPr>
          <w:rFonts w:asciiTheme="majorHAnsi" w:hAnsiTheme="majorHAnsi"/>
          <w:i/>
        </w:rPr>
        <w:lastRenderedPageBreak/>
        <w:t>PEX</w:t>
      </w:r>
      <w:r w:rsidRPr="0013327C">
        <w:rPr>
          <w:rFonts w:asciiTheme="majorHAnsi" w:hAnsiTheme="majorHAnsi"/>
        </w:rPr>
        <w:t xml:space="preserve">2 and </w:t>
      </w:r>
      <w:r w:rsidRPr="000C26B2">
        <w:rPr>
          <w:rFonts w:asciiTheme="majorHAnsi" w:hAnsiTheme="majorHAnsi"/>
          <w:i/>
        </w:rPr>
        <w:t>PEX</w:t>
      </w:r>
      <w:r w:rsidRPr="0013327C">
        <w:rPr>
          <w:rFonts w:asciiTheme="majorHAnsi" w:hAnsiTheme="majorHAnsi"/>
        </w:rPr>
        <w:t xml:space="preserve">12 with </w:t>
      </w:r>
      <w:r w:rsidRPr="000C26B2">
        <w:rPr>
          <w:rFonts w:asciiTheme="majorHAnsi" w:hAnsiTheme="majorHAnsi"/>
          <w:i/>
        </w:rPr>
        <w:t>PEX</w:t>
      </w:r>
      <w:r w:rsidRPr="0013327C">
        <w:rPr>
          <w:rFonts w:asciiTheme="majorHAnsi" w:hAnsiTheme="majorHAnsi"/>
        </w:rPr>
        <w:t xml:space="preserve">14 and </w:t>
      </w:r>
      <w:r w:rsidRPr="000C26B2">
        <w:rPr>
          <w:rFonts w:asciiTheme="majorHAnsi" w:hAnsiTheme="majorHAnsi"/>
          <w:i/>
        </w:rPr>
        <w:t>PEX</w:t>
      </w:r>
      <w:r w:rsidRPr="0013327C">
        <w:rPr>
          <w:rFonts w:asciiTheme="majorHAnsi" w:hAnsiTheme="majorHAnsi"/>
        </w:rPr>
        <w:t xml:space="preserve">5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"Peroxisomal matrix protein import requires PEX12, an integral peroxisomal membrane protein with a zinc ring domain at its carboxy terminus. Mutations in human PEX12 result in Zellweger syndrome, a lethal neurological disorder, and implicate the zinc ring domain in PEX12 function. Using two-hybrid studies, blot overlay assays, and coimmunoprecipitation experiments, we observed that the zinc-binding domain of PEX12 binds both PEX5, the PTS1 receptor, and PEX10, another integral peroxisomal membrane protein required for peroxisomal matrix protein import. Furthermore, we identified a patient with a missense mutation in the PEX12 zinc-binding domain, S320F, and observed that this mutation reduces the binding of PEX12 to PEX5 and PEX10. Overexpression of either PEX5 or PEX10 can suppress this PEX12 mutation, providing genetic evidence that these interactions are biologically relevant. PEX5 is a predominantly cytoplasmic protein and previous PEX5-binding proteins have been implicated in docking PEX5 to the peroxisome surface. However, we find that loss of PEX12 or PEX10 does not reduce the association of PEX5 with peroxisomes, demonstrating that these peroxins are not required for receptor docking. These and other results lead us to propose that PEX12 and PEX10 play direct roles in peroxisomal matrix protein import downstream of the receptor docking event.", "author" : [ { "dropping-particle" : "", "family" : "Chang", "given" : "C C", "non-dropping-particle" : "", "parse-names" : false, "suffix" : "" }, { "dropping-particle" : "", "family" : "Warren", "given" : "D S", "non-dropping-particle" : "", "parse-names" : false, "suffix" : "" }, { "dropping-particle" : "", "family" : "Sacksteder", "given" : "K a", "non-dropping-particle" : "", "parse-names" : false, "suffix" : "" }, { "dropping-particle" : "", "family" : "Gould", "given" : "S J", "non-dropping-particle" : "", "parse-names" : false, "suffix" : "" } ], "container-title" : "The Journal of cell biology", "id" : "ITEM-1", "issue" : "4", "issued" : { "date-parts" : [ [ "1999", "11", "15" ] ] }, "page" : "761-74", "title" : "PEX12 interacts with PEX5 and PEX10 and acts downstream of receptor docking in peroxisomal matrix protein import.", "type" : "article-journal", "volume" : "147" }, "uris" : [ "http://www.mendeley.com/documents/?uuid=37e78b57-43fd-42f4-aa05-3a004fa4a960" ] }, { "id" : "ITEM-2", "itemData" : { "DOI" : "10.1074/jbc.M104114200", "abstract" : "Although many of the proteins involved in the biogenesis of the mammalian peroxisome have already been identified, our knowledge of the architecture of all this machinery is still very limited. In this work we used native gel electrophoresis and sucrose gradient sedimentation analysis in combination with immunoprecipitation experiments to address this issue. After solubilization of rat liver peroxisomes with the mild detergent digitonin, comigration of Pex5p, Pex14p, and a fraction of Pex12p was observed upon native electrophoresis and sucrose gradient sedimentation. The existence of a complex comprising Pex2p, Pex5p, Pex12p, and Pex14p was demonstrated by preparative coimmunoprecipitation experiments using an antibody directed to Pex14p. No stoichiometric amounts of Pex13p were detected in the Pex2p-Pex5p-Pex12p-Pex14p complex, although the presence of a small fraction of Pex13p in this complex could be demonstrated by Western blot analysis. Pex13p is also a component of a high molecular mass complex. Strikingly, partial purification of this Pex13p-containing complex revealed Pex13p as the major (if not the only) component. Taken together, our data indicate that Pex2p, Pex5p, Pex12p, and Pex14p, on one side, and Pex13p, on the other, are subunits of two stable protein complexes that probably interact with each other in the peroxisomal membrane.", "author" : [ { "dropping-particle" : "", "family" : "Reguenga", "given" : "C", "non-dropping-particle" : "", "parse-names" : false, "suffix" : "" }, { "dropping-particle" : "", "family" : "Oliveira", "given" : "M E", "non-dropping-particle" : "", "parse-names" : false, "suffix" : "" }, { "dropping-particle" : "", "family" : "Gouveia", "given" : "a M", "non-dropping-particle" : "", "parse-names" : false, "suffix" : "" }, { "dropping-particle" : "", "family" : "S\u00e1-Miranda", "given" : "C", "non-dropping-particle" : "", "parse-names" : false, "suffix" : "" }, { "dropping-particle" : "", "family" : "Azevedo", "given" : "J E", "non-dropping-particle" : "", "parse-names" : false, "suffix" : "" } ], "container-title" : "The Journal of biological chemistry", "id" : "ITEM-2", "issue" : "32", "issued" : { "date-parts" : [ [ "2001", "8", "10" ] ] }, "page" : "29935-42", "title" : "Characterization of the mammalian peroxisomal import machinery: Pex2p, Pex5p, Pex12p, and Pex14p are subunits of the same protein assembly.", "type" : "article-journal", "volume" : "276" }, "uris" : [ "http://www.mendeley.com/documents/?uuid=1829d72d-6951-4b18-af3e-5e2f41492b7f" ] }, { "id" : "ITEM-3", "itemData" : { "DOI" : "10.1074/jbc.M003303200", "abstract" : "The three peroxin genes, PEX12, PEX2, and PEX10, encode peroxisomal integral membrane proteins with RING finger at the C-terminal part and are responsible for human peroxisome biogenesis disorders. Mutation analysis in PEX12 of Chinese hamster ovary cell mutants revealed a homozygous nonsense mutation at residue Trp263Ter in ZP104 cells and a pair of heterozygous nonsense mutations, Trp170Ter and Trp114Ter, in ZP109. This result and domain mapping of Pex12p showed that RING finger is essential for peroxisome-restoring activity of Pex12p but not necessary for targeting to peroxisomes. The N-terminal region of Pex12p, including amino acid residues at positions 17-76, was required for localization to peroxisomes, while the sequence 17-76 was not sufficient for peroxisomal targeting. Peroxins interacting with RING finger of Pex2p, Pex10p, and Pex12p were investigated by yeast two-hybrid as well as in vitro binding assays. The RING finger of Pex12p bound to Pex10p and the PTS1-receptor Pex5p. Pex10p also interacted with Pex2p and Pex5p in vitro. Moreover, Pex12p was co-immunoprecipitated with Pex10p from CHO-K1 cells, where Pex5p was not associated with the Pex12p-Pex10p complex. This observation suggested that Pex5p does not bind to, or only transiently interacts with, Pex10p and Pex12p when Pex10p and Pex12p are in the oligomeric complex in peroxisome membranes. Hence, the RING finger peroxins are most likely to be involved in Pex5p-mediated matrix protein import into peroxisomes.", "author" : [ { "dropping-particle" : "", "family" : "Okumoto", "given" : "K", "non-dropping-particle" : "", "parse-names" : false, "suffix" : "" }, { "dropping-particle" : "", "family" : "Abe", "given" : "I", "non-dropping-particle" : "", "parse-names" : false, "suffix" : "" }, { "dropping-particle" : "", "family" : "Fujiki", "given" : "Y", "non-dropping-particle" : "", "parse-names" : false, "suffix" : "" } ], "container-title" : "The Journal of biological chemistry", "id" : "ITEM-3", "issue" : "33", "issued" : { "date-parts" : [ [ "2000", "8", "18" ] ] }, "page" : "25700-10", "title" : "Molecular anatomy of the peroxin Pex12p: ring finger domain is essential for Pex12p function and interacts with the peroxisome-targeting signal type 1-receptor Pex5p and a ring peroxin, Pex10p.", "type" : "article-journal", "volume" : "275" }, "uris" : [ "http://www.mendeley.com/documents/?uuid=c65a9021-5cf2-45de-a669-728f9334ce18" ] } ], "mendeley" : { "previouslyFormattedCitation" : "(Chang et al. 1999; Reguenga et al. 2001; Okumoto, Abe &amp; Fujiki 2000)"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(Chang </w:t>
      </w:r>
      <w:r w:rsidR="00466108" w:rsidRPr="00466108">
        <w:rPr>
          <w:rFonts w:asciiTheme="majorHAnsi" w:hAnsiTheme="majorHAnsi"/>
          <w:i/>
          <w:noProof/>
        </w:rPr>
        <w:t>et al</w:t>
      </w:r>
      <w:r w:rsidRPr="0013327C">
        <w:rPr>
          <w:rFonts w:asciiTheme="majorHAnsi" w:hAnsiTheme="majorHAnsi"/>
          <w:noProof/>
        </w:rPr>
        <w:t xml:space="preserve">. 1999; Reguenga </w:t>
      </w:r>
      <w:r w:rsidR="00466108" w:rsidRPr="00466108">
        <w:rPr>
          <w:rFonts w:asciiTheme="majorHAnsi" w:hAnsiTheme="majorHAnsi"/>
          <w:i/>
          <w:noProof/>
        </w:rPr>
        <w:t>et al</w:t>
      </w:r>
      <w:r w:rsidRPr="0013327C">
        <w:rPr>
          <w:rFonts w:asciiTheme="majorHAnsi" w:hAnsiTheme="majorHAnsi"/>
          <w:noProof/>
        </w:rPr>
        <w:t>. 2001; Okumoto, Abe &amp; Fujiki 2000)</w:t>
      </w:r>
      <w:r w:rsidR="009A1FEC" w:rsidRPr="0013327C">
        <w:rPr>
          <w:rFonts w:asciiTheme="majorHAnsi" w:hAnsiTheme="majorHAnsi"/>
        </w:rPr>
        <w:fldChar w:fldCharType="end"/>
      </w:r>
      <w:r w:rsidRPr="0013327C">
        <w:rPr>
          <w:rFonts w:asciiTheme="majorHAnsi" w:hAnsiTheme="majorHAnsi"/>
        </w:rPr>
        <w:t xml:space="preserve"> and non-stoichiometric binding with </w:t>
      </w:r>
      <w:r w:rsidRPr="000C26B2">
        <w:rPr>
          <w:rFonts w:asciiTheme="majorHAnsi" w:hAnsiTheme="majorHAnsi"/>
          <w:i/>
        </w:rPr>
        <w:t>PEX</w:t>
      </w:r>
      <w:r w:rsidRPr="0013327C">
        <w:rPr>
          <w:rFonts w:asciiTheme="majorHAnsi" w:hAnsiTheme="majorHAnsi"/>
        </w:rPr>
        <w:t>13.</w:t>
      </w:r>
    </w:p>
    <w:p w:rsidR="00FD54DA" w:rsidRDefault="00FD54DA" w:rsidP="00FD54DA">
      <w:pPr>
        <w:jc w:val="both"/>
        <w:rPr>
          <w:rFonts w:asciiTheme="majorHAnsi" w:hAnsiTheme="majorHAnsi"/>
        </w:rPr>
      </w:pPr>
      <w:r>
        <w:rPr>
          <w:rFonts w:asciiTheme="majorHAnsi" w:hAnsiTheme="majorHAnsi"/>
        </w:rPr>
        <w:t xml:space="preserve">Most poorly understood of all the stages of receptor-complex cycling is currently that of translocation. After association with first the docking complex and then the RING-finger heterotrimer the receptor-complex needs to cross the peroxisomal membrane. The receptor complex does not require unfolding prior to translocation. Folded proteins, even oligomeric polypeptides, bound to a PTS-receptor are translocated, a process only previously described in the nuclear pore. There is no apparent structure constitutively present on the peroxisomal membrane and so it is hypothesised that such an event is facilitated “on demand”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"10.1042/BC20090159", "abstract" : "Peroxisomes are a family of organelles which have many unusual features. They can arise de novo from the endoplasmic reticulum by a still poorly characterized process, yet possess a unique machinery for the import of their matrix proteins. As peroxisomes lack DNA, their function, which is highly variable and dependent on developmental and/or environmental conditions, is determined by the post-translational import of specific metabolic enzymes in folded or oligomeric states. The two classes of matrix targeting signals for peroxisomal proteins [PTS1 (peroxisomal targeting signal 1) and PTS2] are recognized by cytosolic receptors [PEX5 (peroxin 5) and PEX7 respectively] which escort their cargo proteins to, or possibly across, the peroxisome membrane. Although the membrane translocation mechanism remains unclear, it appears to be driven by thermodynamically favourable binding interactions. Recycling of the receptors from the peroxisome membrane requires ATP hydrolysis for two linked processes: ubiquitination of PEX5 (and the PEX7 co-receptors in yeast) and the function of two peroxisome-associated AAA (ATPase associated with various cellular activities) ATPases, which play a role in recycling or turnover of the ubiquitinated receptors. This review summarizes and integrates recent findings on peroxisome matrix protein import from yeast, plant and mammalian model systems, and discusses some of the gaps in our understanding of this remarkable protein transport system.", "author" : [ { "dropping-particle" : "", "family" : "Lanyon-Hogg", "given" : "Thomas", "non-dropping-particle" : "", "parse-names" : false, "suffix" : "" }, { "dropping-particle" : "", "family" : "Warriner", "given" : "Stuart L", "non-dropping-particle" : "", "parse-names" : false, "suffix" : "" }, { "dropping-particle" : "", "family" : "Baker", "given" : "Alison", "non-dropping-particle" : "", "parse-names" : false, "suffix" : "" } ], "container-title" : "Biology of the cell / under the auspices of the European Cell Biology Organization", "id" : "ITEM-1", "issue" : "4", "issued" : { "date-parts" : [ [ "2010", "4" ] ] }, "page" : "245-63", "title" : "Getting a camel through the eye of a needle: the import of folded proteins by peroxisomes.", "type" : "article-journal", "volume" : "102" }, "uris" : [ "http://www.mendeley.com/documents/?uuid=d4365013-89d0-487d-8a9b-96ef934d59a0" ] } ], "mendeley" : { "previouslyFormattedCitation" : "(Lanyon-Hogg, Warriner &amp; Baker 2010)" }, "properties" : { "noteIndex" : 0 }, "schema" : "https://github.com/citation-style-language/schema/raw/master/csl-citation.json" }</w:instrText>
      </w:r>
      <w:r w:rsidR="009A1FEC">
        <w:rPr>
          <w:rFonts w:asciiTheme="majorHAnsi" w:hAnsiTheme="majorHAnsi"/>
        </w:rPr>
        <w:fldChar w:fldCharType="separate"/>
      </w:r>
      <w:r w:rsidRPr="00997091">
        <w:rPr>
          <w:rFonts w:asciiTheme="majorHAnsi" w:hAnsiTheme="majorHAnsi"/>
          <w:noProof/>
        </w:rPr>
        <w:t>(Lanyon-Hogg, Warriner &amp; Baker 2010)</w:t>
      </w:r>
      <w:r w:rsidR="009A1FEC">
        <w:rPr>
          <w:rFonts w:asciiTheme="majorHAnsi" w:hAnsiTheme="majorHAnsi"/>
        </w:rPr>
        <w:fldChar w:fldCharType="end"/>
      </w:r>
      <w:r>
        <w:rPr>
          <w:rFonts w:asciiTheme="majorHAnsi" w:hAnsiTheme="majorHAnsi"/>
        </w:rPr>
        <w:t>. This reactionary facility to import matrix proteins does so without compromising peroxisomal compartmentalisation or, therefore, its function.</w:t>
      </w:r>
    </w:p>
    <w:p w:rsidR="00FD54DA" w:rsidRDefault="00FD54DA" w:rsidP="00FD54DA">
      <w:pPr>
        <w:jc w:val="both"/>
        <w:rPr>
          <w:rFonts w:asciiTheme="majorHAnsi" w:hAnsiTheme="majorHAnsi"/>
        </w:rPr>
      </w:pPr>
      <w:r>
        <w:rPr>
          <w:rFonts w:asciiTheme="majorHAnsi" w:hAnsiTheme="majorHAnsi"/>
        </w:rPr>
        <w:t xml:space="preserve">Two main models have been proposed for receptor-complex translocation, the simple and extended shuttle </w:t>
      </w:r>
      <w:r w:rsidR="009A1FEC">
        <w:rPr>
          <w:rFonts w:asciiTheme="majorHAnsi" w:hAnsiTheme="majorHAnsi"/>
        </w:rPr>
        <w:fldChar w:fldCharType="begin" w:fldLock="1"/>
      </w:r>
      <w:r w:rsidR="00D72F07">
        <w:rPr>
          <w:rFonts w:asciiTheme="majorHAnsi" w:hAnsiTheme="majorHAnsi"/>
        </w:rPr>
        <w:instrText>ADDIN CSL_CITATION { "citationItems" : [ { "id" : "ITEM-1", "itemData" : { "abstract" : "A recent study indicates that protein import into the peroxisomal matrix occurs by a possibly unique mechanism involving the shuttling of cargo receptors into and out of the organelles.", "author" : [ { "dropping-particle" : "", "family" : "Kunau", "given" : "W H", "non-dropping-particle" : "", "parse-names" : false, "suffix" : "" } ], "container-title" : "Current biology : CB", "id" : "ITEM-1", "issue" : "16", "issued" : { "date-parts" : [ [ "2001", "8", "21" ] ] }, "page" : "R659-62", "title" : "Peroxisomes: the extended shuttle to the peroxisome matrix.", "type" : "article-journal", "volume" : "11" }, "uris" : [ "http://www.mendeley.com/documents/?uuid=de456a13-3ba0-4b8a-a540-4d2d557444cb" ] }, { "id" : "ITEM-2", "itemData" : { "DOI" : "10.1083/jcb.200407119", "abstract" : "Pex7p is the soluble receptor responsible for importing into peroxisomes newly synthesized proteins bearing a type 2 peroxisomal targeting sequence. We observe that appending GFP to Pex7p's COOH terminus shifts Pex7p's intracellular distribution from predominantly cytosolic to predominantly peroxisomal in Saccharomyces cerevisiae. Cleavage of the link between Pex7p and GFP within peroxisomes liberates GFP, which remains inside the organelle, and Pex7p, which exits to the cytosol. The reexported Pex7p is functional, resulting in import of thiolase into peroxisomes and improved growth of the yeast on oleic acid. These results support the \"extended shuttle\" model of peroxisome import receptor function and open the way to future studies of receptor export.", "author" : [ { "dropping-particle" : "", "family" : "Nair", "given" : "Devi M", "non-dropping-particle" : "", "parse-names" : false, "suffix" : "" }, { "dropping-particle" : "", "family" : "Purdue", "given" : "P Edward", "non-dropping-particle" : "", "parse-names" : false, "suffix" : "" }, { "dropping-particle" : "", "family" : "Lazarow", "given" : "Paul B", "non-dropping-particle" : "", "parse-names" : false, "suffix" : "" } ], "container-title" : "The Journal of cell biology", "id" : "ITEM-2", "issue" : "4", "issued" : { "date-parts" : [ [ "2004", "11", "22" ] ] }, "page" : "599-604", "title" : "Pex7p translocates in and out of peroxisomes in Saccharomyces cerevisiae.", "type" : "article-journal", "volume" : "167" }, "uris" : [ "http://www.mendeley.com/documents/?uuid=d653eb90-f8d5-4936-b472-47b417d5acec" ] } ], "mendeley" : { "previouslyFormattedCitation" : "(Kunau 2001; Nair, Purdue &amp; Lazarow 2004)" }, "properties" : { "noteIndex" : 0 }, "schema" : "https://github.com/citation-style-language/schema/raw/master/csl-citation.json" }</w:instrText>
      </w:r>
      <w:r w:rsidR="009A1FEC">
        <w:rPr>
          <w:rFonts w:asciiTheme="majorHAnsi" w:hAnsiTheme="majorHAnsi"/>
        </w:rPr>
        <w:fldChar w:fldCharType="separate"/>
      </w:r>
      <w:r w:rsidRPr="004774C7">
        <w:rPr>
          <w:rFonts w:asciiTheme="majorHAnsi" w:hAnsiTheme="majorHAnsi"/>
          <w:noProof/>
        </w:rPr>
        <w:t>(Kunau 2001; Nair, Purdue &amp; Lazarow 2004)</w:t>
      </w:r>
      <w:r w:rsidR="009A1FEC">
        <w:rPr>
          <w:rFonts w:asciiTheme="majorHAnsi" w:hAnsiTheme="majorHAnsi"/>
        </w:rPr>
        <w:fldChar w:fldCharType="end"/>
      </w:r>
      <w:r>
        <w:rPr>
          <w:rFonts w:asciiTheme="majorHAnsi" w:hAnsiTheme="majorHAnsi"/>
        </w:rPr>
        <w:t xml:space="preserve">. The simple shuttle model hypothesises that the receptor maintains in association with the peroxisomal membrane while the cargo protein projects into the matrix prior to dissociation. </w:t>
      </w:r>
      <w:proofErr w:type="gramStart"/>
      <w:r>
        <w:rPr>
          <w:rFonts w:asciiTheme="majorHAnsi" w:hAnsiTheme="majorHAnsi"/>
        </w:rPr>
        <w:t>The extended shuttle model developes on this by hypothesising that the complex completely enters the matrix for dissociation.</w:t>
      </w:r>
      <w:proofErr w:type="gramEnd"/>
      <w:r>
        <w:rPr>
          <w:rFonts w:asciiTheme="majorHAnsi" w:hAnsiTheme="majorHAnsi"/>
        </w:rPr>
        <w:t xml:space="preserve"> More recently a third model has suggested that unladen Pex5p might create a pore in the membrane for c</w:t>
      </w:r>
      <w:r w:rsidR="003A5532">
        <w:rPr>
          <w:rFonts w:asciiTheme="majorHAnsi" w:hAnsiTheme="majorHAnsi"/>
        </w:rPr>
        <w:t>a</w:t>
      </w:r>
      <w:r>
        <w:rPr>
          <w:rFonts w:asciiTheme="majorHAnsi" w:hAnsiTheme="majorHAnsi"/>
        </w:rPr>
        <w:t xml:space="preserve">rgo-bound Pex5p to pass through and then dissociate from the cargo </w:t>
      </w:r>
      <w:r w:rsidR="009A1FE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"Erdmann", "given" : "Ralf", "non-dropping-particle" : "", "parse-names" : false, "suffix" : "" }, { "dropping-particle" : "", "family" : "Schliebs", "given" : "Wolfgang", "non-dropping-particle" : "", "parse-names" : false, "suffix" : "" } ], "container-title" : "Nature Reviews Molecular Cell Biology Biology", "id" : "ITEM-1", "issue" : "September", "issued" : { "date-parts" : [ [ "2005" ] ] }, "page" : "738-742", "title" : "Peroxisomal matrix protein import: the transient pore model", "type" : "article-journal", "volume" : "6" }, "uris" : [ "http://www.mendeley.com/documents/?uuid=95e86d15-4de9-44eb-a07a-abda02847b11" ] } ], "mendeley" : { "previouslyFormattedCitation" : "(Erdmann &amp; Schliebs 2005)" }, "properties" : { "noteIndex" : 0 }, "schema" : "https://github.com/citation-style-language/schema/raw/master/csl-citation.json" }</w:instrText>
      </w:r>
      <w:r w:rsidR="009A1FEC">
        <w:rPr>
          <w:rFonts w:asciiTheme="majorHAnsi" w:hAnsiTheme="majorHAnsi"/>
        </w:rPr>
        <w:fldChar w:fldCharType="separate"/>
      </w:r>
      <w:r w:rsidRPr="003B37DB">
        <w:rPr>
          <w:rFonts w:asciiTheme="majorHAnsi" w:hAnsiTheme="majorHAnsi"/>
          <w:noProof/>
        </w:rPr>
        <w:t>(Erdmann &amp; Schliebs 2005)</w:t>
      </w:r>
      <w:r w:rsidR="009A1FEC">
        <w:rPr>
          <w:rFonts w:asciiTheme="majorHAnsi" w:hAnsiTheme="majorHAnsi"/>
        </w:rPr>
        <w:fldChar w:fldCharType="end"/>
      </w:r>
      <w:r>
        <w:rPr>
          <w:rFonts w:asciiTheme="majorHAnsi" w:hAnsiTheme="majorHAnsi"/>
        </w:rPr>
        <w:t xml:space="preserve">. </w:t>
      </w:r>
      <w:r w:rsidR="003A5532">
        <w:rPr>
          <w:rFonts w:asciiTheme="majorHAnsi" w:hAnsiTheme="majorHAnsi"/>
        </w:rPr>
        <w:t xml:space="preserve">Recently, evidence supports this showing that </w:t>
      </w:r>
      <w:r w:rsidR="00C86F3F">
        <w:rPr>
          <w:rFonts w:asciiTheme="majorHAnsi" w:hAnsiTheme="majorHAnsi"/>
        </w:rPr>
        <w:t>Pex5p and its receptor Pex14p form an ion-gated pore that allows the passage of the PTS1 cargo through the membrane</w:t>
      </w:r>
      <w:r w:rsidR="00D72F07">
        <w:rPr>
          <w:rFonts w:asciiTheme="majorHAnsi" w:hAnsiTheme="majorHAnsi"/>
        </w:rPr>
        <w:t xml:space="preserve">. The addition of multiple units of cargo-laden Pex5p into the membrane helps to stabilise the pore in complex with Pex14p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"10.1038/ncb2027", "abstract" : "The peroxisomal protein import machinery differs fundamentally from known translocons (endoplasmic reticulum, mitochondria, chloroplasts, bacteria) as it allows membrane passage of folded, even oligomerized proteins. However, the mechanistic principles of protein translocation across the peroxisomal membrane remain unknown. There are various models that consider membrane invagination events, vesicle fusion or the existence of large import pores. Current data show that a proteinaceous peroxisomal importomer enables docking of the cytosolic cargo-loaded receptors, cargo translocation and receptor recycling. Remarkably, the cycling import receptor Pex5p changes its topology from a soluble cytosolic form to an integral membrane-bound form. According to the transient pore hypothesis, the membrane-bound receptor is proposed to form the core component of the peroxisomal import pore. Here, we demonstrate that the membrane-associated import receptor Pex5p together with its docking partner Pex14p forms a gated ion-conducting channel which can be opened to a diameter of about 9 nm by the cytosolic receptor-cargo complex. The newly identified pore shows striking dynamics, as expected for an import machinery translocating proteins of variable sizes.", "author" : [ { "dropping-particle" : "", "family" : "Meinecke", "given" : "Michael", "non-dropping-particle" : "", "parse-names" : false, "suffix" : "" }, { "dropping-particle" : "", "family" : "Cizmowski", "given" : "Christian", "non-dropping-particle" : "", "parse-names" : false, "suffix" : "" }, { "dropping-particle" : "", "family" : "Schliebs", "given" : "Wolfgang", "non-dropping-particle" : "", "parse-names" : false, "suffix" : "" }, { "dropping-particle" : "", "family" : "Kr\u00fcger", "given" : "Vivien", "non-dropping-particle" : "", "parse-names" : false, "suffix" : "" }, { "dropping-particle" : "", "family" : "Beck", "given" : "Sabrina", "non-dropping-particle" : "", "parse-names" : false, "suffix" : "" }, { "dropping-particle" : "", "family" : "Wagner", "given" : "Richard", "non-dropping-particle" : "", "parse-names" : false, "suffix" : "" }, { "dropping-particle" : "", "family" : "Erdmann", "given" : "Ralf", "non-dropping-particle" : "", "parse-names" : false, "suffix" : "" } ], "container-title" : "Nature cell biology", "id" : "ITEM-1", "issue" : "3", "issued" : { "date-parts" : [ [ "2010", "3" ] ] }, "page" : "273-7", "publisher" : "Nature Publishing Group", "title" : "The peroxisomal importomer constitutes a large and highly dynamic pore.", "type" : "article-journal", "volume" : "12" }, "uris" : [ "http://www.mendeley.com/documents/?uuid=e8cfa01a-3dc8-42f3-b22f-0486b1510626" ] } ], "mendeley" : { "previouslyFormattedCitation" : "(Meinecke et al. 2010)" }, "properties" : { "noteIndex" : 0 }, "schema" : "https://github.com/citation-style-language/schema/raw/master/csl-citation.json" }</w:instrText>
      </w:r>
      <w:r w:rsidR="009A1FEC">
        <w:rPr>
          <w:rFonts w:asciiTheme="majorHAnsi" w:hAnsiTheme="majorHAnsi"/>
        </w:rPr>
        <w:fldChar w:fldCharType="separate"/>
      </w:r>
      <w:r w:rsidR="00D72F07" w:rsidRPr="00D72F07">
        <w:rPr>
          <w:rFonts w:asciiTheme="majorHAnsi" w:hAnsiTheme="majorHAnsi"/>
          <w:noProof/>
        </w:rPr>
        <w:t xml:space="preserve">(Meinecke </w:t>
      </w:r>
      <w:r w:rsidR="00D72F07" w:rsidRPr="00D72F07">
        <w:rPr>
          <w:rFonts w:asciiTheme="majorHAnsi" w:hAnsiTheme="majorHAnsi"/>
          <w:i/>
          <w:noProof/>
        </w:rPr>
        <w:t>et al.</w:t>
      </w:r>
      <w:r w:rsidR="00D72F07" w:rsidRPr="00D72F07">
        <w:rPr>
          <w:rFonts w:asciiTheme="majorHAnsi" w:hAnsiTheme="majorHAnsi"/>
          <w:noProof/>
        </w:rPr>
        <w:t xml:space="preserve"> 2010)</w:t>
      </w:r>
      <w:r w:rsidR="009A1FEC">
        <w:rPr>
          <w:rFonts w:asciiTheme="majorHAnsi" w:hAnsiTheme="majorHAnsi"/>
        </w:rPr>
        <w:fldChar w:fldCharType="end"/>
      </w:r>
      <w:r w:rsidR="00D72F07">
        <w:rPr>
          <w:rFonts w:asciiTheme="majorHAnsi" w:hAnsiTheme="majorHAnsi"/>
        </w:rPr>
        <w:t xml:space="preserve">. </w:t>
      </w:r>
      <w:r>
        <w:rPr>
          <w:rFonts w:asciiTheme="majorHAnsi" w:hAnsiTheme="majorHAnsi"/>
        </w:rPr>
        <w:t xml:space="preserve">The mechanism of dissociation of receptor and cargo is to date unclear but is known to occur prior to ubiquitin-mediated recycling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"10.1074/jbc.M109.032565", "abstract" : "Newly synthesized peroxisomal matrix proteins are targeted to the organelle by PEX5, the peroxisomal cycling receptor. Over the last few years, valuable data on the mechanism of this process have been obtained using a PEX5-centered in vitro system. The data gathered until now suggest that cytosolic PEX5.cargo protein complexes dock at the peroxisomal docking/translocation machinery, where PEX5 becomes subsequently inserted in an ATP-independent manner. This PEX5 species is then monoubiquitinated at a conserved cysteine residue, a mandatory modification for the next step of the pathway, the ATP-dependent dislocation of the ubiquitin-PEX5 conjugate back into the cytosol. Finally, the ubiquitin moiety is removed, yielding free PEX5. Despite its usefulness, there are many unsolved mechanistic aspects that cannot be addressed with this in vitro system and that call for a cargo protein-centered perspective instead. Here we describe a robust peroxisomal in vitro import system that provides this perspective. The data obtained with it suggest that translocation of a cargo protein across the peroxisomal membrane, including its release into the organelle matrix, occurs prior to PEX5 ubiquitination.", "author" : [ { "dropping-particle" : "", "family" : "Alencastre", "given" : "In\u00eas S", "non-dropping-particle" : "", "parse-names" : false, "suffix" : "" }, { "dropping-particle" : "", "family" : "Rodrigues", "given" : "Tony a", "non-dropping-particle" : "", "parse-names" : false, "suffix" : "" }, { "dropping-particle" : "", "family" : "Grou", "given" : "Cl\u00e1udia P", "non-dropping-particle" : "", "parse-names" : false, "suffix" : "" }, { "dropping-particle" : "", "family" : "Fransen", "given" : "Marc", "non-dropping-particle" : "", "parse-names" : false, "suffix" : "" }, { "dropping-particle" : "", "family" : "S\u00e1-Miranda", "given" : "Clara", "non-dropping-particle" : "", "parse-names" : false, "suffix" : "" }, { "dropping-particle" : "", "family" : "Azevedo", "given" : "Jorge E", "non-dropping-particle" : "", "parse-names" : false, "suffix" : "" } ], "container-title" : "The Journal of biological chemistry", "id" : "ITEM-1", "issue" : "40", "issued" : { "date-parts" : [ [ "2009", "10", "2" ] ] }, "page" : "27243-51", "title" : "Mapping the cargo protein membrane translocation step into the PEX5 cycling pathway.", "type" : "article-journal", "volume" : "284" }, "uris" : [ "http://www.mendeley.com/documents/?uuid=d2c9eb70-2521-47d1-8343-4c03d1119580" ] } ], "mendeley" : { "previouslyFormattedCitation" : "(Alencastre et al. 2009)" }, "properties" : { "noteIndex" : 0 }, "schema" : "https://github.com/citation-style-language/schema/raw/master/csl-citation.json" }</w:instrText>
      </w:r>
      <w:r w:rsidR="009A1FEC">
        <w:rPr>
          <w:rFonts w:asciiTheme="majorHAnsi" w:hAnsiTheme="majorHAnsi"/>
        </w:rPr>
        <w:fldChar w:fldCharType="separate"/>
      </w:r>
      <w:r w:rsidRPr="00A93A7D">
        <w:rPr>
          <w:rFonts w:asciiTheme="majorHAnsi" w:hAnsiTheme="majorHAnsi"/>
          <w:noProof/>
        </w:rPr>
        <w:t xml:space="preserve">(Alencastre </w:t>
      </w:r>
      <w:r w:rsidR="00466108" w:rsidRPr="00466108">
        <w:rPr>
          <w:rFonts w:asciiTheme="majorHAnsi" w:hAnsiTheme="majorHAnsi"/>
          <w:i/>
          <w:noProof/>
        </w:rPr>
        <w:t>et al</w:t>
      </w:r>
      <w:r w:rsidRPr="00A93A7D">
        <w:rPr>
          <w:rFonts w:asciiTheme="majorHAnsi" w:hAnsiTheme="majorHAnsi"/>
          <w:noProof/>
        </w:rPr>
        <w:t>. 2009)</w:t>
      </w:r>
      <w:r w:rsidR="009A1FEC">
        <w:rPr>
          <w:rFonts w:asciiTheme="majorHAnsi" w:hAnsiTheme="majorHAnsi"/>
        </w:rPr>
        <w:fldChar w:fldCharType="end"/>
      </w:r>
      <w:r>
        <w:rPr>
          <w:rFonts w:asciiTheme="majorHAnsi" w:hAnsiTheme="majorHAnsi"/>
        </w:rPr>
        <w:t xml:space="preserve"> and the state if association is unaffected by its degree of ubiquitination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"10.1074/jbc.M808978200", "abstract" : "Pex5p, the peroxisomal protein cycling receptor, binds newly synthesized peroxisomal matrix proteins in the cytosol and promotes their translocation across the organelle membrane. During its transient passage through the membrane, Pex5p is monoubiquitinated at a conserved cysteine residue, a requisite for its subsequent ATP-dependent export back into the cytosol. Here we describe the properties of the soluble and membrane-bound monoubiquitinated Pex5p species (Ub-Pex5p). Our data suggest that 1) Ub-Pex5p is deubiquitinated by a combination of context-dependent enzymatic and nonenzymatic mechanisms; 2) soluble Ub-Pex5p retains the capacity to interact with the peroxisomal import machinery in a cargo-dependent manner; and 3) substitution of the conserved cysteine residue of Pex5p by a lysine results in a quite functional protein both in vitro and in vivo. Additionally, we show that MG132, a proteasome inhibitor, blocks the import of a peroxisomal reporter protein in vivo.", "author" : [ { "dropping-particle" : "", "family" : "Grou", "given" : "Cl\u00e1udia P", "non-dropping-particle" : "", "parse-names" : false, "suffix" : "" }, { "dropping-particle" : "", "family" : "Carvalho", "given" : "Andreia F", "non-dropping-particle" : "", "parse-names" : false, "suffix" : "" }, { "dropping-particle" : "", "family" : "Pinto", "given" : "Manuel P", "non-dropping-particle" : "", "parse-names" : false, "suffix" : "" }, { "dropping-particle" : "", "family" : "Huybrechts", "given" : "Sofie J", "non-dropping-particle" : "", "parse-names" : false, "suffix" : "" }, { "dropping-particle" : "", "family" : "S\u00e1-Miranda", "given" : "Clara", "non-dropping-particle" : "", "parse-names" : false, "suffix" : "" }, { "dropping-particle" : "", "family" : "Fransen", "given" : "Marc", "non-dropping-particle" : "", "parse-names" : false, "suffix" : "" }, { "dropping-particle" : "", "family" : "Azevedo", "given" : "Jorge E", "non-dropping-particle" : "", "parse-names" : false, "suffix" : "" } ], "container-title" : "The Journal of biological chemistry", "id" : "ITEM-1", "issue" : "16", "issued" : { "date-parts" : [ [ "2009", "4", "17" ] ] }, "page" : "10504-13", "title" : "Properties of the ubiquitin-pex5p thiol ester conjugate.", "type" : "article-journal", "volume" : "284" }, "uris" : [ "http://www.mendeley.com/documents/?uuid=bcf0ca2d-9477-4900-8109-438353b56e74" ] } ], "mendeley" : { "previouslyFormattedCitation" : "(Grou et al. 2009)" }, "properties" : { "noteIndex" : 0 }, "schema" : "https://github.com/citation-style-language/schema/raw/master/csl-citation.json" }</w:instrText>
      </w:r>
      <w:r w:rsidR="009A1FEC">
        <w:rPr>
          <w:rFonts w:asciiTheme="majorHAnsi" w:hAnsiTheme="majorHAnsi"/>
        </w:rPr>
        <w:fldChar w:fldCharType="separate"/>
      </w:r>
      <w:r w:rsidRPr="00A93A7D">
        <w:rPr>
          <w:rFonts w:asciiTheme="majorHAnsi" w:hAnsiTheme="majorHAnsi"/>
          <w:noProof/>
        </w:rPr>
        <w:t xml:space="preserve">(Grou </w:t>
      </w:r>
      <w:r w:rsidR="00466108" w:rsidRPr="00466108">
        <w:rPr>
          <w:rFonts w:asciiTheme="majorHAnsi" w:hAnsiTheme="majorHAnsi"/>
          <w:i/>
          <w:noProof/>
        </w:rPr>
        <w:t>et al</w:t>
      </w:r>
      <w:r w:rsidRPr="00A93A7D">
        <w:rPr>
          <w:rFonts w:asciiTheme="majorHAnsi" w:hAnsiTheme="majorHAnsi"/>
          <w:noProof/>
        </w:rPr>
        <w:t>. 2009)</w:t>
      </w:r>
      <w:r w:rsidR="009A1FEC">
        <w:rPr>
          <w:rFonts w:asciiTheme="majorHAnsi" w:hAnsiTheme="majorHAnsi"/>
        </w:rPr>
        <w:fldChar w:fldCharType="end"/>
      </w:r>
      <w:r>
        <w:rPr>
          <w:rFonts w:asciiTheme="majorHAnsi" w:hAnsiTheme="majorHAnsi"/>
        </w:rPr>
        <w:t>.</w:t>
      </w:r>
    </w:p>
    <w:p w:rsidR="00FD54DA" w:rsidRDefault="00FD54DA" w:rsidP="00FD54DA">
      <w:pPr>
        <w:jc w:val="both"/>
        <w:rPr>
          <w:rFonts w:asciiTheme="majorHAnsi" w:hAnsiTheme="majorHAnsi"/>
        </w:rPr>
      </w:pPr>
      <w:r w:rsidRPr="0013327C">
        <w:rPr>
          <w:rFonts w:asciiTheme="majorHAnsi" w:hAnsiTheme="majorHAnsi"/>
        </w:rPr>
        <w:t xml:space="preserve">Subsequent to the docking translocation and dissociation of the PTS1-cargo and </w:t>
      </w:r>
      <w:r w:rsidRPr="000C26B2">
        <w:rPr>
          <w:rFonts w:asciiTheme="majorHAnsi" w:hAnsiTheme="majorHAnsi"/>
          <w:i/>
        </w:rPr>
        <w:t>PEX</w:t>
      </w:r>
      <w:r w:rsidRPr="0013327C">
        <w:rPr>
          <w:rFonts w:asciiTheme="majorHAnsi" w:hAnsiTheme="majorHAnsi"/>
        </w:rPr>
        <w:t>5 complex is the recycling of the Pex5</w:t>
      </w:r>
      <w:r>
        <w:rPr>
          <w:rFonts w:asciiTheme="majorHAnsi" w:hAnsiTheme="majorHAnsi"/>
        </w:rPr>
        <w:t>p</w:t>
      </w:r>
      <w:r w:rsidRPr="0013327C">
        <w:rPr>
          <w:rFonts w:asciiTheme="majorHAnsi" w:hAnsiTheme="majorHAnsi"/>
        </w:rPr>
        <w:t xml:space="preserve"> into the cytosol. This is performed at length by </w:t>
      </w:r>
      <w:r w:rsidRPr="000C26B2">
        <w:rPr>
          <w:rFonts w:asciiTheme="majorHAnsi" w:hAnsiTheme="majorHAnsi"/>
          <w:i/>
        </w:rPr>
        <w:t>PEX</w:t>
      </w:r>
      <w:r w:rsidRPr="0013327C">
        <w:rPr>
          <w:rFonts w:asciiTheme="majorHAnsi" w:hAnsiTheme="majorHAnsi"/>
        </w:rPr>
        <w:t xml:space="preserve">1, </w:t>
      </w:r>
      <w:r w:rsidRPr="000C26B2">
        <w:rPr>
          <w:rFonts w:asciiTheme="majorHAnsi" w:hAnsiTheme="majorHAnsi"/>
          <w:i/>
        </w:rPr>
        <w:t>PEX</w:t>
      </w:r>
      <w:r w:rsidRPr="0013327C">
        <w:rPr>
          <w:rFonts w:asciiTheme="majorHAnsi" w:hAnsiTheme="majorHAnsi"/>
        </w:rPr>
        <w:t xml:space="preserve">6, </w:t>
      </w:r>
      <w:proofErr w:type="gramStart"/>
      <w:r w:rsidRPr="000C26B2">
        <w:rPr>
          <w:rFonts w:asciiTheme="majorHAnsi" w:hAnsiTheme="majorHAnsi"/>
          <w:i/>
        </w:rPr>
        <w:t>PEX</w:t>
      </w:r>
      <w:r w:rsidRPr="0013327C">
        <w:rPr>
          <w:rFonts w:asciiTheme="majorHAnsi" w:hAnsiTheme="majorHAnsi"/>
        </w:rPr>
        <w:t>4</w:t>
      </w:r>
      <w:proofErr w:type="gramEnd"/>
      <w:r w:rsidRPr="0013327C">
        <w:rPr>
          <w:rFonts w:asciiTheme="majorHAnsi" w:hAnsiTheme="majorHAnsi"/>
        </w:rPr>
        <w:t xml:space="preserve"> and indirectly by </w:t>
      </w:r>
      <w:r w:rsidRPr="000C26B2">
        <w:rPr>
          <w:rFonts w:asciiTheme="majorHAnsi" w:hAnsiTheme="majorHAnsi"/>
          <w:i/>
        </w:rPr>
        <w:t>PEX</w:t>
      </w:r>
      <w:r>
        <w:rPr>
          <w:rFonts w:asciiTheme="majorHAnsi" w:hAnsiTheme="majorHAnsi"/>
        </w:rPr>
        <w:t>22</w:t>
      </w:r>
      <w:r w:rsidRPr="0013327C">
        <w:rPr>
          <w:rFonts w:asciiTheme="majorHAnsi" w:hAnsiTheme="majorHAnsi"/>
        </w:rPr>
        <w:t xml:space="preserve">. </w:t>
      </w:r>
      <w:r w:rsidRPr="000C26B2">
        <w:rPr>
          <w:rFonts w:asciiTheme="majorHAnsi" w:hAnsiTheme="majorHAnsi"/>
          <w:i/>
        </w:rPr>
        <w:t>PEX</w:t>
      </w:r>
      <w:r>
        <w:rPr>
          <w:rFonts w:asciiTheme="majorHAnsi" w:hAnsiTheme="majorHAnsi"/>
        </w:rPr>
        <w:t>4</w:t>
      </w:r>
      <w:r w:rsidRPr="0013327C">
        <w:rPr>
          <w:rFonts w:asciiTheme="majorHAnsi" w:hAnsiTheme="majorHAnsi"/>
        </w:rPr>
        <w:t xml:space="preserve"> is an E2-type ubiquitin-conjugating enzyme which is anchored to the cytosolic peroxisomal surface by </w:t>
      </w:r>
      <w:r w:rsidRPr="000C26B2">
        <w:rPr>
          <w:rFonts w:asciiTheme="majorHAnsi" w:hAnsiTheme="majorHAnsi"/>
          <w:i/>
        </w:rPr>
        <w:t>PEX</w:t>
      </w:r>
      <w:r w:rsidRPr="0013327C">
        <w:rPr>
          <w:rFonts w:asciiTheme="majorHAnsi" w:hAnsiTheme="majorHAnsi"/>
        </w:rPr>
        <w:t xml:space="preserve">22. This poses a physical barrier between the unladen </w:t>
      </w:r>
      <w:r w:rsidRPr="000C26B2">
        <w:rPr>
          <w:rFonts w:asciiTheme="majorHAnsi" w:hAnsiTheme="majorHAnsi"/>
          <w:i/>
        </w:rPr>
        <w:t>PEX</w:t>
      </w:r>
      <w:r w:rsidRPr="0013327C">
        <w:rPr>
          <w:rFonts w:asciiTheme="majorHAnsi" w:hAnsiTheme="majorHAnsi"/>
        </w:rPr>
        <w:t xml:space="preserve">5 and </w:t>
      </w:r>
      <w:r w:rsidRPr="000C26B2">
        <w:rPr>
          <w:rFonts w:asciiTheme="majorHAnsi" w:hAnsiTheme="majorHAnsi"/>
          <w:i/>
        </w:rPr>
        <w:t>PEX</w:t>
      </w:r>
      <w:r w:rsidRPr="0013327C">
        <w:rPr>
          <w:rFonts w:asciiTheme="majorHAnsi" w:hAnsiTheme="majorHAnsi"/>
        </w:rPr>
        <w:t xml:space="preserve">4. </w:t>
      </w:r>
      <w:r w:rsidRPr="000C26B2">
        <w:rPr>
          <w:rFonts w:asciiTheme="majorHAnsi" w:hAnsiTheme="majorHAnsi"/>
          <w:i/>
        </w:rPr>
        <w:t>PEX</w:t>
      </w:r>
      <w:r w:rsidRPr="0013327C">
        <w:rPr>
          <w:rFonts w:asciiTheme="majorHAnsi" w:hAnsiTheme="majorHAnsi"/>
        </w:rPr>
        <w:t xml:space="preserve">10 has been shown to be the linking protein for facilitating this process. Ubiquitinated </w:t>
      </w:r>
      <w:r w:rsidRPr="000C26B2">
        <w:rPr>
          <w:rFonts w:asciiTheme="majorHAnsi" w:hAnsiTheme="majorHAnsi"/>
          <w:i/>
        </w:rPr>
        <w:t>PEX</w:t>
      </w:r>
      <w:r w:rsidRPr="0013327C">
        <w:rPr>
          <w:rFonts w:asciiTheme="majorHAnsi" w:hAnsiTheme="majorHAnsi"/>
        </w:rPr>
        <w:t>5 (Ub-Pex5</w:t>
      </w:r>
      <w:r>
        <w:rPr>
          <w:rFonts w:asciiTheme="majorHAnsi" w:hAnsiTheme="majorHAnsi"/>
        </w:rPr>
        <w:t>p</w:t>
      </w:r>
      <w:r w:rsidRPr="0013327C">
        <w:rPr>
          <w:rFonts w:asciiTheme="majorHAnsi" w:hAnsiTheme="majorHAnsi"/>
        </w:rPr>
        <w:t xml:space="preserve">) requires removal from the lumen. Two ATPases </w:t>
      </w:r>
      <w:r w:rsidRPr="000C26B2">
        <w:rPr>
          <w:rFonts w:asciiTheme="majorHAnsi" w:hAnsiTheme="majorHAnsi"/>
          <w:i/>
        </w:rPr>
        <w:t>PEX</w:t>
      </w:r>
      <w:r w:rsidRPr="0013327C">
        <w:rPr>
          <w:rFonts w:asciiTheme="majorHAnsi" w:hAnsiTheme="majorHAnsi"/>
        </w:rPr>
        <w:t xml:space="preserve">1 and </w:t>
      </w:r>
      <w:r w:rsidRPr="000C26B2">
        <w:rPr>
          <w:rFonts w:asciiTheme="majorHAnsi" w:hAnsiTheme="majorHAnsi"/>
          <w:i/>
        </w:rPr>
        <w:t>PEX</w:t>
      </w:r>
      <w:r w:rsidRPr="0013327C">
        <w:rPr>
          <w:rFonts w:asciiTheme="majorHAnsi" w:hAnsiTheme="majorHAnsi"/>
        </w:rPr>
        <w:t xml:space="preserve">6 are key proteins in this step. </w:t>
      </w:r>
      <w:r w:rsidRPr="0013327C">
        <w:rPr>
          <w:rFonts w:asciiTheme="majorHAnsi" w:hAnsiTheme="majorHAnsi"/>
        </w:rPr>
        <w:lastRenderedPageBreak/>
        <w:t>Their combined function as a complex is dependent on their mutual, independent need to hydrolyse ATP and subsequently interact with the cytosolic, peroxisomal membrane surface</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"10.1086/377004", "abstract" : "The human disorders of peroxisome biogenesis (PBDs) are subdivided into 12 complementation groups (CGs). CG8 is one of the more common of these and is associated with varying phenotypes, ranging from the most severe, Zellweger syndrome (ZS), to the milder neonatal adrenoleukodystrophy (NALD) and infantile Refsum disease (IRD). PEX26, encoding the 305-amino-acid membrane peroxin, has been shown to be deficient in CG8. We studied the PEX26 genotype in fibroblasts of eight CG8 patients--four with the ZS phenotype, two with NALD, and two with IRD. Catalase was mostly cytosolic in all these cell lines, but import of the proteins that contained PTS1, the SKL peroxisome targeting sequence, was normal. Expression of PEX26 reestablished peroxisomes in all eight cell lines, confirming that PEX26 defects are pathogenic in CG8 patients. When cells were cultured at 30 degrees C, catalase import was restored in the cell lines from patients with the NALD and IRD phenotypes, but to a much lesser extent in those with the ZS phenotype, indicating that temperature sensitivity varied inversely with the severity of the clinical phenotype. Several types of mutations were identified, including homozygous G89R mutations in two patients with ZS. Expression of these PEX26 mutations in pex26 Chinese hamster ovary cells resulted in cell phenotypes similar to those in the human cell lines. These findings confirm that the degree of temperature sensitivity in pex26 cell lines is predictive of the clinical phenotype in patients with PEX26 deficiency.", "author" : [ { "dropping-particle" : "", "family" : "Matsumoto", "given" : "Naomi", "non-dropping-particle" : "", "parse-names" : false, "suffix" : "" }, { "dropping-particle" : "", "family" : "Tamura", "given" : "Shigehiko", "non-dropping-particle" : "", "parse-names" : false, "suffix" : "" }, { "dropping-particle" : "", "family" : "Furuki", "given" : "Satomi", "non-dropping-particle" : "", "parse-names" : false, "suffix" : "" }, { "dropping-particle" : "", "family" : "Miyata", "given" : "Non", "non-dropping-particle" : "", "parse-names" : false, "suffix" : "" }, { "dropping-particle" : "", "family" : "Moser", "given" : "Ann", "non-dropping-particle" : "", "parse-names" : false, "suffix" : "" }, { "dropping-particle" : "", "family" : "Shimozawa", "given" : "Nobuyuki", "non-dropping-particle" : "", "parse-names" : false, "suffix" : "" }, { "dropping-particle" : "", "family" : "Moser", "given" : "Hugo W", "non-dropping-particle" : "", "parse-names" : false, "suffix" : "" }, { "dropping-particle" : "", "family" : "Suzuki", "given" : "Yasuyuki", "non-dropping-particle" : "", "parse-names" : false, "suffix" : "" }, { "dropping-particle" : "", "family" : "Kondo", "given" : "Naomi", "non-dropping-particle" : "", "parse-names" : false, "suffix" : "" }, { "dropping-particle" : "", "family" : "Fujiki", "given" : "Yukio", "non-dropping-particle" : "", "parse-names" : false, "suffix" : "" } ], "container-title" : "American journal of human genetics", "id" : "ITEM-1", "issue" : "2", "issued" : { "date-parts" : [ [ "2</w:instrText>
      </w:r>
      <w:r w:rsidR="00D72F07" w:rsidRPr="00D72F07">
        <w:rPr>
          <w:rFonts w:asciiTheme="majorHAnsi" w:hAnsiTheme="majorHAnsi"/>
          <w:lang w:val="nl-NL"/>
        </w:rPr>
        <w:instrText>003", "8" ] ] }, "page" : "233-46", "title" : "Mutations in novel peroxin gene PEX26 that cause peroxisome-biogenesis disorders of complementation group 8 provide a genotype-phenotype correlation.", "type" : "article-journal", "volume" : "73" }, "uris" : [ "http://www.mendeley.com/documents/?uuid=cd0f9294-67e4-40a4-93d0-9b8b3bd499df" ] }, { "id" : "ITEM-2", "itemData" : { "author" : [ { "dropping-particle" : "", "family" : "Matsumoto", "given" : "Naomi", "non-dropping-particle" : "", "parse-names" : false, "suffix" : "" }, { "dropping-particle" : "", "family" : "Tamura", "given" : "Shigehiko", "non-dropping-particle" : "", "parse-names" : false, "suffix" : "" }, { "dropping-particle" : "", "family" : "Fujiki", "given" : "Yukio", "non-dropping-particle" : "", "parse-names" : false, "suffix" : "" } ], "container-title" : "Nature Cell Biology", "id" : "ITEM-2", "issued" : { "date-parts" : [ [ "2003" ] ] }, "page" : "454-60", "title" : "The pathogenic peroxin Pex26p recruits the Pex1p\u2013Pex6p AAA ATPase complexes to peroxisomes", "type" : "article-journal", "volume" : "5" }, "uris" : [ "http://www.mendeley.com/documents/?uuid=a1152e5c-7629-4c95-9cb7-ab8dd01967cb" ] } ], "mendeley" : { "manualFormatting" : "(Matsumoto et al., 2003; Matsumoto et al., 2003)", "previouslyFormattedCitation" : "(Matsumoto et al. 2003; Matsumoto, Tamura &amp; Fujiki 2003)"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lang w:val="nl-NL"/>
        </w:rPr>
        <w:t xml:space="preserve">(Matsumoto </w:t>
      </w:r>
      <w:r w:rsidR="00466108" w:rsidRPr="00466108">
        <w:rPr>
          <w:rFonts w:asciiTheme="majorHAnsi" w:hAnsiTheme="majorHAnsi"/>
          <w:i/>
          <w:noProof/>
          <w:lang w:val="nl-NL"/>
        </w:rPr>
        <w:t>et al</w:t>
      </w:r>
      <w:r w:rsidRPr="0013327C">
        <w:rPr>
          <w:rFonts w:asciiTheme="majorHAnsi" w:hAnsiTheme="majorHAnsi"/>
          <w:noProof/>
          <w:lang w:val="nl-NL"/>
        </w:rPr>
        <w:t xml:space="preserve">., 2003; Matsumoto </w:t>
      </w:r>
      <w:r w:rsidR="00466108" w:rsidRPr="00466108">
        <w:rPr>
          <w:rFonts w:asciiTheme="majorHAnsi" w:hAnsiTheme="majorHAnsi"/>
          <w:i/>
          <w:noProof/>
          <w:lang w:val="nl-NL"/>
        </w:rPr>
        <w:t>et al</w:t>
      </w:r>
      <w:r w:rsidRPr="0013327C">
        <w:rPr>
          <w:rFonts w:asciiTheme="majorHAnsi" w:hAnsiTheme="majorHAnsi"/>
          <w:noProof/>
          <w:lang w:val="nl-NL"/>
        </w:rPr>
        <w:t>., 2003)</w:t>
      </w:r>
      <w:r w:rsidR="009A1FEC" w:rsidRPr="0013327C">
        <w:rPr>
          <w:rFonts w:asciiTheme="majorHAnsi" w:hAnsiTheme="majorHAnsi"/>
        </w:rPr>
        <w:fldChar w:fldCharType="end"/>
      </w:r>
      <w:r w:rsidRPr="0013327C">
        <w:rPr>
          <w:rFonts w:asciiTheme="majorHAnsi" w:hAnsiTheme="majorHAnsi"/>
          <w:lang w:val="nl-NL"/>
        </w:rPr>
        <w:t xml:space="preserve"> in a </w:t>
      </w:r>
      <w:r w:rsidRPr="000C26B2">
        <w:rPr>
          <w:rFonts w:asciiTheme="majorHAnsi" w:hAnsiTheme="majorHAnsi"/>
          <w:i/>
          <w:lang w:val="nl-NL"/>
        </w:rPr>
        <w:t>PEX</w:t>
      </w:r>
      <w:r w:rsidRPr="0013327C">
        <w:rPr>
          <w:rFonts w:asciiTheme="majorHAnsi" w:hAnsiTheme="majorHAnsi"/>
          <w:lang w:val="nl-NL"/>
        </w:rPr>
        <w:t xml:space="preserve">15-dependent mechanism </w:t>
      </w:r>
      <w:r w:rsidR="009A1FEC" w:rsidRPr="0013327C">
        <w:rPr>
          <w:rFonts w:asciiTheme="majorHAnsi" w:hAnsiTheme="majorHAnsi"/>
        </w:rPr>
        <w:fldChar w:fldCharType="begin" w:fldLock="1"/>
      </w:r>
      <w:r w:rsidR="00D72F07">
        <w:rPr>
          <w:rFonts w:asciiTheme="majorHAnsi" w:hAnsiTheme="majorHAnsi"/>
          <w:lang w:val="nl-NL"/>
        </w:rPr>
        <w:instrText>ADDIN CSL_CITATION { "citationItems" : [ { "id" : "ITEM-1", "itemData" : { "DOI" : "10.1091/mbc.E02", "author" : [ { "dropping-particle" : "", "family" : "Birschmann", "given" : "Ingvild", "non-dropping-particle" : "", "parse-names" : false, "suffix" : "" }, { "dropping-particle" : "", "family" : "Stroobants", "given" : "An K", "non-dropping-particle" : "", "parse-names" : false, "suffix" : "" }, { "dropping-particle" : "Van Den", "family" : "Berg", "given" : "Marlene", "non-dropping-particle" : "", "parse-names" : false, "suffix" : "" } ], "container-title" : "Molecular biology of the cell", "id" : "ITEM-1", "issue" : "June", "issued" : { "date-parts" : [ [ "2003" ] ] }, "page" : "2226-2236", "title" : "Pex15p of Saccharomyces cerevisiae Provides a Molecular Basis for Recruitment of the AAA Peroxin Pex6p to Peroxisomal Membranes", "type" : "article-journal", "volume" : "14" }, "uris" : [ "http://www.mendeley.com/documents/?uuid=05e99787-fd9b-4f76-aa5f-fd25378be472" ] } ], "mendeley" : { "manualFormatting" : "(Birschmann et al., 2003)", "previouslyFormattedCitation" : "(Birschmann, Stroobants &amp; Berg 2003)"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lang w:val="nl-NL"/>
        </w:rPr>
        <w:t xml:space="preserve">(Birschmann </w:t>
      </w:r>
      <w:r w:rsidR="00466108" w:rsidRPr="00466108">
        <w:rPr>
          <w:rFonts w:asciiTheme="majorHAnsi" w:hAnsiTheme="majorHAnsi"/>
          <w:i/>
          <w:noProof/>
          <w:lang w:val="nl-NL"/>
        </w:rPr>
        <w:t>et al</w:t>
      </w:r>
      <w:r w:rsidRPr="0013327C">
        <w:rPr>
          <w:rFonts w:asciiTheme="majorHAnsi" w:hAnsiTheme="majorHAnsi"/>
          <w:noProof/>
          <w:lang w:val="nl-NL"/>
        </w:rPr>
        <w:t>., 2003)</w:t>
      </w:r>
      <w:r w:rsidR="009A1FEC" w:rsidRPr="0013327C">
        <w:rPr>
          <w:rFonts w:asciiTheme="majorHAnsi" w:hAnsiTheme="majorHAnsi"/>
        </w:rPr>
        <w:fldChar w:fldCharType="end"/>
      </w:r>
      <w:r w:rsidRPr="0013327C">
        <w:rPr>
          <w:rFonts w:asciiTheme="majorHAnsi" w:hAnsiTheme="majorHAnsi"/>
          <w:lang w:val="nl-NL"/>
        </w:rPr>
        <w:t xml:space="preserve">. </w:t>
      </w:r>
      <w:r w:rsidRPr="0013327C">
        <w:rPr>
          <w:rFonts w:asciiTheme="majorHAnsi" w:hAnsiTheme="majorHAnsi"/>
        </w:rPr>
        <w:t xml:space="preserve">In humans they interact with another PMP, </w:t>
      </w:r>
      <w:r w:rsidRPr="000C26B2">
        <w:rPr>
          <w:rFonts w:asciiTheme="majorHAnsi" w:hAnsiTheme="majorHAnsi"/>
          <w:i/>
        </w:rPr>
        <w:t>PEX</w:t>
      </w:r>
      <w:r w:rsidRPr="0013327C">
        <w:rPr>
          <w:rFonts w:asciiTheme="majorHAnsi" w:hAnsiTheme="majorHAnsi"/>
        </w:rPr>
        <w:t>26, a process also dependent on ATP hydrolysis</w:t>
      </w:r>
      <w:r w:rsidR="00E13648">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"10.1086/430637", "abstract" : "Matsumoto and colleagues recently identified PEX26 as the gene responsible for complementation group 8 of the peroxisome biogenesis disorders and showed that it encodes an integral peroxisomal membrane protein with a single C-terminal transmembrane domain and a cytosolic N-terminus that interacts with the PEX1/PEX6 heterodimer through direct binding to the latter. They proposed that PEX26 functions as the peroxisomal docking factor for the PEX1/PEX6 heterodimer. Here, we identify new PEX26 disease alleles, localize the PEX6-binding domain to the N-terminal half of the protein (aa 29-174), and show that, at the cellular level, PEX26 deficiency impairs peroxisomal import of both PTS1- and PTS2-targeted matrix proteins. Also, we find that PEX26 undergoes alternative splicing to produce several splice forms--including one, PEX26- delta ex5, that maintains frame and encodes an isoform lacking the transmembrane domain of full-length PEX26 (PEX26-FL). Despite its cytosolic location, PEX26- delta ex5 rescues peroxisome biogenesis in PEX26-deficient cells as efficiently as does PEX26-FL. To test our observation that a peroxisomal location is not required for PEX26 function, we made a chimeric protein (PEX26-Mito) with PEX26 as its N-terminus and the targeting segment of a mitochondrial outer membrane protein (OMP25) at its C-terminus. We found PEX26-Mito localized to the mitochondria and directed all detectable PEX6 and a fraction of PEX1 to this extraperoxisomal location; yet PEX26-Mito retains the full ability to rescue peroxisome biogenesis in PEX26-deficient cells. On the basis of these observations, we suggest that a peroxisomal localization of PEX26 and PEX6 is not required for their function and that the interaction of PEX6 with PEX1 is dynamic. This model predicts that, once activated in an extraperoxisomal location, PEX1 moves to the peroxisome and completes the function of the PEX1/6 heterodimer.", "author" : [ { "dropping-particle" : "", "family" : "Weller", "given" : "Sabine", "non-dropping-particle" : "", "parse-names" : false, "suffix" : "" }, { "dropping-particle" : "", "family" : "Cajigas", "given" : "Ivelisse", "non-dropping-particle" : "", "parse-names" : false, "suffix" : "" }, { "dropping-particle" : "", "family" : "Morrell", "given" : "James", "non-dropping-particle" : "", "parse-names" : false, "suffix" : "" }, { "dropping-particle" : "", "family" : "Obie", "given" : "Cassandra", "non-dropping-particle" : "", "parse-names" : false, "suffix" : "" }, { "dropping-particle" : "", "family" : "Steel", "given" : "Gary", "non-dropping-particle" : "", "parse-names" : false, "suffix" : "" }, { "dropping-particle" : "", "family" : "Gould", "given" : "Stephen J", "non-dropping-particle" : "", "parse-names" : false, "suffix" : "" }, { "dropping-particle" : "", "family" : "Valle", "given" : "David", "non-dropping-particle" : "", "parse-names" : false, "suffix" : "" } ], "container-title" : "American journal of human genetics", "id" : "ITEM-1", "issue" : "6", "issued" : { "date-parts" : [ [ "2005", "6" ] ] }, "page" : "987-1007", "title" : "Alternative splicing suggests extended function of PEX26 in peroxisome biogenesis.", "type" : "article-journal", "volume" : "76" }, "uris" : [ "http://www.mendeley.com/documents/?uuid=47950a05-df65-4634-be1a-280d66414305" ] } ], "mendeley" : { "manualFormatting" : "(Weller et al., 2005)", "previouslyFormattedCitation" : "(Weller et al. 2005)"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(Weller </w:t>
      </w:r>
      <w:r w:rsidR="00466108" w:rsidRPr="00466108">
        <w:rPr>
          <w:rFonts w:asciiTheme="majorHAnsi" w:hAnsiTheme="majorHAnsi"/>
          <w:i/>
          <w:noProof/>
        </w:rPr>
        <w:t>et al</w:t>
      </w:r>
      <w:r w:rsidRPr="0013327C">
        <w:rPr>
          <w:rFonts w:asciiTheme="majorHAnsi" w:hAnsiTheme="majorHAnsi"/>
          <w:noProof/>
        </w:rPr>
        <w:t>., 2005)</w:t>
      </w:r>
      <w:r w:rsidR="009A1FEC" w:rsidRPr="0013327C">
        <w:rPr>
          <w:rFonts w:asciiTheme="majorHAnsi" w:hAnsiTheme="majorHAnsi"/>
        </w:rPr>
        <w:fldChar w:fldCharType="end"/>
      </w:r>
      <w:r w:rsidRPr="0013327C">
        <w:rPr>
          <w:rFonts w:asciiTheme="majorHAnsi" w:hAnsiTheme="majorHAnsi"/>
        </w:rPr>
        <w:t xml:space="preserve">. The sub-cellular localisation of </w:t>
      </w:r>
      <w:r w:rsidRPr="000C26B2">
        <w:rPr>
          <w:rFonts w:asciiTheme="majorHAnsi" w:hAnsiTheme="majorHAnsi"/>
          <w:i/>
        </w:rPr>
        <w:t>PEX</w:t>
      </w:r>
      <w:r w:rsidRPr="0013327C">
        <w:rPr>
          <w:rFonts w:asciiTheme="majorHAnsi" w:hAnsiTheme="majorHAnsi"/>
        </w:rPr>
        <w:t xml:space="preserve">1 and </w:t>
      </w:r>
      <w:r w:rsidRPr="000C26B2">
        <w:rPr>
          <w:rFonts w:asciiTheme="majorHAnsi" w:hAnsiTheme="majorHAnsi"/>
          <w:i/>
        </w:rPr>
        <w:t>PEX</w:t>
      </w:r>
      <w:r w:rsidRPr="0013327C">
        <w:rPr>
          <w:rFonts w:asciiTheme="majorHAnsi" w:hAnsiTheme="majorHAnsi"/>
        </w:rPr>
        <w:t xml:space="preserve">6 is contra-indicated between species where they appear localised to the peroxisomal membrane in rats but are apparently associated with cytosolic vesicles in </w:t>
      </w:r>
      <w:r w:rsidRPr="0013327C">
        <w:rPr>
          <w:rFonts w:asciiTheme="majorHAnsi" w:hAnsiTheme="majorHAnsi"/>
          <w:i/>
        </w:rPr>
        <w:t>P. pastoris</w:t>
      </w:r>
      <w:r w:rsidRPr="0013327C">
        <w:rPr>
          <w:rFonts w:asciiTheme="majorHAnsi" w:hAnsiTheme="majorHAnsi"/>
        </w:rPr>
        <w:t xml:space="preserve"> and </w:t>
      </w:r>
      <w:r w:rsidRPr="0013327C">
        <w:rPr>
          <w:rFonts w:asciiTheme="majorHAnsi" w:hAnsiTheme="majorHAnsi"/>
          <w:i/>
        </w:rPr>
        <w:t>Y. lipolytica</w:t>
      </w:r>
      <w:r w:rsidRPr="0013327C">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"Kiel", "given" : "J", "non-dropping-particle" : "", "parse-names" : false, "suffix" : "" }, { "dropping-particle" : "", "family" : "Hilbrands", "given" : "R", "non-dropping-particle" : "", "parse-names" : false, "suffix" : "" }, { "dropping-particle" : "van der", "family" : "Klei", "given" : "I", "non-dropping-particle" : "", "parse-names" : false, "suffix" : "" }, { "dropping-particle" : "", "family" : "Rasmussen", "given" : "S", "non-dropping-particle" : "", "parse-names" : false, "suffix" : "" }, { "dropping-particle" : "", "family" : "Salomons", "given" : "F", "non-dropping-particle" : "", "parse-names" : false, "suffix" : "" }, { "dropping-particle" : "van der", "family" : "Heide", "given" : "M", "non-dropping-particle" : "", "parse-names" : false, "suffix" : "" }, { "dropping-particle" : "", "family" : "Faber", "given" : "K", "non-dropping-particle" : "", "parse-names" : false, "suffix" : "" }, { "dropping-particle" : "", "family" : "Cregg", "given" : "J", "non-dropping-particle" : "", "parse-names" : false, "suffix" : "" }, { "dropping-particle" : "", "family" : "Veenhuis", "given" : "M", "non-dropping-particle" : "", "parse-names" : false, "suffix" : "" } ], "container-title" : "Yeast", "id" : "ITEM-1", "issue" : "October 1998", "issued" : { "date-parts" : [ [ "1999" ] ] }, "page" : "1059-1078", "title" : "Hansenula polymorpha Pex1p and Pex6p are peroxisome-associated AAA proteins that functionally and physically interact.", "type" : "article-journal", "volume" : "1078" }, "uris" : [ "http://www.mendeley.com/documents/?uuid=cfa2eff7-12c8-4325-92ce-948b063c101c" ] } ], "mendeley" : { "previouslyFormattedCitation" : "(Kiel et al. 1999)"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(Kiel </w:t>
      </w:r>
      <w:r w:rsidR="00466108" w:rsidRPr="00466108">
        <w:rPr>
          <w:rFonts w:asciiTheme="majorHAnsi" w:hAnsiTheme="majorHAnsi"/>
          <w:i/>
          <w:noProof/>
        </w:rPr>
        <w:t>et al</w:t>
      </w:r>
      <w:r w:rsidRPr="0013327C">
        <w:rPr>
          <w:rFonts w:asciiTheme="majorHAnsi" w:hAnsiTheme="majorHAnsi"/>
          <w:noProof/>
        </w:rPr>
        <w:t>. 1999)</w:t>
      </w:r>
      <w:r w:rsidR="009A1FEC" w:rsidRPr="0013327C">
        <w:rPr>
          <w:rFonts w:asciiTheme="majorHAnsi" w:hAnsiTheme="majorHAnsi"/>
        </w:rPr>
        <w:fldChar w:fldCharType="end"/>
      </w:r>
      <w:r w:rsidRPr="0013327C">
        <w:rPr>
          <w:rFonts w:asciiTheme="majorHAnsi" w:hAnsiTheme="majorHAnsi"/>
        </w:rPr>
        <w:t xml:space="preserve">. </w:t>
      </w:r>
      <w:r w:rsidRPr="000C26B2">
        <w:rPr>
          <w:rFonts w:asciiTheme="majorHAnsi" w:hAnsiTheme="majorHAnsi"/>
          <w:i/>
        </w:rPr>
        <w:t>PEX</w:t>
      </w:r>
      <w:r w:rsidRPr="0013327C">
        <w:rPr>
          <w:rFonts w:asciiTheme="majorHAnsi" w:hAnsiTheme="majorHAnsi"/>
        </w:rPr>
        <w:t xml:space="preserve">1 is the single most common peroxisome loss-of-function mutant in humans, alleles of which account for almost 60% of human hereditary disease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"10.1016/j.bbadis.2012.04.006", "author" : [ { "dropping-particle" : "", "family" : "Waterham", "given" : "Hans R.", "non-dropping-particle" : "", "parse-names" : false, "suffix" : "" }, { "dropping-particle" : "", "family" : "Ebberink", "given" : "Merel S.", "non-dropping-particle" : "", "parse-names" : false, "suffix" : "" } ], "container-title" : "Biochimica et Biophysica Acta (BBA) - Molecular Basis of Disease", "id" : "ITEM-1", "issue" : "9", "issued" : { "date-parts" : [ [ "2012", "9" ] ] }, "page" : "1430-1441", "publisher" : "Elsevier B.V.", "title" : "Genetics and molecular basis of human peroxisome biogenesis disorders", "type" : "article-journal", "volume" : "1822" }, "uris" : [ "http://www.mendeley.com/documents/?uuid=c27996a1-2818-4898-ad2a-1f5d3dfa57d3" ] } ], "mendeley" : { "previouslyFormattedCitation" : "(Waterham &amp; Ebberink 2012)"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(Waterham &amp; Ebberink 2012)</w:t>
      </w:r>
      <w:r w:rsidR="009A1FEC" w:rsidRPr="0013327C">
        <w:rPr>
          <w:rFonts w:asciiTheme="majorHAnsi" w:hAnsiTheme="majorHAnsi"/>
        </w:rPr>
        <w:fldChar w:fldCharType="end"/>
      </w:r>
      <w:r w:rsidRPr="0013327C">
        <w:rPr>
          <w:rFonts w:asciiTheme="majorHAnsi" w:hAnsiTheme="majorHAnsi"/>
        </w:rPr>
        <w:t>.</w:t>
      </w:r>
      <w:r>
        <w:rPr>
          <w:rFonts w:asciiTheme="majorHAnsi" w:hAnsiTheme="majorHAnsi"/>
        </w:rPr>
        <w:t xml:space="preserve"> </w:t>
      </w:r>
      <w:r w:rsidRPr="003071AB">
        <w:rPr>
          <w:rFonts w:asciiTheme="majorHAnsi" w:hAnsiTheme="majorHAnsi"/>
          <w:i/>
        </w:rPr>
        <w:t>S. cerevisiae</w:t>
      </w:r>
      <w:r>
        <w:rPr>
          <w:rFonts w:asciiTheme="majorHAnsi" w:hAnsiTheme="majorHAnsi"/>
        </w:rPr>
        <w:t xml:space="preserve"> cells lacking any of </w:t>
      </w:r>
      <w:r w:rsidR="00D93535" w:rsidRPr="00D93535">
        <w:rPr>
          <w:rFonts w:asciiTheme="majorHAnsi" w:hAnsiTheme="majorHAnsi"/>
          <w:i/>
        </w:rPr>
        <w:t>PEX</w:t>
      </w:r>
      <w:r>
        <w:rPr>
          <w:rFonts w:asciiTheme="majorHAnsi" w:hAnsiTheme="majorHAnsi"/>
        </w:rPr>
        <w:t xml:space="preserve">1, </w:t>
      </w:r>
      <w:r w:rsidR="00D93535" w:rsidRPr="00D93535">
        <w:rPr>
          <w:rFonts w:asciiTheme="majorHAnsi" w:hAnsiTheme="majorHAnsi"/>
          <w:i/>
        </w:rPr>
        <w:t>PEX</w:t>
      </w:r>
      <w:r>
        <w:rPr>
          <w:rFonts w:asciiTheme="majorHAnsi" w:hAnsiTheme="majorHAnsi"/>
        </w:rPr>
        <w:t xml:space="preserve">6, </w:t>
      </w:r>
      <w:r w:rsidR="00D93535" w:rsidRPr="00D93535">
        <w:rPr>
          <w:rFonts w:asciiTheme="majorHAnsi" w:hAnsiTheme="majorHAnsi"/>
          <w:i/>
        </w:rPr>
        <w:t>PEX</w:t>
      </w:r>
      <w:r>
        <w:rPr>
          <w:rFonts w:asciiTheme="majorHAnsi" w:hAnsiTheme="majorHAnsi"/>
        </w:rPr>
        <w:t xml:space="preserve">15 or </w:t>
      </w:r>
      <w:r w:rsidR="00D93535" w:rsidRPr="00D93535">
        <w:rPr>
          <w:rFonts w:asciiTheme="majorHAnsi" w:hAnsiTheme="majorHAnsi"/>
          <w:i/>
        </w:rPr>
        <w:t>PEX</w:t>
      </w:r>
      <w:r>
        <w:rPr>
          <w:rFonts w:asciiTheme="majorHAnsi" w:hAnsiTheme="majorHAnsi"/>
        </w:rPr>
        <w:t>22 contain peroxisomes with an accumulation of poly-ubiquitinated Pex5p on the peroxisomal membrane</w:t>
      </w:r>
      <w:r w:rsidR="009A1FEC">
        <w:rPr>
          <w:rFonts w:asciiTheme="majorHAnsi" w:hAnsiTheme="majorHAnsi"/>
        </w:rPr>
        <w:fldChar w:fldCharType="begin" w:fldLock="1"/>
      </w:r>
      <w:r w:rsidR="00D72F07">
        <w:rPr>
          <w:rFonts w:asciiTheme="majorHAnsi" w:hAnsiTheme="majorHAnsi"/>
        </w:rPr>
        <w:instrText>ADDIN CSL_CITATION { "citationItems" : [ { "id" : "ITEM-1", "itemData" : { "abstract" : "Peroxisomes are independent organelles found in virtually all eukaryotic cells. Genetic studies have identified more than 20 PEX genes that are required for peroxisome biogenesis. The role of most PEX gene products, peroxins, remains to be determined, but a variety of studies have established that Pex5p binds the type 1 peroxisomal targeting signal and is the import receptor for most newly synthesized peroxisomal matrix proteins. The steady-state abundance of Pex5p is unaffected in most pex mutants of the yeast Pichia pastoris but is severely reduced in pex4 and pex22 mutants and moderately reduced in pex1 and pex6 mutants. We used these subphenotypes to determine the epistatic relationships among several groups of pex mutants. Our results demonstrate that Pex4p acts after the peroxisome membrane synthesis factor Pex3p, the Pex5p docking factors Pex13p and Pex14p, the matrix protein import factors Pex8p, Pex10p, and Pex12p, and two other peroxins, Pex2p and Pex17p. Pex22p and the interacting AAA ATPases Pex1p and Pex6p were also found to act after Pex10p. Furthermore, Pex1p and Pex6p were found to act upstream of Pex4p and Pex22p. These results suggest that Pex1p, Pex4p, Pex6p, and Pex22p act late in peroxisomal matrix protein import, after matrix protein translocation. This hypothesis is supported by the phenotypes of the corresponding mutant strains. As has been shown previously for P. pastoris pex1, pex6, and pex22 mutant cells, we show here that pex4Delta mutant cells contain peroxisomal membrane protein-containing peroxisomes that import residual amounts of peroxisomal matrix proteins.", "author" : [ { "dropping-particle" : "", "family" : "Collins", "given" : "C S", "non-dropping-particle" : "", "parse-names" : false, "suffix" : "" }, { "dropping-particle" : "", "family" : "Kalish", "given" : "J E", "non-dropping-particle" : "", "parse-names" : false, "suffix" : "" }, { "dropping-particle" : "", "family" : "Morrell", "given" : "J C", "non-dropping-particle" : "", "parse-names" : false, "suffix" : "" }, { "dropping-particle" : "", "family" : "McCaffery", "given" : "J M", "non-dropping-particle" : "", "parse-names" : false, "suffix" : "" }, { "dropping-particle" : "", "family" : "Gould", "given" : "S J", "non-dropping-particle" : "", "parse-names" : false, "suffix" : "" } ], "container-title" : "Molecular and cellular biology", "id" : "ITEM-1", "issue" : "20", "issued" : { "date-parts" : [ [ "2000", "10" ] ] }, "page" : "7516-26", "title" : "The peroxisome biogenesis factors pex4p, pex22p, pex1p, and pex6p act in the terminal steps of peroxisomal matrix protein import.", "type" : "article-journal", "volume" : "20" }, "uris" : [ "http://www.mendeley.com/documents/?uuid=bd945f8d-0b10-4a64-bfd4-25d44b59ae31" ] } ], "mendeley" : { "previouslyFormattedCitation" : "(Collins et al. 2000)" }, "properties" : { "noteIndex" : 0 }, "schema" : "https://github.com/citation-style-language/schema/raw/master/csl-citation.json" }</w:instrText>
      </w:r>
      <w:r w:rsidR="009A1FEC">
        <w:rPr>
          <w:rFonts w:asciiTheme="majorHAnsi" w:hAnsiTheme="majorHAnsi"/>
        </w:rPr>
        <w:fldChar w:fldCharType="separate"/>
      </w:r>
      <w:r w:rsidRPr="003071AB">
        <w:rPr>
          <w:rFonts w:asciiTheme="majorHAnsi" w:hAnsiTheme="majorHAnsi"/>
          <w:noProof/>
        </w:rPr>
        <w:t xml:space="preserve">(Collins </w:t>
      </w:r>
      <w:r w:rsidR="00466108" w:rsidRPr="00466108">
        <w:rPr>
          <w:rFonts w:asciiTheme="majorHAnsi" w:hAnsiTheme="majorHAnsi"/>
          <w:i/>
          <w:noProof/>
        </w:rPr>
        <w:t>et al</w:t>
      </w:r>
      <w:r w:rsidRPr="003071AB">
        <w:rPr>
          <w:rFonts w:asciiTheme="majorHAnsi" w:hAnsiTheme="majorHAnsi"/>
          <w:noProof/>
        </w:rPr>
        <w:t>. 2000)</w:t>
      </w:r>
      <w:r w:rsidR="009A1FEC">
        <w:rPr>
          <w:rFonts w:asciiTheme="majorHAnsi" w:hAnsiTheme="majorHAnsi"/>
        </w:rPr>
        <w:fldChar w:fldCharType="end"/>
      </w:r>
      <w:r>
        <w:rPr>
          <w:rFonts w:asciiTheme="majorHAnsi" w:hAnsiTheme="majorHAnsi"/>
        </w:rPr>
        <w:t xml:space="preserve">. </w:t>
      </w:r>
    </w:p>
    <w:p w:rsidR="00FD54DA" w:rsidRDefault="00FD54DA" w:rsidP="00FD54DA">
      <w:pPr>
        <w:jc w:val="both"/>
        <w:rPr>
          <w:rFonts w:asciiTheme="majorHAnsi" w:hAnsiTheme="majorHAnsi"/>
        </w:rPr>
      </w:pPr>
      <w:r w:rsidRPr="0013327C">
        <w:rPr>
          <w:rFonts w:asciiTheme="majorHAnsi" w:hAnsiTheme="majorHAnsi"/>
        </w:rPr>
        <w:t>Ub-</w:t>
      </w:r>
      <w:r w:rsidRPr="000C26B2">
        <w:rPr>
          <w:rFonts w:asciiTheme="majorHAnsi" w:hAnsiTheme="majorHAnsi"/>
          <w:i/>
        </w:rPr>
        <w:t>PEX</w:t>
      </w:r>
      <w:r w:rsidRPr="0013327C">
        <w:rPr>
          <w:rFonts w:asciiTheme="majorHAnsi" w:hAnsiTheme="majorHAnsi"/>
        </w:rPr>
        <w:t>5 is returned to the cytosol</w:t>
      </w:r>
      <w:r>
        <w:rPr>
          <w:rFonts w:asciiTheme="majorHAnsi" w:hAnsiTheme="majorHAnsi"/>
        </w:rPr>
        <w:t xml:space="preserve"> in WT cells, the de-ubiquitinatin</w:t>
      </w:r>
      <w:r w:rsidRPr="0013327C">
        <w:rPr>
          <w:rFonts w:asciiTheme="majorHAnsi" w:hAnsiTheme="majorHAnsi"/>
        </w:rPr>
        <w:t xml:space="preserve">g enzyme responsible for its eponymous process is unknown. </w:t>
      </w:r>
      <w:r>
        <w:rPr>
          <w:rFonts w:asciiTheme="majorHAnsi" w:hAnsiTheme="majorHAnsi"/>
        </w:rPr>
        <w:t xml:space="preserve">Mono-ubiquitinated </w:t>
      </w:r>
      <w:r w:rsidR="00D93535" w:rsidRPr="00D93535">
        <w:rPr>
          <w:rFonts w:asciiTheme="majorHAnsi" w:hAnsiTheme="majorHAnsi"/>
          <w:i/>
        </w:rPr>
        <w:t>PEX</w:t>
      </w:r>
      <w:r>
        <w:rPr>
          <w:rFonts w:asciiTheme="majorHAnsi" w:hAnsiTheme="majorHAnsi"/>
        </w:rPr>
        <w:t xml:space="preserve">5 is recycled to the cytosol for subsequent matrix protein transport. Mono-ubiquitination occurs on a N-terminal cysteine residue conserved on </w:t>
      </w:r>
      <w:r w:rsidR="00D93535" w:rsidRPr="00D93535">
        <w:rPr>
          <w:rFonts w:asciiTheme="majorHAnsi" w:hAnsiTheme="majorHAnsi"/>
          <w:i/>
        </w:rPr>
        <w:t>PEX</w:t>
      </w:r>
      <w:r>
        <w:rPr>
          <w:rFonts w:asciiTheme="majorHAnsi" w:hAnsiTheme="majorHAnsi"/>
        </w:rPr>
        <w:t xml:space="preserve">5, its recycling is prevented by the mutation of these conserved cysteine residues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"10.1074/jbc.M808978200", "abstract" : "Pex5p, the peroxisomal protein cycling receptor, binds newly synthesized peroxisomal matrix proteins in the cytosol and promotes their translocation across the organelle membrane. During its transient passage through the membrane, Pex5p is monoubiquitinated at a conserved cysteine residue, a requisite for its subsequent ATP-dependent export back into the cytosol. Here we describe the properties of the soluble and membrane-bound monoubiquitinated Pex5p species (Ub-Pex5p). Our data suggest that 1) Ub-Pex5p is deubiquitinated by a combination of context-dependent enzymatic and nonenzymatic mechanisms; 2) soluble Ub-Pex5p retains the capacity to interact with the peroxisomal import machinery in a cargo-dependent manner; and 3) substitution of the conserved cysteine residue of Pex5p by a lysine results in a quite functional protein both in vitro and in vivo. Additionally, we show that MG132, a proteasome inhibitor, blocks the import of a peroxisomal reporter protein in vivo.", "author" : [ { "dropping-particle" : "", "family" : "Grou", "given" : "Cl\u00e1udia P", "non-dropping-particle" : "", "parse-names" : false, "suffix" : "" }, { "dropping-particle" : "", "family" : "Carvalho", "given" : "Andreia F", "non-dropping-particle" : "", "parse-names" : false, "suffix" : "" }, { "dropping-particle" : "", "family" : "Pinto", "given" : "Manuel P", "non-dropping-particle" : "", "parse-names" : false, "suffix" : "" }, { "dropping-particle" : "", "family" : "Huybrechts", "given" : "Sofie J", "non-dropping-particle" : "", "parse-names" : false, "suffix" : "" }, { "dropping-particle" : "", "family" : "S\u00e1-Miranda", "given" : "Clara", "non-dropping-particle" : "", "parse-names" : false, "suffix" : "" }, { "dropping-particle" : "", "family" : "Fransen", "given" : "Marc", "non-dropping-particle" : "", "parse-names" : false, "suffix" : "" }, { "dropping-particle" : "", "family" : "Azevedo", "given" : "Jorge E", "non-dropping-particle" : "", "parse-names" : false, "suffix" : "" } ], "container-title" : "The Journal of biological chemistry", "id" : "ITEM-1", "issue" : "16", "issued" : { "date-parts" : [ [ "2009", "4", "17" ] ] }, "page" : "10504-13", "title" : "Properties of the ubiquitin-pex5p thiol ester conjugate.", "type" : "article-journal", "volume" : "284" }, "uris" : [ "http://www.mendeley.com/documents/?uuid=bcf0ca2d-9477-4900-8109-438353b56e74" ] } ], "mendeley" : { "previouslyFormattedCitation" : "(Grou et al. 2009)" }, "properties" : { "noteIndex" : 0 }, "schema" : "https://github.com/citation-style-language/schema/raw/master/csl-citation.json" }</w:instrText>
      </w:r>
      <w:r w:rsidR="009A1FEC">
        <w:rPr>
          <w:rFonts w:asciiTheme="majorHAnsi" w:hAnsiTheme="majorHAnsi"/>
        </w:rPr>
        <w:fldChar w:fldCharType="separate"/>
      </w:r>
      <w:r w:rsidRPr="009528D3">
        <w:rPr>
          <w:rFonts w:asciiTheme="majorHAnsi" w:hAnsiTheme="majorHAnsi"/>
          <w:noProof/>
        </w:rPr>
        <w:t xml:space="preserve">(Grou </w:t>
      </w:r>
      <w:r w:rsidR="00466108" w:rsidRPr="00466108">
        <w:rPr>
          <w:rFonts w:asciiTheme="majorHAnsi" w:hAnsiTheme="majorHAnsi"/>
          <w:i/>
          <w:noProof/>
        </w:rPr>
        <w:t>et al</w:t>
      </w:r>
      <w:r w:rsidRPr="009528D3">
        <w:rPr>
          <w:rFonts w:asciiTheme="majorHAnsi" w:hAnsiTheme="majorHAnsi"/>
          <w:noProof/>
        </w:rPr>
        <w:t>. 2009)</w:t>
      </w:r>
      <w:r w:rsidR="009A1FEC">
        <w:rPr>
          <w:rFonts w:asciiTheme="majorHAnsi" w:hAnsiTheme="majorHAnsi"/>
        </w:rPr>
        <w:fldChar w:fldCharType="end"/>
      </w:r>
      <w:r>
        <w:rPr>
          <w:rFonts w:asciiTheme="majorHAnsi" w:hAnsiTheme="majorHAnsi"/>
        </w:rPr>
        <w:t xml:space="preserve">. While </w:t>
      </w:r>
      <w:r w:rsidR="00D93535" w:rsidRPr="00D93535">
        <w:rPr>
          <w:rFonts w:asciiTheme="majorHAnsi" w:hAnsiTheme="majorHAnsi"/>
          <w:i/>
        </w:rPr>
        <w:t>PEX</w:t>
      </w:r>
      <w:r>
        <w:rPr>
          <w:rFonts w:asciiTheme="majorHAnsi" w:hAnsiTheme="majorHAnsi"/>
        </w:rPr>
        <w:t xml:space="preserve">4 is the yeast–specific E2-ubiquitin-conjugating enzyme (Ubc), in mammals the process is carried out by the UbcH5a/b/c family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"10.1042/BJ20040572", "abstract" : "Proteins harbouring a peroxisomal targeting signal of type 1 (PTS1) are recognized by the import receptor Pex5p in the cytosol which directs them to a docking and translocation complex at the peroxisomal membrane. We demonstrate the ubiquitination of Pex5p in cells lacking components of the peroxisomal AAA (ATPases associated with various cellular activities) or Pex4p-Pex22p complexes of the peroxisomal protein import machinery and in cells affected in proteasomal degradation. In cells lacking components of the Pex4p-Pex22p complex, mono-ubiquitinated Pex5p represents the major modification, while in cells lacking components of the AAA complex polyubiquitinated forms are most prominent. Ubiquitination of Pex5p is shown to take place exclusively at the peroxisomal membrane after the docking step, and requires the presence of the RING-finger peroxin Pex10p. Mono- and poly-ubiquitination are demonstrated to depend on the ubiquitin-conjugating enzyme Ubc4p, suggesting that the ubiquitinated forms of Pex5p are targeted for proteasomal degradation. Accumulation of ubiquitinated Pex5p in proteasomal mutants demonstrates that the ubiquitination of Pex5p also takes place in strains which are not affected in peroxisomal biogenesis, indicating that the ubiquitination of Pex5p represents a genuine stage in the Pex5p receptor cycle.", "author" : [ { "dropping-particle" : "", "family" : "Platta", "given" : "Harald W", "non-dropping-particle" : "", "parse-names" : false, "suffix" : "" }, { "dropping-particle" : "", "family" : "Girzalsky", "given" : "Wolfgang", "non-dropping-particle" : "", "parse-names" : false, "suffix" : "" }, { "dropping-particle" : "", "family" : "Erdmann", "given" : "Ralf", "non-dropping-particle" : "", "parse-names" : false, "suffix" : "" } ], "container-title" : "The Biochemical journal", "id" : "ITEM-1", "issue" : "Pt 1", "issued" : { "date-parts" : [ [ "2004", "11", "15" ] ] }, "page" : "37-45", "title" : "Ubiquitination of the peroxisomal import receptor Pex5p.", "type" : "article-journal", "volume" : "384" }, "uris" : [ "http://www.mendeley.com/documents/?uuid=39d4f7a6-ab6d-406f-bc82-d982fb554c79" ] } ], "mendeley" : { "previouslyFormattedCitation" : "(Platta, Girzalsky &amp; Erdmann 2004)" }, "properties" : { "noteIndex" : 0 }, "schema" : "https://github.com/citation-style-language/schema/raw/master/csl-citation.json" }</w:instrText>
      </w:r>
      <w:r w:rsidR="009A1FEC">
        <w:rPr>
          <w:rFonts w:asciiTheme="majorHAnsi" w:hAnsiTheme="majorHAnsi"/>
        </w:rPr>
        <w:fldChar w:fldCharType="separate"/>
      </w:r>
      <w:r w:rsidRPr="00335D32">
        <w:rPr>
          <w:rFonts w:asciiTheme="majorHAnsi" w:hAnsiTheme="majorHAnsi"/>
          <w:noProof/>
        </w:rPr>
        <w:t>(Platta, Girzalsky &amp; Erdmann 2004)</w:t>
      </w:r>
      <w:r w:rsidR="009A1FEC">
        <w:rPr>
          <w:rFonts w:asciiTheme="majorHAnsi" w:hAnsiTheme="majorHAnsi"/>
        </w:rPr>
        <w:fldChar w:fldCharType="end"/>
      </w:r>
      <w:r>
        <w:rPr>
          <w:rFonts w:asciiTheme="majorHAnsi" w:hAnsiTheme="majorHAnsi"/>
        </w:rPr>
        <w:t xml:space="preserve">. The ubiquitinated E2-Ubc transfers the ubiquitin peptide to </w:t>
      </w:r>
      <w:r w:rsidR="00D93535" w:rsidRPr="00D93535">
        <w:rPr>
          <w:rFonts w:asciiTheme="majorHAnsi" w:hAnsiTheme="majorHAnsi"/>
          <w:i/>
        </w:rPr>
        <w:t>PEX</w:t>
      </w:r>
      <w:r>
        <w:rPr>
          <w:rFonts w:asciiTheme="majorHAnsi" w:hAnsiTheme="majorHAnsi"/>
        </w:rPr>
        <w:t xml:space="preserve">5 via the RING-finger protein </w:t>
      </w:r>
      <w:r w:rsidR="00D93535" w:rsidRPr="00D93535">
        <w:rPr>
          <w:rFonts w:asciiTheme="majorHAnsi" w:hAnsiTheme="majorHAnsi"/>
          <w:i/>
        </w:rPr>
        <w:t>PEX</w:t>
      </w:r>
      <w:r>
        <w:rPr>
          <w:rFonts w:asciiTheme="majorHAnsi" w:hAnsiTheme="majorHAnsi"/>
        </w:rPr>
        <w:t>12</w:t>
      </w:r>
      <w:r w:rsidR="00F36C45">
        <w:rPr>
          <w:rFonts w:asciiTheme="majorHAnsi" w:hAnsiTheme="majorHAnsi"/>
        </w:rPr>
        <w:t xml:space="preserve"> </w:t>
      </w:r>
      <w:r w:rsidR="009C64AD">
        <w:rPr>
          <w:rFonts w:asciiTheme="majorHAnsi" w:hAnsiTheme="majorHAnsi"/>
        </w:rPr>
        <w:t xml:space="preserve">that acts as the E3-Ubc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"10.1128/MCB.00388-09", "abstract" : "The PTS1-dependent peroxisomal matrix protein import is facilitated by the receptor protein Pex5 and can be divided into cargo recognition in the cytosol, membrane docking of the cargo-receptor complex, cargo release, and recycling of the receptor. The final step is controlled by the ubiquitination status of Pex5. While polyubiquitinated Pex5 is degraded by the proteasome, monoubiquitinated Pex5 is destined for a new round of the receptor cycle. Recently, the ubiquitin-conjugating enzymes involved in Pex5 ubiquitination were identified as Ubc4 and Pex4 (Ubc10), whereas the identity of the corresponding protein-ubiquitin ligases remained unknown. Here we report on the identification of the protein-ubiquitin ligases that are responsible for the ubiquitination of the peroxisomal protein import receptor Pex5. It is demonstrated that each of the three RING peroxins Pex2, Pex10, and Pex12 exhibits ubiquitin-protein isopeptide ligase activity. Our results show that Pex2 mediates the Ubc4-dependent polyubiquitination whereas Pex12 facilitates the Pex4-dependent monoubiquitination of Pex5.", "author" : [ { "dropping-particle" : "", "family" : "Platta", "given" : "Harald W", "non-dropping-particle" : "", "parse-names" : false, "suffix" : "" }, { "dropping-particle" : "", "family" : "Magraoui", "given" : "Fouzi", "non-dropping-particle" : "El", "parse-names" : false, "suffix" : "" }, { "dropping-particle" : "", "family" : "B\u00e4umer", "given" : "Bastian E", "non-dropping-particle" : "", "parse-names" : false, "suffix" : "" }, { "dropping-particle" : "", "family" : "Schlee", "given" : "Daniel", "non-dropping-particle" : "", "parse-names" : false, "suffix" : "" }, { "dropping-particle" : "", "family" : "Girzalsky", "given" : "Wolfgang", "non-dropping-particle" : "", "parse-names" : false, "suffix" : "" }, { "dropping-particle" : "", "family" : "Erdmann", "given" : "Ralf", "non-dropping-particle" : "", "parse-names" : false, "suffix" : "" } ], "container-title" : "Molecular and cellular biology", "id" : "ITEM-1", "issue" : "20", "issued" : { "date-parts" : [ [ "2009", "10" ] ] }, "page" : "5505-16", "title" : "Pex2 and pex12 function as protein-ubiquitin ligases in peroxisomal protein import.", "type" : "article-journal", "volume" : "29" }, "uris" : [ "http://www.mendeley.com/documents/?uuid=4be95f4d-8be8-423d-82a3-041b1a138c15" ] } ], "mendeley" : { "previouslyFormattedCitation" : "(Platta et al. 2009)" }, "properties" : { "noteIndex" : 0 }, "schema" : "https://github.com/citation-style-language/schema/raw/master/csl-citation.json" }</w:instrText>
      </w:r>
      <w:r w:rsidR="009A1FEC">
        <w:rPr>
          <w:rFonts w:asciiTheme="majorHAnsi" w:hAnsiTheme="majorHAnsi"/>
        </w:rPr>
        <w:fldChar w:fldCharType="separate"/>
      </w:r>
      <w:r w:rsidR="009C64AD" w:rsidRPr="009C64AD">
        <w:rPr>
          <w:rFonts w:asciiTheme="majorHAnsi" w:hAnsiTheme="majorHAnsi"/>
          <w:noProof/>
        </w:rPr>
        <w:t xml:space="preserve">(Platta </w:t>
      </w:r>
      <w:r w:rsidR="00466108" w:rsidRPr="00466108">
        <w:rPr>
          <w:rFonts w:asciiTheme="majorHAnsi" w:hAnsiTheme="majorHAnsi"/>
          <w:i/>
          <w:noProof/>
        </w:rPr>
        <w:t>et al</w:t>
      </w:r>
      <w:r w:rsidR="009C64AD" w:rsidRPr="009C64AD">
        <w:rPr>
          <w:rFonts w:asciiTheme="majorHAnsi" w:hAnsiTheme="majorHAnsi"/>
          <w:noProof/>
        </w:rPr>
        <w:t>. 2009)</w:t>
      </w:r>
      <w:r w:rsidR="009A1FEC">
        <w:rPr>
          <w:rFonts w:asciiTheme="majorHAnsi" w:hAnsiTheme="majorHAnsi"/>
        </w:rPr>
        <w:fldChar w:fldCharType="end"/>
      </w:r>
      <w:r>
        <w:rPr>
          <w:rFonts w:asciiTheme="majorHAnsi" w:hAnsiTheme="majorHAnsi"/>
        </w:rPr>
        <w:t>.</w:t>
      </w:r>
      <w:r w:rsidR="009C64AD">
        <w:rPr>
          <w:rFonts w:asciiTheme="majorHAnsi" w:hAnsiTheme="majorHAnsi"/>
        </w:rPr>
        <w:t xml:space="preserve"> </w:t>
      </w:r>
      <w:r w:rsidR="00D93535" w:rsidRPr="00D93535">
        <w:rPr>
          <w:rFonts w:asciiTheme="majorHAnsi" w:hAnsiTheme="majorHAnsi"/>
          <w:i/>
        </w:rPr>
        <w:t>PEX</w:t>
      </w:r>
      <w:r w:rsidR="009C64AD">
        <w:rPr>
          <w:rFonts w:asciiTheme="majorHAnsi" w:hAnsiTheme="majorHAnsi"/>
        </w:rPr>
        <w:t xml:space="preserve">1 and </w:t>
      </w:r>
      <w:r w:rsidR="00D93535" w:rsidRPr="00D93535">
        <w:rPr>
          <w:rFonts w:asciiTheme="majorHAnsi" w:hAnsiTheme="majorHAnsi"/>
          <w:i/>
        </w:rPr>
        <w:t>PEX</w:t>
      </w:r>
      <w:r w:rsidR="009C64AD">
        <w:rPr>
          <w:rFonts w:asciiTheme="majorHAnsi" w:hAnsiTheme="majorHAnsi"/>
        </w:rPr>
        <w:t xml:space="preserve">6 then facilitate the dislocation of </w:t>
      </w:r>
      <w:r w:rsidR="00A4044C">
        <w:rPr>
          <w:rFonts w:asciiTheme="majorHAnsi" w:hAnsiTheme="majorHAnsi"/>
        </w:rPr>
        <w:t>Ub-Pex5p from the membrane</w:t>
      </w:r>
      <w:r w:rsidR="00B14833">
        <w:rPr>
          <w:rFonts w:asciiTheme="majorHAnsi" w:hAnsiTheme="majorHAnsi"/>
        </w:rPr>
        <w:t xml:space="preserve">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"10.1042/BST0360099", "abstract" : "The discovery of the peroxisomal ATPase Pex1p triggered the beginning of the research on AAA (ATPase associated with various cellular activities) proteins and the genetic dissection of peroxisome biogenesis. Peroxisomes are virtually ubiquitous organelles, which are connected to diverse cellular functions. The highly diverse and adaptive character of peroxisomes is accomplished by modulation of their enzyme content, which is mediated by dynamically operating protein-import machineries. The import of matrix proteins into the peroxisomal lumen has been described as the ATP-consuming step, but the corresponding reaction, as well as the ATPase responsible, had been obscure for nearly 15 years. Recent work using yeast and human fibroblast cells has identified the peroxisomal AAA proteins Pex1p and Pex6p as mechano-enzymes and core components of a complex which dislocates the cycling import receptor Pex5p from the peroxisomal membrane back to the cytosol. This AAA-mediated process is regulated by the ubiquitination status of the receptor. Pex4p [Ubc10p (ubiquitin-conjugating enzyme 10)]-catalysed mono-ubiquitination of Pex5p primes the receptor for recycling, thereby enabling further rounds of matrix protein import, whereas Ubc4p-catalysed polyubiquitination targets Pex5p to proteasomal degradation.", "author" : [ { "dropping-particle" : "", "family" : "Platta", "given" : "Harald W", "non-dropping-particle" : "", "parse-names" : false, "suffix" : "" }, { "dropping-particle" : "", "family" : "Debelyy", "given" : "Mykhaylo O", "non-dropping-particle" : "", "parse-names" : false, "suffix" : "" }, { "dropping-particle" : "", "family" : "Magraoui", "given" : "Fouzi", "non-dropping-particle" : "El", "parse-names" : false, "suffix" : "" }, { "dropping-particle" : "", "family" : "Erdmann", "given" : "Ralf", "non-dropping-particle" : "", "parse-names" : false, "suffix" : "" } ], "container-title" : "Biochemical Society transactions", "id" : "ITEM-1", "issue" : "Pt 1", "issued" : { "date-parts" : [ [ "2008", "2" ] ] }, "page" : "99-104", "title" : "The AAA peroxins Pex1p and Pex6p function as dislocases for the ubiquitinated peroxisomal import receptor Pex5p.", "type" : "article-journal", "volume" : "36" }, "uris" : [ "http://www.mendeley.com/documents/?uuid=3c76f634-a0e2-4c84-b888-210f3a9323b0" ] } ], "mendeley" : { "previouslyFormattedCitation" : "(Platta et al. 2008)" }, "properties" : { "noteIndex" : 0 }, "schema" : "https://github.com/citation-style-language/schema/raw/master/csl-citation.json" }</w:instrText>
      </w:r>
      <w:r w:rsidR="009A1FEC">
        <w:rPr>
          <w:rFonts w:asciiTheme="majorHAnsi" w:hAnsiTheme="majorHAnsi"/>
        </w:rPr>
        <w:fldChar w:fldCharType="separate"/>
      </w:r>
      <w:r w:rsidR="00B14833" w:rsidRPr="00B14833">
        <w:rPr>
          <w:rFonts w:asciiTheme="majorHAnsi" w:hAnsiTheme="majorHAnsi"/>
          <w:noProof/>
        </w:rPr>
        <w:t xml:space="preserve">(Platta </w:t>
      </w:r>
      <w:r w:rsidR="00466108" w:rsidRPr="00466108">
        <w:rPr>
          <w:rFonts w:asciiTheme="majorHAnsi" w:hAnsiTheme="majorHAnsi"/>
          <w:i/>
          <w:noProof/>
        </w:rPr>
        <w:t>et al</w:t>
      </w:r>
      <w:r w:rsidR="00B14833" w:rsidRPr="00B14833">
        <w:rPr>
          <w:rFonts w:asciiTheme="majorHAnsi" w:hAnsiTheme="majorHAnsi"/>
          <w:noProof/>
        </w:rPr>
        <w:t>. 2008)</w:t>
      </w:r>
      <w:r w:rsidR="009A1FEC">
        <w:rPr>
          <w:rFonts w:asciiTheme="majorHAnsi" w:hAnsiTheme="majorHAnsi"/>
        </w:rPr>
        <w:fldChar w:fldCharType="end"/>
      </w:r>
      <w:r w:rsidR="00A4044C">
        <w:rPr>
          <w:rFonts w:asciiTheme="majorHAnsi" w:hAnsiTheme="majorHAnsi"/>
        </w:rPr>
        <w:t>.</w:t>
      </w:r>
    </w:p>
    <w:p w:rsidR="009C64AD" w:rsidRPr="00510D34" w:rsidRDefault="009C64AD" w:rsidP="00FD54DA">
      <w:pPr>
        <w:jc w:val="both"/>
        <w:rPr>
          <w:rFonts w:asciiTheme="majorHAnsi" w:hAnsiTheme="majorHAnsi"/>
        </w:rPr>
      </w:pPr>
      <w:r>
        <w:rPr>
          <w:rFonts w:asciiTheme="majorHAnsi" w:hAnsiTheme="majorHAnsi"/>
        </w:rPr>
        <w:t>Poly-ubiquitination is executed using a different set of Ubcs.</w:t>
      </w:r>
      <w:r w:rsidR="00AD2A8F">
        <w:rPr>
          <w:rFonts w:asciiTheme="majorHAnsi" w:hAnsiTheme="majorHAnsi"/>
        </w:rPr>
        <w:t xml:space="preserve"> </w:t>
      </w:r>
      <w:r w:rsidR="00C90059">
        <w:rPr>
          <w:rFonts w:asciiTheme="majorHAnsi" w:hAnsiTheme="majorHAnsi"/>
        </w:rPr>
        <w:t>F</w:t>
      </w:r>
      <w:r w:rsidR="00AD2A8F">
        <w:rPr>
          <w:rFonts w:asciiTheme="majorHAnsi" w:hAnsiTheme="majorHAnsi"/>
        </w:rPr>
        <w:t xml:space="preserve">irst </w:t>
      </w:r>
      <w:r w:rsidR="00C90059">
        <w:rPr>
          <w:rFonts w:asciiTheme="majorHAnsi" w:hAnsiTheme="majorHAnsi"/>
        </w:rPr>
        <w:t>Pex5p is</w:t>
      </w:r>
      <w:r w:rsidR="00AD2A8F">
        <w:rPr>
          <w:rFonts w:asciiTheme="majorHAnsi" w:hAnsiTheme="majorHAnsi"/>
        </w:rPr>
        <w:t xml:space="preserve"> conjugat</w:t>
      </w:r>
      <w:r w:rsidR="00C90059">
        <w:rPr>
          <w:rFonts w:asciiTheme="majorHAnsi" w:hAnsiTheme="majorHAnsi"/>
        </w:rPr>
        <w:t xml:space="preserve">ed to Pex2p, the E3 enzyme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"10.1016/j.febslet.2007.04.001", "abstract" : "Peroxisomes are unique organelles whose physiological functions vary depending on the cellular environment or metabolic and developmental state of the organism. These changes in enzyme content are accomplished by the dynamically operating membrane and matrix protein import machineries of peroxisomes that rely on the concerted function of at least 20 peroxins. The import of folded matrix proteins is mediated by cycling receptors that shuttle between the cytosol and peroxisomal lumen. Receptor release back to the cytosol represents the ATP-dependent step of peroxisomal matrix protein import, which consists of two energy-consuming reactions: receptor ubiquitination and dislocation.", "author" : [ { "dropping-particle" : "", "family" : "Platta", "given" : "Harald W", "non-dropping-particle" : "", "parse-names" : false, "suffix" : "" }, { "dropping-particle" : "", "family" : "Erdmann", "given" : "Ralf", "non-dropping-particle" : "", "parse-names" : false, "suffix" : "" } ], "container-title" : "FEBS letters", "id" : "ITEM-1", "issue" : "15", "issued" : { "date-parts" : [ [ "2007", "6", "19" ] ] }, "page" : "2811-9", "title" : "The peroxisomal protein import machinery.", "type" : "article-journal", "volume" : "581" }, "uris" : [ "http://www.mendeley.com/documents/?uuid=dc5a5dee-7031-452e-93d3-cf8a7bea6484" ] } ], "mendeley" : { "previouslyFormattedCitation" : "(Platta &amp; Erdmann 2007)" }, "properties" : { "noteIndex" : 0 }, "schema" : "https://github.com/citation-style-language/schema/raw/master/csl-citation.json" }</w:instrText>
      </w:r>
      <w:r w:rsidR="009A1FEC">
        <w:rPr>
          <w:rFonts w:asciiTheme="majorHAnsi" w:hAnsiTheme="majorHAnsi"/>
        </w:rPr>
        <w:fldChar w:fldCharType="separate"/>
      </w:r>
      <w:r w:rsidR="001A17FA" w:rsidRPr="001A17FA">
        <w:rPr>
          <w:rFonts w:asciiTheme="majorHAnsi" w:hAnsiTheme="majorHAnsi"/>
          <w:noProof/>
        </w:rPr>
        <w:t>(Platta &amp; Erdmann 2007)</w:t>
      </w:r>
      <w:r w:rsidR="009A1FEC">
        <w:rPr>
          <w:rFonts w:asciiTheme="majorHAnsi" w:hAnsiTheme="majorHAnsi"/>
        </w:rPr>
        <w:fldChar w:fldCharType="end"/>
      </w:r>
      <w:r w:rsidR="00F919E5">
        <w:rPr>
          <w:rFonts w:asciiTheme="majorHAnsi" w:hAnsiTheme="majorHAnsi"/>
        </w:rPr>
        <w:t xml:space="preserve"> </w:t>
      </w:r>
      <w:r w:rsidR="00C90059">
        <w:rPr>
          <w:rFonts w:asciiTheme="majorHAnsi" w:hAnsiTheme="majorHAnsi"/>
        </w:rPr>
        <w:t xml:space="preserve">and then the subsequent ubiquitination </w:t>
      </w:r>
      <w:r w:rsidR="001A17FA">
        <w:rPr>
          <w:rFonts w:asciiTheme="majorHAnsi" w:hAnsiTheme="majorHAnsi"/>
        </w:rPr>
        <w:t>is carried out by Ubc4p or if Ubc4p function is inhibited Ubc1p and Ubc5p</w:t>
      </w:r>
      <w:r w:rsidR="00DC71B4">
        <w:rPr>
          <w:rFonts w:asciiTheme="majorHAnsi" w:hAnsiTheme="majorHAnsi"/>
        </w:rPr>
        <w:t xml:space="preserve">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"10.1074/jbc.M413553200", "abstract" : "Pex5p is a mobile receptor for peroxisomal targeting signal type I-containing proteins that cycles between the cytoplasm and the peroxisome. Here we show that Pex5p is a stable protein that is monoubiquitinated in wild type cells. By making use of mutants defective in vacuolar or proteasomal degradation we demonstrate that monoubiquitinated Pex5p is not a breakdown intermediate of either system. Monoubiquitinated Pex5p is localized to peroxisomes, and ubiquitination requires the presence of functional docking and RING finger complexes, which suggests that it is a late event in peroxisomal matrix protein import. In pex1, pex4, pex6, pex15, and pex22 mutants, all of which are blocked in the terminal steps of peroxisomal matrix protein import, polyubiquitinated forms of Pex5p accumulate, ubiquitination being dependent on the ubiquitin-conjugating enzyme Ubc4p. However, Ubc4p is not required for Pex5p ubiquitination in wild type cells, and cells lacking Ubc4p are not affected in peroxisome biogenesis. These results indicate that Pex5p monoubiquitination in wild type cells serves to regulate rather than to degrade Pex5p, which is supported by the observed stability of Pex5p. We propose that Pex5p monoubiquitination in wild type cells is required for the recycling of Pex5p from the peroxisome, whereas Ubc4p-mediated polyubiquitination of Pex5p in mutants blocked in the terminal steps of peroxisomal matrix protein import may function as a disposal mechanism for Pex5p when it gets stuck in the import pathway.", "author" : [ { "dropping-particle" : "", "family" : "Kragt", "given" : "Astrid", "non-dropping-particle" : "", "parse-names" : false, "suffix" : "" }, { "dropping-particle" : "", "family" : "Voorn-Brouwer", "given" : "Tineke", "non-dropping-particle" : "", "parse-names" : false, "suffix" : "" }, { "dropping-particle" : "", "family" : "Berg", "given" : "Marlene", "non-dropping-particle" : "van den", "parse-names" : false, "suffix" : "" }, { "dropping-particle" : "", "family" : "Distel", "given" : "Ben", "non-dropping-particle" : "", "parse-names" : false, "suffix" : "" } ], "container-title" : "The Journal of biological chemistry", "id" : "ITEM-1", "issue" : "9", "issued" : { "date-parts" : [ [ "2005", "3", "4" ] ] }, "page" : "7867-74", "title" : "The Saccharomyces cerevisiae peroxisomal import receptor Pex5p is monoubiquitinated in wild type cells.", "type" : "article-journal", "volume" : "280" }, "uris" : [ "http://www.mendeley.com/documents/?uuid=b88e8494-fe94-482a-a345-a6ba9c636197" ] } ], "mendeley" : { "previouslyFormattedCitation" : "(Kragt et al. 2005)" }, "properties" : { "noteIndex" : 0 }, "schema" : "https://github.com/citation-style-language/schema/raw/master/csl-citation.json" }</w:instrText>
      </w:r>
      <w:r w:rsidR="009A1FEC">
        <w:rPr>
          <w:rFonts w:asciiTheme="majorHAnsi" w:hAnsiTheme="majorHAnsi"/>
        </w:rPr>
        <w:fldChar w:fldCharType="separate"/>
      </w:r>
      <w:r w:rsidR="00DC71B4" w:rsidRPr="00510D34">
        <w:rPr>
          <w:rFonts w:asciiTheme="majorHAnsi" w:hAnsiTheme="majorHAnsi"/>
          <w:noProof/>
          <w:lang w:val="nl-NL"/>
        </w:rPr>
        <w:t xml:space="preserve">(Kragt </w:t>
      </w:r>
      <w:r w:rsidR="00466108" w:rsidRPr="00466108">
        <w:rPr>
          <w:rFonts w:asciiTheme="majorHAnsi" w:hAnsiTheme="majorHAnsi"/>
          <w:i/>
          <w:noProof/>
          <w:lang w:val="nl-NL"/>
        </w:rPr>
        <w:t>et al</w:t>
      </w:r>
      <w:r w:rsidR="00DC71B4" w:rsidRPr="00510D34">
        <w:rPr>
          <w:rFonts w:asciiTheme="majorHAnsi" w:hAnsiTheme="majorHAnsi"/>
          <w:noProof/>
          <w:lang w:val="nl-NL"/>
        </w:rPr>
        <w:t>. 2005)</w:t>
      </w:r>
      <w:r w:rsidR="009A1FEC">
        <w:rPr>
          <w:rFonts w:asciiTheme="majorHAnsi" w:hAnsiTheme="majorHAnsi"/>
        </w:rPr>
        <w:fldChar w:fldCharType="end"/>
      </w:r>
      <w:r w:rsidR="001A17FA" w:rsidRPr="00510D34">
        <w:rPr>
          <w:rFonts w:asciiTheme="majorHAnsi" w:hAnsiTheme="majorHAnsi"/>
          <w:lang w:val="nl-NL"/>
        </w:rPr>
        <w:t>.</w:t>
      </w:r>
      <w:r w:rsidR="000B3444" w:rsidRPr="00510D34">
        <w:rPr>
          <w:rFonts w:asciiTheme="majorHAnsi" w:hAnsiTheme="majorHAnsi"/>
          <w:lang w:val="nl-NL"/>
        </w:rPr>
        <w:t xml:space="preserve"> </w:t>
      </w:r>
      <w:r w:rsidR="00510D34" w:rsidRPr="00510D34">
        <w:rPr>
          <w:rFonts w:asciiTheme="majorHAnsi" w:hAnsiTheme="majorHAnsi"/>
          <w:lang w:val="nl-NL"/>
        </w:rPr>
        <w:t xml:space="preserve">In </w:t>
      </w:r>
      <w:r w:rsidR="00510D34" w:rsidRPr="00510D34">
        <w:rPr>
          <w:rFonts w:asciiTheme="majorHAnsi" w:hAnsiTheme="majorHAnsi"/>
          <w:i/>
          <w:lang w:val="nl-NL"/>
        </w:rPr>
        <w:t>S</w:t>
      </w:r>
      <w:r w:rsidR="00510D34">
        <w:rPr>
          <w:rFonts w:asciiTheme="majorHAnsi" w:hAnsiTheme="majorHAnsi"/>
          <w:i/>
          <w:lang w:val="nl-NL"/>
        </w:rPr>
        <w:t xml:space="preserve">. Cerevisia </w:t>
      </w:r>
      <w:r w:rsidR="00D93535" w:rsidRPr="00D93535">
        <w:rPr>
          <w:rFonts w:asciiTheme="majorHAnsi" w:hAnsiTheme="majorHAnsi"/>
          <w:i/>
          <w:lang w:val="nl-NL"/>
        </w:rPr>
        <w:t>PEX</w:t>
      </w:r>
      <w:r w:rsidR="000B3444" w:rsidRPr="00510D34">
        <w:rPr>
          <w:rFonts w:asciiTheme="majorHAnsi" w:hAnsiTheme="majorHAnsi"/>
          <w:lang w:val="nl-NL"/>
        </w:rPr>
        <w:t xml:space="preserve">10 </w:t>
      </w:r>
      <w:r w:rsidR="009A1FEC">
        <w:rPr>
          <w:rFonts w:asciiTheme="majorHAnsi" w:hAnsiTheme="majorHAnsi"/>
        </w:rPr>
        <w:fldChar w:fldCharType="begin" w:fldLock="1"/>
      </w:r>
      <w:r w:rsidR="00D72F07">
        <w:rPr>
          <w:rFonts w:asciiTheme="majorHAnsi" w:hAnsiTheme="majorHAnsi"/>
          <w:lang w:val="nl-NL"/>
        </w:rPr>
        <w:instrText>ADDIN CSL_CITATION { "citationItems" : [ { "id" : "ITEM-1", "itemData" : { "author" : [ { "dropping-particle" : "", "family" : "C", "given" : "Williams", "non-dropping-particle" : "", "parse-names" : false, "suffix" : "" }, { "dropping-particle" : "", "family" : "Berg", "given" : "Marlene", "non-dropping-particle" : "van den", "parse-names" : false, "suffix" : "" }, { "dropping-particle" : "", "family" : "Geers", "given" : "E", "non-dropping-particle" : "", "parse-names" : false, "suffix" : "" }, { "dropping-particle" : "", "family" : "Distel", "given" : "Ben", "non-dropping-particle" : "", "parse-names" : false, "suffix" : "" } ], "container-title" : "Biochemical and Biophysical Research Communications", "id" : "ITEM-1", "issue" : "4", "issued" : { "date-parts" : [ [ "2008" ] ] }, "page" : "620-624", "title" : "Pex10p functions as an E3 ligase for the Ubc4p-dependent ubiquitination of Pex5p", "type" : "article-journal", "volume" : "374" }, "uris" : [ "http://www.mendeley.com/documents/?uuid=7e3ed855-b7b8-4609-ab99-3fab5646470c" ] } ], "mendeley" : { "previouslyFormattedCitation" : "(C et al. 2008)" }, "properties" : { "noteIndex" : 0 }, "schema" : "https://github.com/citation-style-language/schema/raw/master/csl-citation.json" }</w:instrText>
      </w:r>
      <w:r w:rsidR="009A1FEC">
        <w:rPr>
          <w:rFonts w:asciiTheme="majorHAnsi" w:hAnsiTheme="majorHAnsi"/>
        </w:rPr>
        <w:fldChar w:fldCharType="separate"/>
      </w:r>
      <w:r w:rsidR="00510D34" w:rsidRPr="00510D34">
        <w:rPr>
          <w:rFonts w:asciiTheme="majorHAnsi" w:hAnsiTheme="majorHAnsi"/>
          <w:noProof/>
          <w:lang w:val="nl-NL"/>
        </w:rPr>
        <w:t xml:space="preserve">(C </w:t>
      </w:r>
      <w:r w:rsidR="00466108" w:rsidRPr="00466108">
        <w:rPr>
          <w:rFonts w:asciiTheme="majorHAnsi" w:hAnsiTheme="majorHAnsi"/>
          <w:i/>
          <w:noProof/>
          <w:lang w:val="nl-NL"/>
        </w:rPr>
        <w:t>et al</w:t>
      </w:r>
      <w:r w:rsidR="00510D34" w:rsidRPr="00510D34">
        <w:rPr>
          <w:rFonts w:asciiTheme="majorHAnsi" w:hAnsiTheme="majorHAnsi"/>
          <w:noProof/>
          <w:lang w:val="nl-NL"/>
        </w:rPr>
        <w:t>. 2008)</w:t>
      </w:r>
      <w:r w:rsidR="009A1FEC">
        <w:rPr>
          <w:rFonts w:asciiTheme="majorHAnsi" w:hAnsiTheme="majorHAnsi"/>
        </w:rPr>
        <w:fldChar w:fldCharType="end"/>
      </w:r>
      <w:r w:rsidR="00510D34" w:rsidRPr="00510D34">
        <w:rPr>
          <w:rFonts w:asciiTheme="majorHAnsi" w:hAnsiTheme="majorHAnsi"/>
          <w:lang w:val="nl-NL"/>
        </w:rPr>
        <w:t xml:space="preserve"> </w:t>
      </w:r>
      <w:r w:rsidR="000B3444" w:rsidRPr="00510D34">
        <w:rPr>
          <w:rFonts w:asciiTheme="majorHAnsi" w:hAnsiTheme="majorHAnsi"/>
          <w:lang w:val="nl-NL"/>
        </w:rPr>
        <w:t xml:space="preserve">and </w:t>
      </w:r>
      <w:r w:rsidR="00D93535" w:rsidRPr="00D93535">
        <w:rPr>
          <w:rFonts w:asciiTheme="majorHAnsi" w:hAnsiTheme="majorHAnsi"/>
          <w:i/>
          <w:lang w:val="nl-NL"/>
        </w:rPr>
        <w:t>PEX</w:t>
      </w:r>
      <w:r w:rsidR="000B3444" w:rsidRPr="00510D34">
        <w:rPr>
          <w:rFonts w:asciiTheme="majorHAnsi" w:hAnsiTheme="majorHAnsi"/>
          <w:lang w:val="nl-NL"/>
        </w:rPr>
        <w:t xml:space="preserve">2 </w:t>
      </w:r>
      <w:r w:rsidR="009A1FEC">
        <w:rPr>
          <w:rFonts w:asciiTheme="majorHAnsi" w:hAnsiTheme="majorHAnsi"/>
        </w:rPr>
        <w:fldChar w:fldCharType="begin" w:fldLock="1"/>
      </w:r>
      <w:r w:rsidR="00D72F07">
        <w:rPr>
          <w:rFonts w:asciiTheme="majorHAnsi" w:hAnsiTheme="majorHAnsi"/>
          <w:lang w:val="nl-NL"/>
        </w:rPr>
        <w:instrText>ADDIN CSL_CITATION { "citationItems" : [ { "id" : "ITEM-1", "itemData" : { "DOI" : "10.1128/MCB.00388-09", "abstract" : "The PTS1-dependent peroxisomal matrix protein import is facilitated by the receptor protein Pex5 and can be divided into cargo recognition in the cytosol, membrane docking of the cargo-receptor complex, cargo release, and recycling of the receptor. The final step is controlled by the ubiquitination status of Pex5. While polyubiquitinated Pex5 is degraded by the proteasome, monoubiquitinated Pex5 is destined for a new round of the receptor cycle. Recently, the ubiquitin-conjugating enzymes involved in Pex5 ubiquitination were identified as Ubc4 and Pex4 (Ubc10), whereas the identity of the corresponding protein-ubiquitin ligases remained unknown. Here we report on the identification of the protein-ubiquitin ligases that are responsible for the ubiquitination of the peroxisomal protein import receptor Pex5. It is demonstrated that each of the three RING peroxins Pex2, Pex10, and Pex12 exhibits ubiquitin-protein isopeptide ligase activity. Our results show that Pex2 mediates the Ubc4-dependent polyubiquitination whereas Pex12 facilitates the Pex4-dependent</w:instrText>
      </w:r>
      <w:r w:rsidR="00D72F07" w:rsidRPr="00D72F07">
        <w:rPr>
          <w:rFonts w:asciiTheme="majorHAnsi" w:hAnsiTheme="majorHAnsi"/>
        </w:rPr>
        <w:instrText xml:space="preserve"> monoubiquitination of Pex5.", "author" : [ { "dropping-particle" : "", "family" : "Platta", "given" : "Harald W", "non-dropping-particle" : "", "parse-names" : false, "suffix" : "" }, { "dropping-particle" : "", "family" : "Magraoui", "given" : "Fouzi", "non-dropping-particle" : "El", "parse-names" : false, "suffix" : "" }, { "dropping-particle" : "", "family" : "B\u00e4umer", "given" : "Bastian E", "non-dropping-particle" : "", "parse-names" : false, "suffix" : "" }, { "dropping-particle" : "", "family" : "Schlee", "given" : "Daniel", "non-dropping-particle" : "", "parse-names" : false, "suffix" : "" }, { "dropping-particle" : "", "family" : "Girzalsky", "given" : "Wolfgang", "non-dropping-particle" : "", "parse-names" : false, "suffix" : "" }, { "dropping-particle" : "", "family" : "Erdmann", "given" : "Ralf", "non-dropping-particle" : "", "parse-names" : false, "suffix" : "" } ], "container-title" : "Molecular and cellular biology", "id" : "ITEM-1", "issue" : "20", "issued" : { "date-parts" : [ [ "2009", "10" ] ] }, "page" : "5505-16", "title" : "Pex2 and pex12 function as protein-ubiquitin ligases in peroxisomal protein import.", "type" : "article-journal", "volume" : "29" }, "uris" : [ "http://www.mendeley.com/documents/?uuid=4be95f4d-8be8-423d-82a3-041b1a138c15" ] } ], "mendeley" : { "previouslyFormattedCitation" : "(Platta et al. 2009)" }, "properties" : { "noteIndex" : 0 }, "schema" : "https://github.com/citation-style-language/schema/raw/master/csl-citation.json" }</w:instrText>
      </w:r>
      <w:r w:rsidR="009A1FEC">
        <w:rPr>
          <w:rFonts w:asciiTheme="majorHAnsi" w:hAnsiTheme="majorHAnsi"/>
        </w:rPr>
        <w:fldChar w:fldCharType="separate"/>
      </w:r>
      <w:r w:rsidR="00510D34" w:rsidRPr="00510D34">
        <w:rPr>
          <w:rFonts w:asciiTheme="majorHAnsi" w:hAnsiTheme="majorHAnsi"/>
          <w:noProof/>
        </w:rPr>
        <w:t xml:space="preserve">(Platta </w:t>
      </w:r>
      <w:r w:rsidR="00466108" w:rsidRPr="00466108">
        <w:rPr>
          <w:rFonts w:asciiTheme="majorHAnsi" w:hAnsiTheme="majorHAnsi"/>
          <w:i/>
          <w:noProof/>
        </w:rPr>
        <w:t>et al</w:t>
      </w:r>
      <w:r w:rsidR="00510D34" w:rsidRPr="00510D34">
        <w:rPr>
          <w:rFonts w:asciiTheme="majorHAnsi" w:hAnsiTheme="majorHAnsi"/>
          <w:noProof/>
        </w:rPr>
        <w:t>. 2009)</w:t>
      </w:r>
      <w:r w:rsidR="009A1FEC">
        <w:rPr>
          <w:rFonts w:asciiTheme="majorHAnsi" w:hAnsiTheme="majorHAnsi"/>
        </w:rPr>
        <w:fldChar w:fldCharType="end"/>
      </w:r>
      <w:r w:rsidR="00510D34">
        <w:rPr>
          <w:rFonts w:asciiTheme="majorHAnsi" w:hAnsiTheme="majorHAnsi"/>
        </w:rPr>
        <w:t xml:space="preserve"> </w:t>
      </w:r>
      <w:r w:rsidR="000B3444">
        <w:rPr>
          <w:rFonts w:asciiTheme="majorHAnsi" w:hAnsiTheme="majorHAnsi"/>
        </w:rPr>
        <w:t>have been shown to have ubiquitinating functions</w:t>
      </w:r>
      <w:r w:rsidR="00510D34">
        <w:rPr>
          <w:rFonts w:asciiTheme="majorHAnsi" w:hAnsiTheme="majorHAnsi"/>
        </w:rPr>
        <w:t xml:space="preserve"> in both </w:t>
      </w:r>
      <w:r w:rsidR="00510D34">
        <w:rPr>
          <w:rFonts w:asciiTheme="majorHAnsi" w:hAnsiTheme="majorHAnsi"/>
          <w:i/>
        </w:rPr>
        <w:t>in vivo</w:t>
      </w:r>
      <w:r w:rsidR="00510D34">
        <w:rPr>
          <w:rFonts w:asciiTheme="majorHAnsi" w:hAnsiTheme="majorHAnsi"/>
        </w:rPr>
        <w:t xml:space="preserve"> and </w:t>
      </w:r>
      <w:r w:rsidR="00510D34">
        <w:rPr>
          <w:rFonts w:asciiTheme="majorHAnsi" w:hAnsiTheme="majorHAnsi"/>
          <w:i/>
        </w:rPr>
        <w:t>in vitro</w:t>
      </w:r>
      <w:r w:rsidR="00510D34">
        <w:rPr>
          <w:rFonts w:asciiTheme="majorHAnsi" w:hAnsiTheme="majorHAnsi"/>
        </w:rPr>
        <w:t xml:space="preserve"> experiments, each acting as the E3 ligase for </w:t>
      </w:r>
      <w:r w:rsidR="00E36FB6">
        <w:rPr>
          <w:rFonts w:asciiTheme="majorHAnsi" w:hAnsiTheme="majorHAnsi"/>
        </w:rPr>
        <w:t xml:space="preserve">the E2 ligases </w:t>
      </w:r>
      <w:r w:rsidR="00510D34">
        <w:rPr>
          <w:rFonts w:asciiTheme="majorHAnsi" w:hAnsiTheme="majorHAnsi"/>
        </w:rPr>
        <w:t xml:space="preserve">UbcH5a </w:t>
      </w:r>
      <w:r w:rsidR="00E36FB6">
        <w:rPr>
          <w:rFonts w:asciiTheme="majorHAnsi" w:hAnsiTheme="majorHAnsi"/>
        </w:rPr>
        <w:t>a</w:t>
      </w:r>
      <w:r w:rsidR="00510D34">
        <w:rPr>
          <w:rFonts w:asciiTheme="majorHAnsi" w:hAnsiTheme="majorHAnsi"/>
        </w:rPr>
        <w:t>nd Ubc4 resp</w:t>
      </w:r>
      <w:r w:rsidR="00E36FB6">
        <w:rPr>
          <w:rFonts w:asciiTheme="majorHAnsi" w:hAnsiTheme="majorHAnsi"/>
        </w:rPr>
        <w:t>e</w:t>
      </w:r>
      <w:r w:rsidR="00510D34">
        <w:rPr>
          <w:rFonts w:asciiTheme="majorHAnsi" w:hAnsiTheme="majorHAnsi"/>
        </w:rPr>
        <w:t>ctively.</w:t>
      </w:r>
      <w:r w:rsidR="00E36FB6">
        <w:rPr>
          <w:rFonts w:asciiTheme="majorHAnsi" w:hAnsiTheme="majorHAnsi"/>
        </w:rPr>
        <w:t xml:space="preserve"> It is therefore increasingly apparent that the RING-finger </w:t>
      </w:r>
      <w:r w:rsidR="00E31F6D">
        <w:rPr>
          <w:rFonts w:asciiTheme="majorHAnsi" w:hAnsiTheme="majorHAnsi"/>
        </w:rPr>
        <w:t>components</w:t>
      </w:r>
      <w:r w:rsidR="00E36FB6">
        <w:rPr>
          <w:rFonts w:asciiTheme="majorHAnsi" w:hAnsiTheme="majorHAnsi"/>
        </w:rPr>
        <w:t xml:space="preserve"> play a role both in the translocation of Pex5p and </w:t>
      </w:r>
      <w:r w:rsidR="00E31F6D">
        <w:rPr>
          <w:rFonts w:asciiTheme="majorHAnsi" w:hAnsiTheme="majorHAnsi"/>
        </w:rPr>
        <w:t>its ubiquitin-dependent retrieval.</w:t>
      </w:r>
    </w:p>
    <w:p w:rsidR="00FD54DA" w:rsidRDefault="00FD54DA" w:rsidP="00FD54DA">
      <w:pPr>
        <w:jc w:val="both"/>
        <w:rPr>
          <w:rFonts w:asciiTheme="majorHAnsi" w:hAnsiTheme="majorHAnsi"/>
        </w:rPr>
      </w:pPr>
      <w:r w:rsidRPr="0013327C">
        <w:rPr>
          <w:rFonts w:asciiTheme="majorHAnsi" w:hAnsiTheme="majorHAnsi"/>
        </w:rPr>
        <w:t xml:space="preserve">Homologues have been found for </w:t>
      </w:r>
      <w:r w:rsidRPr="000C26B2">
        <w:rPr>
          <w:rFonts w:asciiTheme="majorHAnsi" w:hAnsiTheme="majorHAnsi"/>
          <w:i/>
        </w:rPr>
        <w:t>PEX</w:t>
      </w:r>
      <w:r w:rsidRPr="0013327C">
        <w:rPr>
          <w:rFonts w:asciiTheme="majorHAnsi" w:hAnsiTheme="majorHAnsi"/>
        </w:rPr>
        <w:t xml:space="preserve">1, </w:t>
      </w:r>
      <w:r w:rsidRPr="000C26B2">
        <w:rPr>
          <w:rFonts w:asciiTheme="majorHAnsi" w:hAnsiTheme="majorHAnsi"/>
          <w:i/>
        </w:rPr>
        <w:t>PEX</w:t>
      </w:r>
      <w:r w:rsidRPr="0013327C">
        <w:rPr>
          <w:rFonts w:asciiTheme="majorHAnsi" w:hAnsiTheme="majorHAnsi"/>
        </w:rPr>
        <w:t xml:space="preserve">2, </w:t>
      </w:r>
      <w:r w:rsidRPr="000C26B2">
        <w:rPr>
          <w:rFonts w:asciiTheme="majorHAnsi" w:hAnsiTheme="majorHAnsi"/>
          <w:i/>
        </w:rPr>
        <w:t>PEX</w:t>
      </w:r>
      <w:r w:rsidRPr="0013327C">
        <w:rPr>
          <w:rFonts w:asciiTheme="majorHAnsi" w:hAnsiTheme="majorHAnsi"/>
        </w:rPr>
        <w:t xml:space="preserve">5, </w:t>
      </w:r>
      <w:r w:rsidRPr="000C26B2">
        <w:rPr>
          <w:rFonts w:asciiTheme="majorHAnsi" w:hAnsiTheme="majorHAnsi"/>
          <w:i/>
        </w:rPr>
        <w:t>PEX</w:t>
      </w:r>
      <w:r w:rsidRPr="0013327C">
        <w:rPr>
          <w:rFonts w:asciiTheme="majorHAnsi" w:hAnsiTheme="majorHAnsi"/>
        </w:rPr>
        <w:t xml:space="preserve">6, </w:t>
      </w:r>
      <w:r w:rsidRPr="000C26B2">
        <w:rPr>
          <w:rFonts w:asciiTheme="majorHAnsi" w:hAnsiTheme="majorHAnsi"/>
          <w:i/>
        </w:rPr>
        <w:t>PEX</w:t>
      </w:r>
      <w:r w:rsidRPr="0013327C">
        <w:rPr>
          <w:rFonts w:asciiTheme="majorHAnsi" w:hAnsiTheme="majorHAnsi"/>
        </w:rPr>
        <w:t xml:space="preserve">7, </w:t>
      </w:r>
      <w:r w:rsidRPr="000C26B2">
        <w:rPr>
          <w:rFonts w:asciiTheme="majorHAnsi" w:hAnsiTheme="majorHAnsi"/>
          <w:i/>
        </w:rPr>
        <w:t>PEX</w:t>
      </w:r>
      <w:r w:rsidRPr="0013327C">
        <w:rPr>
          <w:rFonts w:asciiTheme="majorHAnsi" w:hAnsiTheme="majorHAnsi"/>
        </w:rPr>
        <w:t xml:space="preserve">10, </w:t>
      </w:r>
      <w:r w:rsidRPr="000C26B2">
        <w:rPr>
          <w:rFonts w:asciiTheme="majorHAnsi" w:hAnsiTheme="majorHAnsi"/>
          <w:i/>
        </w:rPr>
        <w:t>PEX</w:t>
      </w:r>
      <w:r w:rsidRPr="0013327C">
        <w:rPr>
          <w:rFonts w:asciiTheme="majorHAnsi" w:hAnsiTheme="majorHAnsi"/>
        </w:rPr>
        <w:t xml:space="preserve">12, </w:t>
      </w:r>
      <w:r w:rsidRPr="000C26B2">
        <w:rPr>
          <w:rFonts w:asciiTheme="majorHAnsi" w:hAnsiTheme="majorHAnsi"/>
          <w:i/>
        </w:rPr>
        <w:t>PEX</w:t>
      </w:r>
      <w:r w:rsidRPr="0013327C">
        <w:rPr>
          <w:rFonts w:asciiTheme="majorHAnsi" w:hAnsiTheme="majorHAnsi"/>
        </w:rPr>
        <w:t xml:space="preserve">13 and </w:t>
      </w:r>
      <w:r w:rsidRPr="000C26B2">
        <w:rPr>
          <w:rFonts w:asciiTheme="majorHAnsi" w:hAnsiTheme="majorHAnsi"/>
          <w:i/>
        </w:rPr>
        <w:t>PEX</w:t>
      </w:r>
      <w:r w:rsidRPr="0013327C">
        <w:rPr>
          <w:rFonts w:asciiTheme="majorHAnsi" w:hAnsiTheme="majorHAnsi"/>
        </w:rPr>
        <w:t xml:space="preserve">14 in </w:t>
      </w:r>
      <w:r w:rsidRPr="0013327C">
        <w:rPr>
          <w:rFonts w:asciiTheme="majorHAnsi" w:hAnsiTheme="majorHAnsi"/>
          <w:i/>
        </w:rPr>
        <w:t>D.</w:t>
      </w:r>
      <w:r>
        <w:rPr>
          <w:rFonts w:asciiTheme="majorHAnsi" w:hAnsiTheme="majorHAnsi"/>
          <w:i/>
        </w:rPr>
        <w:t xml:space="preserve"> </w:t>
      </w:r>
      <w:r w:rsidRPr="0013327C">
        <w:rPr>
          <w:rFonts w:asciiTheme="majorHAnsi" w:hAnsiTheme="majorHAnsi"/>
          <w:i/>
        </w:rPr>
        <w:t>melanogaster</w:t>
      </w:r>
      <w:r w:rsidRPr="0013327C">
        <w:rPr>
          <w:rFonts w:asciiTheme="majorHAnsi" w:hAnsiTheme="majorHAnsi"/>
        </w:rPr>
        <w:t>.</w:t>
      </w:r>
      <w:r w:rsidR="00D72F07">
        <w:rPr>
          <w:rFonts w:asciiTheme="majorHAnsi" w:hAnsiTheme="majorHAnsi"/>
        </w:rPr>
        <w:t xml:space="preserve"> Figure 1.3 shows the model of conserved Class I peroxins and their roles in Pex5p cycling.</w:t>
      </w:r>
    </w:p>
    <w:p w:rsidR="006D04E5" w:rsidRPr="00E365F4" w:rsidRDefault="00E92F9D" w:rsidP="00FD54DA">
      <w:pPr>
        <w:jc w:val="both"/>
        <w:rPr>
          <w:rFonts w:asciiTheme="majorHAnsi" w:hAnsiTheme="majorHAnsi"/>
        </w:rPr>
      </w:pPr>
      <w:r>
        <w:rPr>
          <w:rFonts w:asciiTheme="majorHAnsi" w:hAnsiTheme="majorHAnsi"/>
          <w:b/>
          <w:noProof/>
          <w:lang w:eastAsia="en-GB"/>
        </w:rPr>
        <w:lastRenderedPageBreak/>
        <w:drawing>
          <wp:inline distT="0" distB="0" distL="0" distR="0">
            <wp:extent cx="5372459" cy="3917926"/>
            <wp:effectExtent l="19050" t="0" r="0" b="0"/>
            <wp:docPr id="2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5374042" cy="3919080"/>
                    </a:xfrm>
                    <a:prstGeom prst="rect">
                      <a:avLst/>
                    </a:prstGeom>
                    <a:noFill/>
                  </pic:spPr>
                </pic:pic>
              </a:graphicData>
            </a:graphic>
          </wp:inline>
        </w:drawing>
      </w:r>
      <w:proofErr w:type="gramStart"/>
      <w:r w:rsidR="006D04E5" w:rsidRPr="006D04E5">
        <w:rPr>
          <w:rFonts w:asciiTheme="majorHAnsi" w:hAnsiTheme="majorHAnsi"/>
          <w:b/>
        </w:rPr>
        <w:t>Figure 1.</w:t>
      </w:r>
      <w:r w:rsidR="00CE7478">
        <w:rPr>
          <w:rFonts w:asciiTheme="majorHAnsi" w:hAnsiTheme="majorHAnsi"/>
          <w:b/>
        </w:rPr>
        <w:t>3</w:t>
      </w:r>
      <w:r w:rsidR="006D04E5" w:rsidRPr="006D04E5">
        <w:rPr>
          <w:rFonts w:asciiTheme="majorHAnsi" w:hAnsiTheme="majorHAnsi"/>
          <w:b/>
        </w:rPr>
        <w:t>.</w:t>
      </w:r>
      <w:proofErr w:type="gramEnd"/>
      <w:r w:rsidR="006D04E5">
        <w:rPr>
          <w:rFonts w:asciiTheme="majorHAnsi" w:hAnsiTheme="majorHAnsi"/>
          <w:b/>
        </w:rPr>
        <w:t xml:space="preserve"> </w:t>
      </w:r>
      <w:r w:rsidR="00D12C26">
        <w:rPr>
          <w:rFonts w:asciiTheme="majorHAnsi" w:hAnsiTheme="majorHAnsi"/>
          <w:b/>
        </w:rPr>
        <w:t xml:space="preserve">A </w:t>
      </w:r>
      <w:r w:rsidR="005D7902">
        <w:rPr>
          <w:rFonts w:asciiTheme="majorHAnsi" w:hAnsiTheme="majorHAnsi"/>
          <w:b/>
        </w:rPr>
        <w:t>model</w:t>
      </w:r>
      <w:r w:rsidR="00D12C26">
        <w:rPr>
          <w:rFonts w:asciiTheme="majorHAnsi" w:hAnsiTheme="majorHAnsi"/>
          <w:b/>
        </w:rPr>
        <w:t xml:space="preserve"> Class I peroxin-mediated PTS1</w:t>
      </w:r>
      <w:r w:rsidR="00844488">
        <w:rPr>
          <w:rFonts w:asciiTheme="majorHAnsi" w:hAnsiTheme="majorHAnsi"/>
          <w:b/>
        </w:rPr>
        <w:t xml:space="preserve"> matrix protein </w:t>
      </w:r>
      <w:r w:rsidR="00D12C26">
        <w:rPr>
          <w:rFonts w:asciiTheme="majorHAnsi" w:hAnsiTheme="majorHAnsi"/>
          <w:b/>
        </w:rPr>
        <w:t>translocation</w:t>
      </w:r>
      <w:r w:rsidR="00844488">
        <w:rPr>
          <w:rFonts w:asciiTheme="majorHAnsi" w:hAnsiTheme="majorHAnsi"/>
          <w:b/>
        </w:rPr>
        <w:t xml:space="preserve"> (adapted from Platta &amp; Erdmann, 2007).</w:t>
      </w:r>
      <w:r w:rsidR="00E365F4">
        <w:rPr>
          <w:rFonts w:asciiTheme="majorHAnsi" w:hAnsiTheme="majorHAnsi"/>
          <w:b/>
        </w:rPr>
        <w:t xml:space="preserve"> </w:t>
      </w:r>
      <w:r w:rsidR="00E365F4">
        <w:rPr>
          <w:rFonts w:asciiTheme="majorHAnsi" w:hAnsiTheme="majorHAnsi"/>
        </w:rPr>
        <w:t>PTS1-bound Pex5p interacts first with the docking complex (</w:t>
      </w:r>
      <w:r w:rsidR="004A7C93">
        <w:rPr>
          <w:rFonts w:asciiTheme="majorHAnsi" w:hAnsiTheme="majorHAnsi"/>
        </w:rPr>
        <w:t>Pex13p/Pex14p/Pex17p</w:t>
      </w:r>
      <w:r w:rsidR="00E365F4">
        <w:rPr>
          <w:rFonts w:asciiTheme="majorHAnsi" w:hAnsiTheme="majorHAnsi"/>
        </w:rPr>
        <w:t xml:space="preserve">) and then with the </w:t>
      </w:r>
      <w:r w:rsidR="004A7C93">
        <w:rPr>
          <w:rFonts w:asciiTheme="majorHAnsi" w:hAnsiTheme="majorHAnsi"/>
        </w:rPr>
        <w:t>RING-finger complex (Pex2p/Pex10p/Pex12p)</w:t>
      </w:r>
      <w:r w:rsidR="007562ED">
        <w:rPr>
          <w:rFonts w:asciiTheme="majorHAnsi" w:hAnsiTheme="majorHAnsi"/>
        </w:rPr>
        <w:t>.</w:t>
      </w:r>
      <w:r w:rsidR="004A7C93">
        <w:rPr>
          <w:rFonts w:asciiTheme="majorHAnsi" w:hAnsiTheme="majorHAnsi"/>
        </w:rPr>
        <w:t xml:space="preserve"> </w:t>
      </w:r>
      <w:r w:rsidR="007562ED">
        <w:rPr>
          <w:rFonts w:asciiTheme="majorHAnsi" w:hAnsiTheme="majorHAnsi"/>
        </w:rPr>
        <w:t>Subsequently it</w:t>
      </w:r>
      <w:r w:rsidR="004A7C93">
        <w:rPr>
          <w:rFonts w:asciiTheme="majorHAnsi" w:hAnsiTheme="majorHAnsi"/>
        </w:rPr>
        <w:t xml:space="preserve"> is then either fully or partially translocated into the matrix (not shown). Here the PTS1 protein dissociates with </w:t>
      </w:r>
      <w:r w:rsidR="0049033C">
        <w:rPr>
          <w:rFonts w:asciiTheme="majorHAnsi" w:hAnsiTheme="majorHAnsi"/>
        </w:rPr>
        <w:t xml:space="preserve">Pex5p. Pex5p then is </w:t>
      </w:r>
      <w:r w:rsidR="00014CE7">
        <w:rPr>
          <w:rFonts w:asciiTheme="majorHAnsi" w:hAnsiTheme="majorHAnsi"/>
        </w:rPr>
        <w:t xml:space="preserve">retrieved from the trans-side of the membrane by Pex15p and released to the cytosol via Pex6p/Pex1p synergy. While in transit the Pex5p </w:t>
      </w:r>
      <w:r w:rsidR="00BE2A0A">
        <w:rPr>
          <w:rFonts w:asciiTheme="majorHAnsi" w:hAnsiTheme="majorHAnsi"/>
        </w:rPr>
        <w:t xml:space="preserve">is extracted from the membrane and re-used in another </w:t>
      </w:r>
      <w:r w:rsidR="005D7902">
        <w:rPr>
          <w:rFonts w:asciiTheme="majorHAnsi" w:hAnsiTheme="majorHAnsi"/>
        </w:rPr>
        <w:t>round</w:t>
      </w:r>
      <w:r w:rsidR="00BE2A0A">
        <w:rPr>
          <w:rFonts w:asciiTheme="majorHAnsi" w:hAnsiTheme="majorHAnsi"/>
        </w:rPr>
        <w:t xml:space="preserve"> of </w:t>
      </w:r>
      <w:r w:rsidR="005D7902">
        <w:rPr>
          <w:rFonts w:asciiTheme="majorHAnsi" w:hAnsiTheme="majorHAnsi"/>
        </w:rPr>
        <w:t xml:space="preserve">PTS-1 targeting </w:t>
      </w:r>
      <w:r w:rsidR="005028B0">
        <w:rPr>
          <w:rFonts w:asciiTheme="majorHAnsi" w:hAnsiTheme="majorHAnsi"/>
        </w:rPr>
        <w:t xml:space="preserve">dependent on the ubiquitination/de-ubiquitination </w:t>
      </w:r>
      <w:r w:rsidR="00BE2A0A">
        <w:rPr>
          <w:rFonts w:asciiTheme="majorHAnsi" w:hAnsiTheme="majorHAnsi"/>
        </w:rPr>
        <w:t>cycle</w:t>
      </w:r>
      <w:r w:rsidR="00F919E5">
        <w:rPr>
          <w:rFonts w:asciiTheme="majorHAnsi" w:hAnsiTheme="majorHAnsi"/>
        </w:rPr>
        <w:t xml:space="preserve">. </w:t>
      </w:r>
    </w:p>
    <w:p w:rsidR="00FD54DA" w:rsidRPr="0013327C" w:rsidRDefault="00FD54DA" w:rsidP="00FD54DA">
      <w:pPr>
        <w:pStyle w:val="Heading3"/>
        <w:jc w:val="both"/>
      </w:pPr>
      <w:bookmarkStart w:id="31" w:name="_Toc348423288"/>
      <w:r w:rsidRPr="0013327C">
        <w:t>Peroxins involved in maintenance of number</w:t>
      </w:r>
      <w:bookmarkEnd w:id="31"/>
    </w:p>
    <w:p w:rsidR="00FD54DA" w:rsidRPr="0013327C" w:rsidRDefault="00FD54DA" w:rsidP="00FD54DA">
      <w:pPr>
        <w:jc w:val="both"/>
        <w:rPr>
          <w:rFonts w:asciiTheme="majorHAnsi" w:hAnsiTheme="majorHAnsi"/>
        </w:rPr>
      </w:pPr>
      <w:r w:rsidRPr="0013327C">
        <w:rPr>
          <w:rFonts w:asciiTheme="majorHAnsi" w:hAnsiTheme="majorHAnsi"/>
        </w:rPr>
        <w:t xml:space="preserve">These peroxins are responsible for the elongation, division and inheritance of peroxisomes. This is the least understood of the three main classes and includes some genes not nominally associated with peroxisome biogenesis. Of the peroxins discussed in this thesis </w:t>
      </w:r>
      <w:r w:rsidRPr="000C26B2">
        <w:rPr>
          <w:rFonts w:asciiTheme="majorHAnsi" w:hAnsiTheme="majorHAnsi"/>
          <w:i/>
        </w:rPr>
        <w:t>PEX</w:t>
      </w:r>
      <w:r w:rsidRPr="0013327C">
        <w:rPr>
          <w:rFonts w:asciiTheme="majorHAnsi" w:hAnsiTheme="majorHAnsi"/>
        </w:rPr>
        <w:t xml:space="preserve">11 is the only one of these genes to be found so far in </w:t>
      </w:r>
      <w:r w:rsidRPr="0013327C">
        <w:rPr>
          <w:rFonts w:asciiTheme="majorHAnsi" w:hAnsiTheme="majorHAnsi"/>
          <w:i/>
        </w:rPr>
        <w:t>D. melanogaster</w:t>
      </w:r>
      <w:r w:rsidRPr="0013327C">
        <w:rPr>
          <w:rFonts w:asciiTheme="majorHAnsi" w:hAnsiTheme="majorHAnsi"/>
        </w:rPr>
        <w:t xml:space="preserve">. In </w:t>
      </w:r>
      <w:r w:rsidRPr="0013327C">
        <w:rPr>
          <w:rFonts w:asciiTheme="majorHAnsi" w:hAnsiTheme="majorHAnsi"/>
          <w:i/>
        </w:rPr>
        <w:t>S. cerevisiae</w:t>
      </w:r>
      <w:r w:rsidRPr="0013327C">
        <w:rPr>
          <w:rFonts w:asciiTheme="majorHAnsi" w:hAnsiTheme="majorHAnsi"/>
        </w:rPr>
        <w:t xml:space="preserve"> there is the one allele </w:t>
      </w:r>
      <w:r w:rsidR="00D93535" w:rsidRPr="00D93535">
        <w:rPr>
          <w:rFonts w:asciiTheme="majorHAnsi" w:hAnsiTheme="majorHAnsi"/>
          <w:i/>
        </w:rPr>
        <w:t>PEX</w:t>
      </w:r>
      <w:r>
        <w:rPr>
          <w:rFonts w:asciiTheme="majorHAnsi" w:hAnsiTheme="majorHAnsi"/>
        </w:rPr>
        <w:t>11α</w:t>
      </w:r>
      <w:r w:rsidRPr="0013327C">
        <w:rPr>
          <w:rFonts w:asciiTheme="majorHAnsi" w:hAnsiTheme="majorHAnsi"/>
        </w:rPr>
        <w:t xml:space="preserve"> (Pex11p) while in </w:t>
      </w:r>
      <w:r w:rsidRPr="0013327C">
        <w:rPr>
          <w:rFonts w:asciiTheme="majorHAnsi" w:hAnsiTheme="majorHAnsi"/>
          <w:i/>
        </w:rPr>
        <w:t>D. melanogaster</w:t>
      </w:r>
      <w:r w:rsidRPr="0013327C">
        <w:rPr>
          <w:rFonts w:asciiTheme="majorHAnsi" w:hAnsiTheme="majorHAnsi"/>
        </w:rPr>
        <w:t xml:space="preserve"> there are two alleles, </w:t>
      </w:r>
      <w:r w:rsidRPr="000C26B2">
        <w:rPr>
          <w:rFonts w:asciiTheme="majorHAnsi" w:hAnsiTheme="majorHAnsi"/>
          <w:i/>
        </w:rPr>
        <w:t>PEX</w:t>
      </w:r>
      <w:r w:rsidRPr="0013327C">
        <w:rPr>
          <w:rFonts w:asciiTheme="majorHAnsi" w:hAnsiTheme="majorHAnsi"/>
        </w:rPr>
        <w:t xml:space="preserve">11β and </w:t>
      </w:r>
      <w:r w:rsidRPr="000C26B2">
        <w:rPr>
          <w:rFonts w:asciiTheme="majorHAnsi" w:hAnsiTheme="majorHAnsi"/>
          <w:i/>
        </w:rPr>
        <w:t>PEX</w:t>
      </w:r>
      <w:r w:rsidRPr="0013327C">
        <w:rPr>
          <w:rFonts w:asciiTheme="majorHAnsi" w:hAnsiTheme="majorHAnsi"/>
        </w:rPr>
        <w:t>11γ. Humans have orthologues for all three. In yeast, de</w:t>
      </w:r>
      <w:r w:rsidR="00BE47A5">
        <w:rPr>
          <w:rFonts w:asciiTheme="majorHAnsi" w:hAnsiTheme="majorHAnsi"/>
        </w:rPr>
        <w:t>p</w:t>
      </w:r>
      <w:r w:rsidRPr="0013327C">
        <w:rPr>
          <w:rFonts w:asciiTheme="majorHAnsi" w:hAnsiTheme="majorHAnsi"/>
        </w:rPr>
        <w:t>letion of Pex11p is believed to affect the curvature of the peroxisomal membrane and results in fewer, enlarged peroxisomes especially when grown on oleate</w:t>
      </w:r>
      <w:r w:rsidR="00981278">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"We have purified peroxisomal membranes from Saccharomyces cerevisiae after induction of peroxisomes in oleic acid-containing media. About 30 distinct proteins could be discerned among the HPLC- and SDS-PAGE-separated proteins of the high salt-extracted peroxisomal membranes. The most abundant of these, Pmp27p, was purified and the corresponding gene PMP27 was cloned and sequenced. Its primary structure is 32% identical to PMP31 and PMP32 of the yeast Candida biodinii (Moreno, M., R. Lark, K. L. Campbell, and M. J. Goodman. 1994. Yeast. 10:1447-1457). Immunoelectron microscopic localization of Pmp27p showed labeling of the peroxisomal membrane, but also of matrix-less and matrix containing tubular membranes nearby. Electronmicroscopical data suggest that some of these tubular extensions might interconnect peroxisomes to form a peroxisomal reticulum. Cells with a disrupted PMP27 gene (delta pmp27) still grew well on glucose or ethanol, but they failed to grow on oleate although peroxisomes were still induced by transfer to oleate-containing media. The induced peroxisomes of delta pmp27 cells were fewer but considerably larger than those of wild-type cells, suggesting that Pmp27p may be involved in parceling of peroxisomes into regular quanta. delta pmp27 cells cultured in oleate-containing media form multiple buds, of which virtually all are peroxisome deficient. The growth defect of delta pmp27 cells on oleic acid appears to result from the inability to segregate the giant peroxisomes to daughter cells.", "author" : [ { "dropping-particle" : "", "family" : "Erdmann", "given" : "R", "non-dropping-particle" : "", "parse-names" : false, "suffix" : "" }, { "dropping-particle" : "", "family" : "Blobel", "given" : "G", "non-dropping-particle" : "", "parse-names" : false, "suffix" : "" } ], "container-title" : "The Journal of cell biology", "id" : "ITEM-1", "issue" : "4", "issued" : { "date-parts" : [ [ "1995", "2" ] ] }, "page" : "509-23", "title" : "Giant peroxisomes in oleic acid-induced Saccharomyces cerevisiae lacking the peroxisomal membrane protein Pmp27p.", "type" : "article-journal", "volume" : "128" }, "uris" : [ "http://www.mendeley.com/documents/?uuid=2edc1c25-1e4e-4394-8b0c-317a99c0e6d2" ] } ], "mendeley" : { "previouslyFormattedCitation" : "(Erdmann &amp; Blobel 1995)"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(Erdmann &amp; Blobel 1995)</w:t>
      </w:r>
      <w:r w:rsidR="009A1FEC" w:rsidRPr="0013327C">
        <w:rPr>
          <w:rFonts w:asciiTheme="majorHAnsi" w:hAnsiTheme="majorHAnsi"/>
        </w:rPr>
        <w:fldChar w:fldCharType="end"/>
      </w:r>
      <w:r w:rsidRPr="0013327C">
        <w:rPr>
          <w:rFonts w:asciiTheme="majorHAnsi" w:hAnsiTheme="majorHAnsi"/>
        </w:rPr>
        <w:t xml:space="preserve">. </w:t>
      </w:r>
      <w:r w:rsidR="00DC0D16">
        <w:rPr>
          <w:rFonts w:asciiTheme="majorHAnsi" w:hAnsiTheme="majorHAnsi"/>
        </w:rPr>
        <w:t xml:space="preserve">Further more, it has been shown that an N-terminal </w:t>
      </w:r>
      <w:r w:rsidR="00DC0D16">
        <w:rPr>
          <w:rFonts w:asciiTheme="majorHAnsi" w:hAnsiTheme="majorHAnsi"/>
        </w:rPr>
        <w:lastRenderedPageBreak/>
        <w:t>amphipathic helix that is well-conserved is required for insertion of Pex11p into the peroxisomal membrane</w:t>
      </w:r>
      <w:r w:rsidR="00D75439">
        <w:rPr>
          <w:rFonts w:asciiTheme="majorHAnsi" w:hAnsiTheme="majorHAnsi"/>
        </w:rPr>
        <w:t xml:space="preserve"> and its subsequent curvature</w:t>
      </w:r>
      <w:r w:rsidR="009C2E2E">
        <w:rPr>
          <w:rFonts w:asciiTheme="majorHAnsi" w:hAnsiTheme="majorHAnsi"/>
        </w:rPr>
        <w:t xml:space="preserve">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"10.1038/emboj.2010.299", "abstract" : "Pex11 is a key player in peroxisome proliferation, but the molecular mechanisms of its function are still unknown. Here, we show that Pex11 contains a conserved sequence at the N-terminus that can adopt the structure of an amphipathic helix. Using Penicillium chrysogenum Pex11, we show that this amphipathic helix, termed Pex11-Amph, associates with liposomes in vitro. This interaction is especially evident when negatively charged liposomes are used with a phospholipid content resembling that of peroxisomal membranes. Binding of Pex11-Amph to negatively charged membrane vesicles resulted in strong tubulation. This tubulation of vesicles was also observed when the entire soluble N-terminal domain of Pex11 was used. Using mutant peptides, we demonstrate that maintaining the amphipathic properties of Pex11-Amph in conjunction with retaining its \u03b1-helical structure are crucial for its function. We show that the membrane remodelling capacity of the amphipathic helix in Pex11 is conserved from yeast to man. Finally, we demonstrate that mutations abolishing the membrane remodelling activity of the Pex11-Amph domain also hamper the function of full-length Pex11 in peroxisome fission in vivo.", "author" : [ { "dropping-particle" : "", "family" : "Opali\u0144ski", "given" : "\u0141ukasz", "non-dropping-particle" : "", "parse-names" : false, "suffix" : "" }, { "dropping-particle" : "", "family" : "Kiel", "given" : "Jan a K W", "non-dropping-particle" : "", "parse-names" : false, "suffix" : "" }, { "dropping-particle" : "", "family" : "Williams", "given" : "Chris", "non-dropping-particle" : "", "parse-names" : false, "suffix" : "" }, { "dropping-particle" : "", "family" : "Veenhuis", "given" : "Marten", "non-dropping-particle" : "", "parse-names" : false, "suffix" : "" }, { "dropping-particle" : "", "family" : "Klei", "given" : "Ida J", "non-dropping-particle" : "van der", "parse-names" : false, "suffix" : "" } ], "container-title" : "The EMBO journal", "id" : "ITEM-1", "issue" : "1", "issued" : { "date-parts" : [ [ "2011", "1", "5" ] ] }, "page" : "5-16", "title" : "Membrane curvature during peroxisome fission requires Pex11.", "type" : "article-journal", "volume" : "30" }, "uris" : [ "http://www.mendeley.com/documents/?uuid=8d402487-ed17-4ec1-b0d5-110aef5c5507" ] } ], "mendeley" : { "previouslyFormattedCitation" : "(Opali\u0144ski et al. 2011)" }, "properties" : { "noteIndex" : 0 }, "schema" : "https://github.com/citation-style-language/schema/raw/master/csl-citation.json" }</w:instrText>
      </w:r>
      <w:r w:rsidR="009A1FEC">
        <w:rPr>
          <w:rFonts w:asciiTheme="majorHAnsi" w:hAnsiTheme="majorHAnsi"/>
        </w:rPr>
        <w:fldChar w:fldCharType="separate"/>
      </w:r>
      <w:r w:rsidR="009C2E2E" w:rsidRPr="009C2E2E">
        <w:rPr>
          <w:rFonts w:asciiTheme="majorHAnsi" w:hAnsiTheme="majorHAnsi"/>
          <w:noProof/>
        </w:rPr>
        <w:t xml:space="preserve">(Opaliński </w:t>
      </w:r>
      <w:r w:rsidR="00466108" w:rsidRPr="00466108">
        <w:rPr>
          <w:rFonts w:asciiTheme="majorHAnsi" w:hAnsiTheme="majorHAnsi"/>
          <w:i/>
          <w:noProof/>
        </w:rPr>
        <w:t>et al</w:t>
      </w:r>
      <w:r w:rsidR="009C2E2E" w:rsidRPr="009C2E2E">
        <w:rPr>
          <w:rFonts w:asciiTheme="majorHAnsi" w:hAnsiTheme="majorHAnsi"/>
          <w:noProof/>
        </w:rPr>
        <w:t>. 2011)</w:t>
      </w:r>
      <w:r w:rsidR="009A1FEC">
        <w:rPr>
          <w:rFonts w:asciiTheme="majorHAnsi" w:hAnsiTheme="majorHAnsi"/>
        </w:rPr>
        <w:fldChar w:fldCharType="end"/>
      </w:r>
      <w:r w:rsidR="00D75439">
        <w:rPr>
          <w:rFonts w:asciiTheme="majorHAnsi" w:hAnsiTheme="majorHAnsi"/>
        </w:rPr>
        <w:t xml:space="preserve">. It is thought that the insertion of the amphipathic region into the cis-layer of the phospholipid bilayer creates an asymmetry </w:t>
      </w:r>
      <w:r w:rsidR="009D06E0">
        <w:rPr>
          <w:rFonts w:asciiTheme="majorHAnsi" w:hAnsiTheme="majorHAnsi"/>
        </w:rPr>
        <w:t>between the two layers and thus induces membrane curvature</w:t>
      </w:r>
      <w:r w:rsidR="009C2E2E">
        <w:rPr>
          <w:rFonts w:asciiTheme="majorHAnsi" w:hAnsiTheme="majorHAnsi"/>
        </w:rPr>
        <w:t xml:space="preserve">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"10.1529/biophysj.108.133173", "abstract" : "A wide spectrum of intracellular processes is dependent on the ability of cells to dynamically regulate membrane shape. Membrane bending by proteins is necessary for the generation of intracellular transport carriers and for the maintenance of otherwise intrinsically unstable regions of high membrane curvature in cell organelles. Understanding the mechanisms by which proteins curve membranes is therefore of primary importance. Here we suggest, for the first time to our knowledge, a quantitative mechanism of lipid membrane bending by hydrophobic or amphipathic rodlike inclusions which simulate amphipathic alpha-helices-structures shown to sculpt membranes. Considering the lipid monolayer matrix as an anisotropic elastic material, we compute the intramembrane stresses and strains generated by the embedded inclusions, determine the resulting membrane shapes, and the accumulated elastic energy. We characterize the ability of an inclusion to bend membranes by an effective spontaneous curvature, and show that shallow rodlike inclusions are more effective in membrane shaping than are lipids having a high propensity for curvature. Our computations provide experimentally testable predictions on the protein amounts needed to generate intracellular membrane shapes for various insertion depths and membrane thicknesses. We also predict that the ability of N-BAR domains to produce membrane tubules in vivo can be ascribed solely to insertion of their amphipathic helices.", "author" : [ { "dropping-particle" : "", "family" : "Campelo", "given" : "Felix", "non-dropping-particle" : "", "parse-names" : false, "suffix" : "" }, { "dropping-particle" : "", "family" : "McMahon", "given" : "Harvey T", "non-dropping-particle" : "", "parse-names" : false, "suffix" : "" }, { "dropping-particle" : "", "family" : "Kozlov", "given" : "Michael M", "non-dropping-particle" : "", "parse-names" : false, "suffix" : "" } ], "container-title" : "Biophysical journal", "id" : "ITEM-1", "issue" : "5", "issued" : { "date-parts" : [ [ "2008", "9" ] ] }, "page" : "2325-39", "title" : "The hydrophobic insertion mechanism of membrane curvature generation by proteins.", "type" : "article-journal", "volume" : "95" }, "uris" : [ "http://www.mendeley.com/documents/?uuid=18a9ce68-a543-4ded-9b6e-6a105d44486a" ] } ], "mendeley" : { "previouslyFormattedCitation" : "(Campelo, McMahon &amp; Kozlov 2008)" }, "properties" : { "noteIndex" : 0 }, "schema" : "https://github.com/citation-style-language/schema/raw/master/csl-citation.json" }</w:instrText>
      </w:r>
      <w:r w:rsidR="009A1FEC">
        <w:rPr>
          <w:rFonts w:asciiTheme="majorHAnsi" w:hAnsiTheme="majorHAnsi"/>
        </w:rPr>
        <w:fldChar w:fldCharType="separate"/>
      </w:r>
      <w:r w:rsidR="009C2E2E" w:rsidRPr="009C2E2E">
        <w:rPr>
          <w:rFonts w:asciiTheme="majorHAnsi" w:hAnsiTheme="majorHAnsi"/>
          <w:noProof/>
        </w:rPr>
        <w:t>(Campelo, McMahon &amp; Kozlov 2008)</w:t>
      </w:r>
      <w:r w:rsidR="009A1FEC">
        <w:rPr>
          <w:rFonts w:asciiTheme="majorHAnsi" w:hAnsiTheme="majorHAnsi"/>
        </w:rPr>
        <w:fldChar w:fldCharType="end"/>
      </w:r>
      <w:r w:rsidR="009D06E0">
        <w:rPr>
          <w:rFonts w:asciiTheme="majorHAnsi" w:hAnsiTheme="majorHAnsi"/>
        </w:rPr>
        <w:t>.</w:t>
      </w:r>
      <w:r w:rsidR="00DC0D16">
        <w:rPr>
          <w:rFonts w:asciiTheme="majorHAnsi" w:hAnsiTheme="majorHAnsi"/>
        </w:rPr>
        <w:t xml:space="preserve"> </w:t>
      </w:r>
      <w:r w:rsidRPr="0013327C">
        <w:rPr>
          <w:rFonts w:asciiTheme="majorHAnsi" w:hAnsiTheme="majorHAnsi"/>
        </w:rPr>
        <w:t xml:space="preserve">Functionally </w:t>
      </w:r>
      <w:r w:rsidRPr="000C26B2">
        <w:rPr>
          <w:rFonts w:asciiTheme="majorHAnsi" w:hAnsiTheme="majorHAnsi"/>
          <w:i/>
        </w:rPr>
        <w:t>PEX</w:t>
      </w:r>
      <w:r w:rsidRPr="0013327C">
        <w:rPr>
          <w:rFonts w:asciiTheme="majorHAnsi" w:hAnsiTheme="majorHAnsi"/>
        </w:rPr>
        <w:t xml:space="preserve">11 is involved in elongation of existing peroxisomes. </w:t>
      </w:r>
      <w:r w:rsidRPr="000C26B2">
        <w:rPr>
          <w:rFonts w:asciiTheme="majorHAnsi" w:hAnsiTheme="majorHAnsi"/>
          <w:i/>
        </w:rPr>
        <w:t>PEX</w:t>
      </w:r>
      <w:r w:rsidRPr="0013327C">
        <w:rPr>
          <w:rFonts w:asciiTheme="majorHAnsi" w:hAnsiTheme="majorHAnsi"/>
        </w:rPr>
        <w:t xml:space="preserve">25 and </w:t>
      </w:r>
      <w:r w:rsidRPr="000C26B2">
        <w:rPr>
          <w:rFonts w:asciiTheme="majorHAnsi" w:hAnsiTheme="majorHAnsi"/>
          <w:i/>
        </w:rPr>
        <w:t>PEX</w:t>
      </w:r>
      <w:r w:rsidRPr="0013327C">
        <w:rPr>
          <w:rFonts w:asciiTheme="majorHAnsi" w:hAnsiTheme="majorHAnsi"/>
        </w:rPr>
        <w:t xml:space="preserve">27 have C-terminal sections that are highly homologous to </w:t>
      </w:r>
      <w:r w:rsidRPr="000C26B2">
        <w:rPr>
          <w:rFonts w:asciiTheme="majorHAnsi" w:hAnsiTheme="majorHAnsi"/>
          <w:i/>
        </w:rPr>
        <w:t>PEX</w:t>
      </w:r>
      <w:r w:rsidRPr="0013327C">
        <w:rPr>
          <w:rFonts w:asciiTheme="majorHAnsi" w:hAnsiTheme="majorHAnsi"/>
        </w:rPr>
        <w:t xml:space="preserve">11 and the triple knockout causes the most severe phenotype in yeast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"10.1515/BMC.2011.031.Membrane", "author" : [ { "dropping-particle" : "", "family" : "Koch", "given" : "Johannes", "non-dropping-particle" : "", "parse-names" : false, "suffix" : "" }, { "dropping-particle" : "", "family" : "Brocard", "given" : "C\u00e9cile", "non-dropping-particle" : "", "parse-names" : false, "suffix" : "" } ], "container-title" : "Biomolecular Concepts", "id" : "ITEM-1", "issue" : "5", "issued" : { "date-parts" : [ [ "2011" ] ] }, "page" : "353-364", "title" : "Membrane elongation factors in organelle maintenance : the case of peroxisome proliferation", "type" : "article-journal", "volume" : "2" }, "uris" : [ "http://www.mendeley.com/documents/?uuid=b6a1c02b-6c45-4c36-b5c2-7489c1a97ab2" ] } ], "mendeley" : { "previouslyFormattedCitation" : "(Koch &amp; Brocard 2011)"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(Koch &amp; Brocard 2011)</w:t>
      </w:r>
      <w:r w:rsidR="009A1FEC" w:rsidRPr="0013327C">
        <w:rPr>
          <w:rFonts w:asciiTheme="majorHAnsi" w:hAnsiTheme="majorHAnsi"/>
        </w:rPr>
        <w:fldChar w:fldCharType="end"/>
      </w:r>
      <w:r w:rsidRPr="0013327C">
        <w:rPr>
          <w:rFonts w:asciiTheme="majorHAnsi" w:hAnsiTheme="majorHAnsi"/>
        </w:rPr>
        <w:t>. Metazoan orthologues have not been found for these two though there is believed to be functional redundancy in proteins such as FIS1 and DNM1L which are known to be effectors of peroxisome inheritance in yeast.</w:t>
      </w:r>
    </w:p>
    <w:p w:rsidR="00FD54DA" w:rsidRPr="0013327C" w:rsidRDefault="00FD54DA" w:rsidP="00FD54DA">
      <w:pPr>
        <w:pStyle w:val="Heading2"/>
        <w:jc w:val="both"/>
      </w:pPr>
      <w:bookmarkStart w:id="32" w:name="_Toc348423289"/>
      <w:r w:rsidRPr="0013327C">
        <w:t>Non-</w:t>
      </w:r>
      <w:r w:rsidR="00D93535" w:rsidRPr="00D93535">
        <w:rPr>
          <w:i/>
        </w:rPr>
        <w:t>PEX</w:t>
      </w:r>
      <w:r w:rsidRPr="0013327C">
        <w:t xml:space="preserve"> Biogenesis Genes</w:t>
      </w:r>
      <w:bookmarkEnd w:id="32"/>
    </w:p>
    <w:p w:rsidR="00FD54DA" w:rsidRPr="0013327C" w:rsidRDefault="00FD54DA" w:rsidP="00FD54DA">
      <w:pPr>
        <w:pStyle w:val="Heading3"/>
        <w:jc w:val="both"/>
      </w:pPr>
      <w:bookmarkStart w:id="33" w:name="_Toc348423290"/>
      <w:r w:rsidRPr="0013327C">
        <w:t>Dynamin-related proteins</w:t>
      </w:r>
      <w:bookmarkEnd w:id="33"/>
    </w:p>
    <w:p w:rsidR="00FD54DA" w:rsidRPr="0013327C" w:rsidRDefault="00FD54DA" w:rsidP="00FD54DA">
      <w:pPr>
        <w:jc w:val="both"/>
        <w:rPr>
          <w:rFonts w:asciiTheme="majorHAnsi" w:hAnsiTheme="majorHAnsi"/>
        </w:rPr>
      </w:pPr>
      <w:r w:rsidRPr="0013327C">
        <w:rPr>
          <w:rFonts w:asciiTheme="majorHAnsi" w:hAnsiTheme="majorHAnsi"/>
        </w:rPr>
        <w:t xml:space="preserve">The model for peroxisome multiplication utilises fission of peroxisomes supported by the delivery of ER-derived pre-peroxisomal structures for growth and maturation. In </w:t>
      </w:r>
      <w:r w:rsidRPr="0013327C">
        <w:rPr>
          <w:rFonts w:asciiTheme="majorHAnsi" w:hAnsiTheme="majorHAnsi"/>
          <w:i/>
        </w:rPr>
        <w:t>S. cerevisiae</w:t>
      </w:r>
      <w:r w:rsidRPr="0013327C">
        <w:rPr>
          <w:rFonts w:asciiTheme="majorHAnsi" w:hAnsiTheme="majorHAnsi"/>
        </w:rPr>
        <w:t xml:space="preserve"> </w:t>
      </w:r>
      <w:r>
        <w:rPr>
          <w:rFonts w:asciiTheme="majorHAnsi" w:hAnsiTheme="majorHAnsi"/>
        </w:rPr>
        <w:t>dynamin-</w:t>
      </w:r>
      <w:r w:rsidRPr="0013327C">
        <w:rPr>
          <w:rFonts w:asciiTheme="majorHAnsi" w:hAnsiTheme="majorHAnsi"/>
        </w:rPr>
        <w:t xml:space="preserve">related proteins (DRPs) Vsp1 and Dnm1 are responsible for peroxisomal fission. The absence of Vps1 causes peroxisome number to reduce in WT cells. Dnm1 causes </w:t>
      </w:r>
      <w:r>
        <w:rPr>
          <w:rFonts w:asciiTheme="majorHAnsi" w:hAnsiTheme="majorHAnsi"/>
        </w:rPr>
        <w:t xml:space="preserve">a </w:t>
      </w:r>
      <w:r w:rsidRPr="0013327C">
        <w:rPr>
          <w:rFonts w:asciiTheme="majorHAnsi" w:hAnsiTheme="majorHAnsi"/>
        </w:rPr>
        <w:t>cell</w:t>
      </w:r>
      <w:r>
        <w:rPr>
          <w:rFonts w:asciiTheme="majorHAnsi" w:hAnsiTheme="majorHAnsi"/>
        </w:rPr>
        <w:t>'</w:t>
      </w:r>
      <w:r w:rsidRPr="0013327C">
        <w:rPr>
          <w:rFonts w:asciiTheme="majorHAnsi" w:hAnsiTheme="majorHAnsi"/>
        </w:rPr>
        <w:t xml:space="preserve">s </w:t>
      </w:r>
      <w:r>
        <w:rPr>
          <w:rFonts w:asciiTheme="majorHAnsi" w:hAnsiTheme="majorHAnsi"/>
        </w:rPr>
        <w:t>peroxisome quantity</w:t>
      </w:r>
      <w:r w:rsidRPr="0013327C">
        <w:rPr>
          <w:rFonts w:asciiTheme="majorHAnsi" w:hAnsiTheme="majorHAnsi"/>
        </w:rPr>
        <w:t xml:space="preserve"> to reduce compared to WT only when peroxisome proliferation is induced; in </w:t>
      </w:r>
      <w:r w:rsidRPr="0013327C">
        <w:rPr>
          <w:rFonts w:asciiTheme="majorHAnsi" w:hAnsiTheme="majorHAnsi"/>
          <w:i/>
        </w:rPr>
        <w:t>S. cerevisiae</w:t>
      </w:r>
      <w:r w:rsidRPr="0013327C">
        <w:rPr>
          <w:rFonts w:asciiTheme="majorHAnsi" w:hAnsiTheme="majorHAnsi"/>
        </w:rPr>
        <w:t xml:space="preserve"> this occur</w:t>
      </w:r>
      <w:r>
        <w:rPr>
          <w:rFonts w:asciiTheme="majorHAnsi" w:hAnsiTheme="majorHAnsi"/>
        </w:rPr>
        <w:t>s</w:t>
      </w:r>
      <w:r w:rsidRPr="0013327C">
        <w:rPr>
          <w:rFonts w:asciiTheme="majorHAnsi" w:hAnsiTheme="majorHAnsi"/>
        </w:rPr>
        <w:t xml:space="preserve"> with growth on oleate. This suggests there may be partial redundancy in their functions of proliferation regulation</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"10.1242/jcs.03166", "abstract" : "Saccharomyces cerevisiae contains three dynamin-related-proteins, Vps1p, Dnm1p and Mgm1p. Previous data from glucose-grown VPS1 and DNM1 null mutants suggested that Vps1p, but not Dnm1p, plays a role in regulating peroxisome abundance. Here we show that deletion of DNM1 also results in reduction of peroxisome numbers. This was not observed in glucose-grown dnm1 cells, but was evident in cells grown in the presence of oleate. Similar observations were made in cells lacking Fis1p, a protein involved in Dnm1p function. Fluorescence microscopy of cells producing Dnm1-GFP or GFP-Fis1p demonstrated that both proteins had a dual localization on mitochondria and peroxisomes. Quantitative analysis revealed a greater reduction in peroxisome number in oleate-induced vps1 cells relative to dnm1 or fis1 cells. A significant fraction of oleate-induced vps1 cells still contained two or more peroxisomes. Conversely, almost all cells of a dnm1 vps1 double-deletion strain contained only one, enlarged peroxisome. This suggests that deletion of DNM1 reinforces the vps1 peroxisome phenotype. Time-lapse imaging indicated that during budding of dnm1 vps1 cells, the single peroxisome present in the mother cell formed long protrusions into the developing bud. This organelle divided at a very late stage of the budding process, possibly during cytokinesis.", "author" : [ { "dropping-particle" : "", "family" : "Kuravi", "given" : "Kasinath", "non-dropping-particle" : "", "parse-names" : false, "suffix" : "" }, { "dropping-particle" : "", "family" : "Nagotu", "given" : "Shirisha", "non-dropping-particle" : "", "parse-names" : false, "suffix" : "" }, { "dropping-particle" : "", "family" : "Krikken", "given" : "Arjen M", "non-dropping-particle" : "", "parse-names" : false, "suffix" : "" }, { "dropping-particle" : "", "family" : "Sjollema", "given" : "Klaas", "non-dropping-particle" : "", "parse-names" : false, "suffix" : "" }, { "dropping-particle" : "", "family" : "Deckers", "given" : "Markus", "non-dropping-particle" : "", "parse-names" : false, "suffix" : "" }, { "dropping-particle" : "", "family" : "Erdmann", "given" : "Ralf", "non-dropping-particle" : "", "parse-names" : false, "suffix" : "" }, { "dropping-particle" : "", "family" : "Veenhuis", "given" : "Marten", "non-dropping-particle" : "", "parse-names" : false, "suffix" : "" }, { "dropping-particle" : "", "family" : "Klei", "given" : "Ida J", "non-dropping-particle" : "van der", "parse-names" : false, "suffix" : "" } ], "container-title" : "Journal of cell science", "id" : "ITEM-1", "issue" : "Pt 19", "issued" : { "date-parts" : [ [ "2006", "10", "1" ] ] }, "page" : "3994-4001", "title" : "Dynamin-related proteins Vps1p and Dnm1p control peroxisome abundance in Saccharomyces cerevisiae.", "type" : "article-journal", "volume" : "119" }, "uris" : [ "http://www.mendeley.com/documents/?uuid=4faef3fa-3532-4706-bdda-5b0a16d203a9" ] } ], "mendeley" : { "previouslyFormattedCitation" : "(Kuravi et al. 2006)"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(Kuravi </w:t>
      </w:r>
      <w:r w:rsidR="00466108" w:rsidRPr="00466108">
        <w:rPr>
          <w:rFonts w:asciiTheme="majorHAnsi" w:hAnsiTheme="majorHAnsi"/>
          <w:i/>
          <w:noProof/>
        </w:rPr>
        <w:t>et al</w:t>
      </w:r>
      <w:r w:rsidRPr="0013327C">
        <w:rPr>
          <w:rFonts w:asciiTheme="majorHAnsi" w:hAnsiTheme="majorHAnsi"/>
          <w:noProof/>
        </w:rPr>
        <w:t>. 2006)</w:t>
      </w:r>
      <w:r w:rsidR="009A1FEC" w:rsidRPr="0013327C">
        <w:rPr>
          <w:rFonts w:asciiTheme="majorHAnsi" w:hAnsiTheme="majorHAnsi"/>
        </w:rPr>
        <w:fldChar w:fldCharType="end"/>
      </w:r>
      <w:r w:rsidRPr="0013327C">
        <w:rPr>
          <w:rFonts w:asciiTheme="majorHAnsi" w:hAnsiTheme="majorHAnsi"/>
        </w:rPr>
        <w:t>.</w:t>
      </w:r>
    </w:p>
    <w:p w:rsidR="00FD54DA" w:rsidRPr="0013327C" w:rsidRDefault="00FD54DA" w:rsidP="00FD54DA">
      <w:pPr>
        <w:jc w:val="both"/>
        <w:rPr>
          <w:rFonts w:asciiTheme="majorHAnsi" w:hAnsiTheme="majorHAnsi"/>
        </w:rPr>
      </w:pPr>
      <w:r w:rsidRPr="0013327C">
        <w:rPr>
          <w:rFonts w:asciiTheme="majorHAnsi" w:hAnsiTheme="majorHAnsi"/>
        </w:rPr>
        <w:t xml:space="preserve">In </w:t>
      </w:r>
      <w:r w:rsidRPr="0013327C">
        <w:rPr>
          <w:rFonts w:asciiTheme="majorHAnsi" w:hAnsiTheme="majorHAnsi"/>
          <w:i/>
        </w:rPr>
        <w:t>S. cerevisiae</w:t>
      </w:r>
      <w:r w:rsidRPr="0013327C">
        <w:rPr>
          <w:rFonts w:asciiTheme="majorHAnsi" w:hAnsiTheme="majorHAnsi"/>
        </w:rPr>
        <w:t xml:space="preserve"> Dnm1p requires Fis1p, Caf4p and Mdv1p for recruitment to peroxisomes, though Mdv1p and Caf4p are each </w:t>
      </w:r>
      <w:r w:rsidR="000C7821">
        <w:rPr>
          <w:rFonts w:asciiTheme="majorHAnsi" w:hAnsiTheme="majorHAnsi"/>
        </w:rPr>
        <w:t>epistatic</w:t>
      </w:r>
      <w:r w:rsidRPr="0013327C">
        <w:rPr>
          <w:rFonts w:asciiTheme="majorHAnsi" w:hAnsiTheme="majorHAnsi"/>
        </w:rPr>
        <w:t xml:space="preserve"> to the role of Fis1p</w:t>
      </w:r>
      <w:r w:rsidR="000C7821">
        <w:rPr>
          <w:rFonts w:asciiTheme="majorHAnsi" w:hAnsiTheme="majorHAnsi"/>
        </w:rPr>
        <w:t>; each requires a dual loss-of-function with Fis1p to prevent Dnm1p recruitment</w:t>
      </w:r>
      <w:r w:rsidRPr="0013327C">
        <w:rPr>
          <w:rFonts w:asciiTheme="majorHAnsi" w:hAnsiTheme="majorHAnsi"/>
        </w:rPr>
        <w:t xml:space="preserve">. The same proteins perform the Dnm1p recruitment to mitochondria but without this </w:t>
      </w:r>
      <w:r w:rsidR="00661A7C">
        <w:rPr>
          <w:rFonts w:asciiTheme="majorHAnsi" w:hAnsiTheme="majorHAnsi"/>
        </w:rPr>
        <w:t>loss of effect</w:t>
      </w:r>
      <w:r w:rsidR="000C7821">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"10.1242/jcs.026344", "abstract" : "Yeast peroxisomes multiply by fission. Fission requires two dynamin-related proteins, Dnm1p and Vps1p. Using an in vivo fission assay, we show that Dnm1p-dependent peroxisome fission requires Fis1p, Caf4p and Mdv1p. Fluorescence microscopy of cells expressing GFP-tagged Caf4p and Mdv1p revealed that their association with peroxisomes relies on Fis1p. Vps1p-dependent peroxisome fission occurs independently of these factors. Vps1p contributes most to fission of peroxisomes when cells are grown on glucose. Overexpression of Dnm1p suppresses the fission defect as long as Fis1p and either Mdv1p or Caf4p are present. Conversely, overexpression of Dnm1p does not restore the vacuolar fusion defect of vps1 cells and Vps1p overexpression does not restore the mitochondrial fission defect of dnm1 cells. These data show that Vps1p and Dnm1p are part of independent fission machineries. Because the contribution of Dnm1p to peroxisome fission appears to be more pronounced in cells that proliferate peroxisomes in response to mitochondrial dysfunction, Dnm1p might be part of the mechanism that coordinates mitochondrial and peroxisomal biogenesis.", "author" : [ { "dropping-particle" : "", "family" : "Motley", "given" : "Alison M", "non-dropping-particle" : "", "parse-names" : false, "suffix" : "" }, { "dropping-particle" : "", "family" : "Ward", "given" : "Gemma P", "non-dropping-particle" : "", "parse-names" : false, "suffix" : "" }, { "dropping-particle" : "", "family" : "Hettema", "given" : "Ewald H", "non-dropping-particle" : "", "parse-names" : false, "suffix" : "" } ], "container-title" : "Journal of cell science", "id" : "ITEM-1", "issue" : "Pt 10", "issued" : { "date-parts" : [ [ "2008", "5", "15" ] ] }, "page" : "1633-40", "title" : "Dnm1p-dependent peroxisome fission requires Caf4p, Mdv1p and Fis1p.", "type" : "article-journal", "volume" : "121" }, "uris" : [ "http://www.mendeley.com/documents/?uuid=b29a4771-680b-4a39-aeb0-2f25219d91bd" ] } ], "mendeley" : { "previouslyFormattedCitation" : "(Motley, Ward &amp; Hettema 2008)"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(Motley, Ward &amp; Hettema 2008)</w:t>
      </w:r>
      <w:r w:rsidR="009A1FEC" w:rsidRPr="0013327C">
        <w:rPr>
          <w:rFonts w:asciiTheme="majorHAnsi" w:hAnsiTheme="majorHAnsi"/>
        </w:rPr>
        <w:fldChar w:fldCharType="end"/>
      </w:r>
      <w:r w:rsidRPr="0013327C">
        <w:rPr>
          <w:rFonts w:asciiTheme="majorHAnsi" w:hAnsiTheme="majorHAnsi"/>
        </w:rPr>
        <w:t xml:space="preserve">. Vps1 does not require this recruitment for peroxisomal fission, instead it relies on </w:t>
      </w:r>
      <w:r w:rsidRPr="000C26B2">
        <w:rPr>
          <w:rFonts w:asciiTheme="majorHAnsi" w:hAnsiTheme="majorHAnsi"/>
          <w:i/>
        </w:rPr>
        <w:t>PEX</w:t>
      </w:r>
      <w:r w:rsidRPr="0013327C">
        <w:rPr>
          <w:rFonts w:asciiTheme="majorHAnsi" w:hAnsiTheme="majorHAnsi"/>
        </w:rPr>
        <w:t xml:space="preserve">19 mediated recruitment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"10.1074/jbc.M600365200", "abstract" : "Dynamins and dynamin-like proteins play important roles in organelle division. In Saccharomyces cerevisiae, the dynamin-like protein Vps1p (vacuolar protein sorting protein 1) is involved in peroxisome fission, as cells deleted for the VPS1 gene contain reduced numbers of enlarged peroxisomes. What relationship Vps1p has with peroxisomes remains unclear. Here we show that Vps1p interacts with Pex19p, a peroxin that acts as a shuttling receptor for peroxisomal membrane proteins or as a chaperone assisting the assembly/stabilization of proteins at the peroxisome membrane. Vps1p contains two putative Pex19p recognition sequences at amino acids 509-523 and 633-647. Deletion of the first (but not the second) sequence results in reduced numbers of enlarged peroxisomes in cells, as in vps1delta cells. Deletion of either sequence has no effect on vacuolar morphology or vacuolar protein sorting, suggesting that the peroxisome and vacuole biogenic functions of Vps1p are separate and separable. Substitution of proline for valine at position 516 of Vps1p abrogates Pex19p binding and gives the peroxisome phenotype of vps1delta cells. Microscopic analysis showed that overexpression of Pex19p or redirection of Pex19p to the nucleus does not affect the normal cellular distribution of Vps1p in the cytosol and in punctate structures that are not peroxisomes, suggesting that Pex19p does not function in targeting Vps1p to peroxisomes. Subcellular fractionation showed that a fraction of Vps1p is associated with peroxisomes and that deletion or mutation of the first Pex19p recognition sequence abrogates this association. Our results are consistent with Pex19p acting as a chaperone to stabilize the association of Vps1p with peroxisomes and not as a receptor involved in targeting Vps1p to peroxisomes.", "author" : [ { "dropping-particle" : "", "family" : "Vizeacoumar", "given" : "Franco J", "non-dropping-particle" : "", "parse-names" : false, "suffix" : "" }, { "dropping-particle" : "", "family" : "Vreden", "given" : "Wanda N", "non-dropping-particle" : "", "parse-names" : false, "suffix" : "" }, { "dropping-particle" : "", "family" : "Fagarasanu", "given" : "Monica", "non-dropping-particle" : "", "parse-names" : false, "suffix" : "" }, { "dropping-particle" : "", "family" : "Eitzen", "given" : "Gary a", "non-dropping-particle" : "", "parse-names" : false, "suffix" : "" }, { "dropping-particle" : "", "family" : "Aitchison", "given" : "John D", "non-dropping-particle" : "", "parse-names" : false, "suffix" : "" }, { "dropping-particle" : "", "family" : "Rachubinski", "given" : "Richard a", "non-dropping-particle" : "", "parse-names" : false, "suffix" : "" } ], "container-title" : "The Journal of biological chemistry", "id" : "ITEM-1", "issue" : "18", "issued" : { "date-parts" : [ [ "2006", "5", "5" ] ] }, "page" : "12817-23", "title" : "The dynamin-like protein Vps1p of the yeast Saccharomyces cerevisiae associates with peroxisomes in a Pex19p-dependent manner.", "type" : "article-journal", "volume" : "281" }, "uris" : [ "http://www.mendeley.com/documents/?uuid=7b64c18a-4290-45e7-9858-7a539d8dc5ac" ] } ], "mendeley" : { "previouslyFormattedCitation" : "(Vizeacoumar et al. 2006)"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(Vizeacoumar </w:t>
      </w:r>
      <w:r w:rsidR="00466108" w:rsidRPr="00466108">
        <w:rPr>
          <w:rFonts w:asciiTheme="majorHAnsi" w:hAnsiTheme="majorHAnsi"/>
          <w:i/>
          <w:noProof/>
        </w:rPr>
        <w:t>et al</w:t>
      </w:r>
      <w:r w:rsidRPr="0013327C">
        <w:rPr>
          <w:rFonts w:asciiTheme="majorHAnsi" w:hAnsiTheme="majorHAnsi"/>
          <w:noProof/>
        </w:rPr>
        <w:t>. 2006)</w:t>
      </w:r>
      <w:r w:rsidR="009A1FEC" w:rsidRPr="0013327C">
        <w:rPr>
          <w:rFonts w:asciiTheme="majorHAnsi" w:hAnsiTheme="majorHAnsi"/>
        </w:rPr>
        <w:fldChar w:fldCharType="end"/>
      </w:r>
      <w:r w:rsidRPr="0013327C">
        <w:rPr>
          <w:rFonts w:asciiTheme="majorHAnsi" w:hAnsiTheme="majorHAnsi"/>
        </w:rPr>
        <w:t>. Two mechanisms appear to be crucial in controlling fission in yeast, the Vps1-dependent fission mechanism appears to be dominant in that its knockout phenotype is the more severe</w:t>
      </w:r>
      <w:r w:rsidR="00661A7C">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"10.1242/jcs.03166", "abstract" : "Saccharomyces cerevisiae contains three dynamin-related-proteins, Vps1p, Dnm1p and Mgm1p. Previous data from glucose-grown VPS1 and DNM1 null mutants suggested that Vps1p, but not Dnm1p, plays a role in regulating peroxisome abundance. Here we show that deletion of DNM1 also results in reduction of peroxisome numbers. This was not observed in glucose-grown dnm1 cells, but was evident in cells grown in the presence of oleate. Similar observations were made in cells lacking Fis1p, a protein involved in Dnm1p function. Fluorescence microscopy of cells producing Dnm1-GFP or GFP-Fis1p demonstrated that both proteins had a dual localization on mitochondria and peroxisomes. Quantitative analysis revealed a greater reduction in peroxisome number in oleate-induced vps1 cells relative to dnm1 or fis1 cells. A significant fraction of oleate-induced vps1 cells still contained two or more peroxisomes. Conversely, almost all cells of a dnm1 vps1 double-deletion strain contained only one, enlarged peroxisome. This suggests that deletion of DNM1 reinforces the vps1 peroxisome phenotype. Time-lapse imaging indicated that during budding of dnm1 vps1 cells, the single peroxisome present in the mother cell formed long protrusions into the developing bud. This organelle divided at a very late stage of the budding process, possibly during cytokinesis.", "author" : [ { "dropping-particle" : "", "family" : "Kuravi", "given" : "Kasinath", "non-dropping-particle" : "", "parse-names" : false, "suffix" : "" }, { "dropping-particle" : "", "family" : "Nagotu", "given" : "Shirisha", "non-dropping-particle" : "", "parse-names" : false, "suffix" : "" }, { "dropping-particle" : "", "family" : "Krikken", "given" : "Arjen M", "non-dropping-particle" : "", "parse-names" : false, "suffix" : "" }, { "dropping-particle" : "", "family" : "Sjollema", "given" : "Klaas", "non-dropping-particle" : "", "parse-names" : false, "suffix" : "" }, { "dropping-particle" : "", "family" : "Deckers", "given" : "Markus", "non-dropping-particle" : "", "parse-names" : false, "suffix" : "" }, { "dropping-particle" : "", "family" : "Erdmann", "given" : "Ralf", "non-dropping-particle" : "", "parse-names" : false, "suffix" : "" }, { "dropping-particle" : "", "family" : "Veenhuis", "given" : "Marten", "non-dropping-particle" : "", "parse-names" : false, "suffix" : "" }, { "dropping-particle" : "", "family" : "Klei", "given" : "Ida J", "non-dropping-particle" : "van der", "parse-names" : false, "suffix" : "" } ], "container-title" : "Journal of cell science", "id" : "ITEM-1", "issue" : "Pt 19", "issued" : { "date-parts" : [ [ "2006", "10", "1" ] ] }, "page" : "3994-4001", "title" : "Dynamin-related proteins Vps1p and Dnm1p control peroxisome abundance in Saccharomyces cerevisiae.", "type" : "article-journal", "volume" : "119" }, "uris" : [ "http://www.mendeley.com/documents/?uuid=4faef3fa-3532-4706-bdda-5b0a16d203a9" ] }, { "id" : "ITEM-2", "itemData" : { "DOI" : "10.1242/jcs.026344", "abstract" : "Yeast peroxisomes multiply by fission. Fission requires two dynamin-related proteins, Dnm1p and Vps1p. Using an in vivo fission assay, we show that Dnm1p-dependent peroxisome fission requires Fis1p, Caf4p and Mdv1p. Fluorescence microscopy of cells expressing GFP-tagged Caf4p and Mdv1p revealed that their association with peroxisomes relies on Fis1p. Vps1p-dependent peroxisome fission occurs independently of these factors. Vps1p contributes most to fission of peroxisomes when cells are grown on glucose. Overexpression of Dnm1p suppresses the fission defect as long as Fis1p and either Mdv1p or Caf4p are present. Conversely, overexpression of Dnm1p does not restore the vacuolar fusion defect of vps1 cells and Vps1p overexpression does not restore the mitochondrial fission defect of dnm1 cells. These data show that Vps1p and Dnm1p are part of independent fission machineries. Because the contribution of Dnm1p to peroxisome fission appears to be more pronounced in cells that proliferate peroxisomes in response to mitochondrial dysfunction, Dnm1p might be part of the mechanism that coordinates mitochondrial and peroxisomal biogenesis.", "author" : [ { "dropping-particle" : "", "family" : "Motley", "given" : "Alison M", "non-dropping-particle" : "", "parse-names" : false, "suffix" : "" }, { "dropping-particle" : "", "family" : "Ward", "given" : "Gemma P", "non-dropping-particle" : "", "parse-names" : false, "suffix" : "" }, { "dropping-particle" : "", "family" : "Hettema", "given" : "Ewald H", "non-dropping-particle" : "", "parse-names" : false, "suffix" : "" } ], "container-title" : "Journal of cell science", "id" : "ITEM-2", "issue" : "Pt 10", "issued" : { "date-parts" : [ [ "2008", "5", "15" ] ] }, "page" : "1633-40", "title" : "Dnm1p-dependent peroxisome fission requires Caf4p, Mdv1p and Fis1p.", "type" : "article-journal", "volume" : "121" }, "uris" : [ "http://www.mendeley.com/documents/?uuid=b29a4771-680b-4a39-aeb0-2f25219d91bd" ] } ], "mendeley" : { "previouslyFormattedCitation" : "(Kuravi et al. 2006; Motley, Ward &amp; Hettema 2008)"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(Kuravi </w:t>
      </w:r>
      <w:r w:rsidR="00466108" w:rsidRPr="00466108">
        <w:rPr>
          <w:rFonts w:asciiTheme="majorHAnsi" w:hAnsiTheme="majorHAnsi"/>
          <w:i/>
          <w:noProof/>
        </w:rPr>
        <w:t>et al</w:t>
      </w:r>
      <w:r w:rsidRPr="0013327C">
        <w:rPr>
          <w:rFonts w:asciiTheme="majorHAnsi" w:hAnsiTheme="majorHAnsi"/>
          <w:noProof/>
        </w:rPr>
        <w:t>. 2006; Motley, Ward &amp; Hettema 2008)</w:t>
      </w:r>
      <w:r w:rsidR="009A1FEC" w:rsidRPr="0013327C">
        <w:rPr>
          <w:rFonts w:asciiTheme="majorHAnsi" w:hAnsiTheme="majorHAnsi"/>
        </w:rPr>
        <w:fldChar w:fldCharType="end"/>
      </w:r>
    </w:p>
    <w:p w:rsidR="00FD54DA" w:rsidRPr="0013327C" w:rsidRDefault="00FD54DA" w:rsidP="00FD54DA">
      <w:pPr>
        <w:jc w:val="both"/>
        <w:rPr>
          <w:rFonts w:asciiTheme="majorHAnsi" w:hAnsiTheme="majorHAnsi"/>
        </w:rPr>
      </w:pPr>
      <w:r w:rsidRPr="0013327C">
        <w:rPr>
          <w:rFonts w:asciiTheme="majorHAnsi" w:hAnsiTheme="majorHAnsi"/>
        </w:rPr>
        <w:t xml:space="preserve">In humans and </w:t>
      </w:r>
      <w:r w:rsidRPr="0013327C">
        <w:rPr>
          <w:rFonts w:asciiTheme="majorHAnsi" w:hAnsiTheme="majorHAnsi"/>
          <w:i/>
        </w:rPr>
        <w:t>Drosophila</w:t>
      </w:r>
      <w:r w:rsidRPr="0013327C">
        <w:rPr>
          <w:rFonts w:asciiTheme="majorHAnsi" w:hAnsiTheme="majorHAnsi"/>
        </w:rPr>
        <w:t xml:space="preserve"> it is known that the DRPs F</w:t>
      </w:r>
      <w:r>
        <w:rPr>
          <w:rFonts w:asciiTheme="majorHAnsi" w:hAnsiTheme="majorHAnsi"/>
        </w:rPr>
        <w:t>is</w:t>
      </w:r>
      <w:r w:rsidRPr="0013327C">
        <w:rPr>
          <w:rFonts w:asciiTheme="majorHAnsi" w:hAnsiTheme="majorHAnsi"/>
        </w:rPr>
        <w:t>1 and D</w:t>
      </w:r>
      <w:r>
        <w:rPr>
          <w:rFonts w:asciiTheme="majorHAnsi" w:hAnsiTheme="majorHAnsi"/>
        </w:rPr>
        <w:t>rp</w:t>
      </w:r>
      <w:r w:rsidRPr="0013327C">
        <w:rPr>
          <w:rFonts w:asciiTheme="majorHAnsi" w:hAnsiTheme="majorHAnsi"/>
        </w:rPr>
        <w:t xml:space="preserve">1 itself are functional at the peroxisomal membrane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"10.1074/jbc.M211761200", "abstract" : "The mammalian dynamin-like protein 1 (DLP1), a member of the dynamin family of large GTPases, possesses mechanochemical properties known to constrict and tubulate membranes. In this study, we have combined two experimental approaches, induction of peroxisome proliferation by Pex11pbeta and expression of dominant-negative mutants, to test whether DLP1 plays a role in peroxisomal growth and division. We were able to localize DLP1 in spots on tubular peroxisomes in HepG2 cells. In addition, immunoblot analysis revealed the presence of DLP1 in highly purified peroxisomal fractions from rat liver and an increase of DLP1 after treatment of rats with the peroxisome proliferator bezafibrate. Expression of a dominant negative DLP1 mutant deficient in GTP hydrolysis (K38A) either alone or in combination with Pex11pbeta caused the appearance of tubular peroxisomes but had no influence on their intracellular distribution. In co-expressing cells, the formation of tubulo-reticular networks of peroxisomes was promoted, and peroxisomal division was completely inhibited. These findings were confirmed by silencing of DLP1 using siRNA. We propose a direct role for the dynamin-like protein DLP1 in peroxisomal fission and in the maintenance of peroxisomal morphology in mammalian cells.", "author" : [ { "dropping-particle" : "", "family" : "Koch", "given" : "Annett", "non-dropping-particle" : "", "parse-names" : false, "suffix" : "" }, { "dropping-particle" : "", "family" : "Thiemann", "given" : "Meinolf", "non-dropping-particle" : "", "parse-names" : false, "suffix" : "" }, { "dropping-particle" : "", "family" : "Grabenbauer", "given" : "Markus", "non-dropping-particle" : "", "parse-names" : false, "suffix" : "" }, { "dropping-particle" : "", "family" : "Yoon", "given" : "Yisang", "non-dropping-particle" : "", "parse-names" : false, "suffix" : "" }, { "dropping-particle" : "", "family" : "McNiven", "given" : "Mark a", "non-dropping-particle" : "", "parse-names" : false, "suffix" : "" }, { "dropping-particle" : "", "family" : "Schrader", "given" : "Michael", "non-dropping-particle" : "", "parse-names" : false, "suffix" : "" } ], "container-title" : "The Journal of biological chemistry", "id" : "ITEM-1", "issue" : "10", "issued" : { "date-parts" : [ [ "2003", "3", "7" ] ] }, "page" : "8597-605", "title" : "Dynamin-like protein 1 is involved in peroxisomal fission.", "type" : "article-journal", "volume" : "278" }, "uris" : [ "http://www.mendeley.com/documents/?uuid=5d54518e-9501-45ab-adc4-28b74b8ca07e" ] }, { "id" : "ITEM-2", "itemData" : { "DOI" : "10.1091/mbc.E05", "author" : [ { "dropping-particle" : "", "family" : "Koch", "given" : "Annett", "non-dropping-particle" : "", "parse-names" : false, "suffix" : "" }, { "dropping-particle" : "", "family" : "Yoon", "given" : "Yisang", "non-dropping-particle" : "", "parse-names" : false, "suffix" : "" }, { "dropping-particle" : "", "family" : "Bonekamp", "given" : "Nina A", "non-dropping-particle" : "", "parse-names" : false, "suffix" : "" }, { "dropping-particle" : "", "family" : "Mcniven", "given" : "Mark A", "non-dropping-particle" : "", "parse-names" : false, "suffix" : "" }, { "dropping-particle" : "", "family" : "Schrader", "given" : "Michael", "non-dropping-particle" : "", "parse-names" : false, "suffix" : "" } ], "container-title" : "Molecular Biology of the Cell", "id" : "ITEM-2", "issue" : "November", "issued" : { "date-parts" : [ [ "2005" ] ] }, "page" : "5077-5086", "title" : "A Role for Fis1 in Both Mitochondrial and Peroxisomal Fission in Mammalian Cells", "type" : "article-journal", "volume" : "16" }, "uris" : [ "http://www.mendeley.com/documents/?uuid=6d2ef72d-24c8-42c6-841c-a1bf136f92fc" ] }, { "id" : "ITEM-3", "itemData" : { "DOI" : "10.1091/mbc.E07", "author" : [ { "dropping-particle" : "", "family" : "Gandre-babbe", "given" : "Shilpa", "non-dropping-particle" : "", "parse-names" : false, "suffix" : "" }, { "dropping-particle" : "Van Der", "family" : "Bliek", "given" : "Alexander M", "non-dropping-particle" : "", "parse-names" : false, "suffix" : "" } ], "container-title" : "Molecular and cellular biology", "id" : "ITEM-3", "issue" : "June", "issued" : { "date-parts" : [ [ "2008" ] ] }, "page" : "2402-2412", "title" : "The Novel Tail-anchored Membrane Protein Mff Controls Mitochondrial and Peroxisomal Fission in Mammalian Cells", "type" : "article-journal", "volume" : "19" }, "uris" : [ "http://www.mendeley.com/documents/?uuid=b0bd6932-961d-4e90-a1cb-6510a527c139" ] } ], "mendeley" : { "previouslyFormattedCitation" : "(Koch et al. 2003, 2005; Gandre-babbe &amp; Bliek 2008)"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(Koch </w:t>
      </w:r>
      <w:r w:rsidR="00466108" w:rsidRPr="00466108">
        <w:rPr>
          <w:rFonts w:asciiTheme="majorHAnsi" w:hAnsiTheme="majorHAnsi"/>
          <w:i/>
          <w:noProof/>
        </w:rPr>
        <w:t>et al</w:t>
      </w:r>
      <w:r w:rsidRPr="0013327C">
        <w:rPr>
          <w:rFonts w:asciiTheme="majorHAnsi" w:hAnsiTheme="majorHAnsi"/>
          <w:noProof/>
        </w:rPr>
        <w:t>. 2003, 2005; Gandre-babbe &amp; Bliek 2008)</w:t>
      </w:r>
      <w:r w:rsidR="009A1FEC" w:rsidRPr="0013327C">
        <w:rPr>
          <w:rFonts w:asciiTheme="majorHAnsi" w:hAnsiTheme="majorHAnsi"/>
        </w:rPr>
        <w:fldChar w:fldCharType="end"/>
      </w:r>
      <w:r w:rsidRPr="0013327C">
        <w:rPr>
          <w:rFonts w:asciiTheme="majorHAnsi" w:hAnsiTheme="majorHAnsi"/>
        </w:rPr>
        <w:t xml:space="preserve"> and recruited by </w:t>
      </w:r>
      <w:r w:rsidRPr="000C26B2">
        <w:rPr>
          <w:rFonts w:asciiTheme="majorHAnsi" w:hAnsiTheme="majorHAnsi"/>
          <w:i/>
        </w:rPr>
        <w:t>PEX</w:t>
      </w:r>
      <w:r w:rsidRPr="0013327C">
        <w:rPr>
          <w:rFonts w:asciiTheme="majorHAnsi" w:hAnsiTheme="majorHAnsi"/>
        </w:rPr>
        <w:t xml:space="preserve">11 proteins in both CHO cells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"10.1016/j.yexcr.2007.02.028", "abstract" : "Dynamin-like protein 1 (DLP1) and Pex11pbeta function in morphogenesis of peroxisomes. In the present work, we investigated whether Fis1 is involved in fission of peroxisomes. Endogenous Fis1 was morphologically detected in peroxisomes as well as mitochondria in wild-type CHO-K1 and DLP1-defective ZP121 cells. Subcellular fractionation studies also revealed the presence of Fis1 in peroxisomes. Peroxisomal Fis1 showed the same topology, i.e., C-tail anchored membrane protein, as the mitochondrial one. Furthermore, ectopic expression of FIS1 induced peroxisome proliferation in CHO-K1 cells, while the interference of FIS1 RNA resulted in tubulation of peroxisomes, hence reducing the number of peroxisomes. Fis1 interacted with Pex11pbeta, by direct binding apparently involving the C-terminal region of Pex11pbeta in the interaction. Pex11pbeta also interacted with each other, whereas the binding of Pex11pbeta to DLP1 was not detectable. Moreover, ternary complexes comprising Fis1, Pex11pbeta, and DLP1 were detected by chemical cross-linking. We also showed that the highly conserved N-terminal domain of Pex11pbeta was required for the homo-oligomerization of Pex11pbeta and indispensable for the peroxisome-proliferating activity. Taken together, these findings indicate that Fis1 plays important roles in peroxisome division and maintenance of peroxisome morphology in mammalian cells, possibly in a concerted manner with Pex11pbeta and DLP1.", "author" : [ { "dropping-particle" : "", "family" : "Kobayashi", "given" : "Shinta", "non-dropping-particle" : "", "parse-names" : false, "suffix" : "" }, { "dropping-particle" : "", "family" : "Tanaka", "given" : "Atsushi", "non-dropping-particle" : "", "parse-names" : false, "suffix" : "" }, { "dropping-particle" : "", "family" : "Fujiki", "given" : "Yukio", "non-dropping-particle" : "", "parse-names" : false, "suffix" : "" } ], "container-title" : "Experimental cell research", "id" : "ITEM-1", "issue" : "8", "issued" : { "date-parts" : [ [ "2007", "5", "1" ] ] }, "page" : "1675-86", "title" : "Fis1, DLP1, and Pex11p coordinately regulate peroxisome morphogenesis.", "type" : "article-journal", "volume" : "313" }, "uris" : [ "http://www.mendeley.com/documents/?uuid=c5c3e14e-1275-48cc-80cd-4296dcd4a0ba" ] } ], "mendeley" : { "manualFormatting" : "(Kobayashi et al, 2007)", "previouslyFormattedCitation" : "(Kobayashi, Tanaka &amp; Fujiki 2007)"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(Kobayashi </w:t>
      </w:r>
      <w:r w:rsidR="00466108" w:rsidRPr="00466108">
        <w:rPr>
          <w:rFonts w:asciiTheme="majorHAnsi" w:hAnsiTheme="majorHAnsi"/>
          <w:i/>
          <w:noProof/>
        </w:rPr>
        <w:t>et al</w:t>
      </w:r>
      <w:r w:rsidRPr="0013327C">
        <w:rPr>
          <w:rFonts w:asciiTheme="majorHAnsi" w:hAnsiTheme="majorHAnsi"/>
          <w:noProof/>
        </w:rPr>
        <w:t>, 2007)</w:t>
      </w:r>
      <w:r w:rsidR="009A1FEC" w:rsidRPr="0013327C">
        <w:rPr>
          <w:rFonts w:asciiTheme="majorHAnsi" w:hAnsiTheme="majorHAnsi"/>
        </w:rPr>
        <w:fldChar w:fldCharType="end"/>
      </w:r>
      <w:r w:rsidRPr="0013327C">
        <w:rPr>
          <w:rFonts w:asciiTheme="majorHAnsi" w:hAnsiTheme="majorHAnsi"/>
        </w:rPr>
        <w:t xml:space="preserve"> and human kidney cells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"10.1242/jcs.064907", "abstract" : "Dynamic changes of membrane structure are intrinsic to organelle morphogenesis and homeostasis. Ectopic expression of proteins of the PEX11 family from yeast, plant or human lead to the formation of juxtaposed elongated peroxisomes (JEPs),which is evocative of an evolutionary conserved function of these proteins in membrane tubulation. Microscopic examinations reveal that JEPs are composed of independent elongated peroxisomes with heterogeneous distribution of matrix proteins. We established the homo- and heterodimerization properties of the human PEX11 proteins and their interaction with the fission factor hFis1, which is known to recruit the GTPase DRP1 to the peroxisomal membrane. We show that excess of hFis1 but not of DRP1 is sufficient to fragment JEPs into normal round-shaped organelles, and illustrate the requirement of microtubules for JEP formation. Our results demonstrate that PEX11-induced JEPs represent intermediates in the process of peroxisome membrane proliferation and that hFis1 is the limiting factor for progression. Hence, we propose a model for a conserved role of PEX11 proteins in peroxisome maintenance through peroxisome polarization, membrane elongation and segregation.", "author" : [ { "dropping-particle" : "", "family" : "Koch", "given" : "Johannes", "non-dropping-particle" : "", "parse-names" : false, "suffix" : "" }, { "dropping-particle" : "", "family" : "Pranjic", "given" : "Kornelija", "non-dropping-particle" : "", "parse-names" : false, "suffix" : "" }, { "dropping-particle" : "", "family" : "Huber", "given" : "Anja", "non-dropping-particle" : "", "parse-names" : false, "suffix" : "" }, { "dropping-particle" : "", "family" : "Ellinger", "given" : "Adolf", "non-dropping-particle" : "", "parse-names" : false, "suffix" : "" }, { "dropping-particle" : "", "family" : "Hartig", "given" : "Andreas", "non-dropping-particle" : "", "parse-names" : false, "suffix" : "" }, { "dropping-particle" : "", "family" : "Kragler", "given" : "Friedrich", "non-dropping-particle" : "", "parse-names" : false, "suffix" : "" }, { "dropping-particle" : "", "family" : "Brocard", "given" : "C\u00e9cile", "non-dropping-particle" : "", "parse-names" : false, "suffix" : "" } ], "container-title" : "Journal of cell science", "id" : "ITEM-1", "issue" : "Pt 19", "issued" : { "date-parts" : [ [ "2010", "10", "1" ] ] }, "page" : "3389-400", "title" : "PEX11 family members are membrane elongation factors that coordinate peroxisome proliferation and maintenance.", "type" : "article-journal", "volume" : "123" }, "uris" : [ "http://www.mendeley.com/documents/?uuid=0b460fd4-26e2-4199-b81d-7186a9259899" ] } ], "mendeley" : { "previouslyFormattedCitation" : "(Koch et al. 2010)"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(Koch </w:t>
      </w:r>
      <w:r w:rsidR="00466108" w:rsidRPr="00466108">
        <w:rPr>
          <w:rFonts w:asciiTheme="majorHAnsi" w:hAnsiTheme="majorHAnsi"/>
          <w:i/>
          <w:noProof/>
        </w:rPr>
        <w:t>et al</w:t>
      </w:r>
      <w:r w:rsidRPr="0013327C">
        <w:rPr>
          <w:rFonts w:asciiTheme="majorHAnsi" w:hAnsiTheme="majorHAnsi"/>
          <w:noProof/>
        </w:rPr>
        <w:t>. 2010)</w:t>
      </w:r>
      <w:r w:rsidR="009A1FEC" w:rsidRPr="0013327C">
        <w:rPr>
          <w:rFonts w:asciiTheme="majorHAnsi" w:hAnsiTheme="majorHAnsi"/>
        </w:rPr>
        <w:fldChar w:fldCharType="end"/>
      </w:r>
      <w:r w:rsidRPr="0013327C">
        <w:rPr>
          <w:rFonts w:asciiTheme="majorHAnsi" w:hAnsiTheme="majorHAnsi"/>
        </w:rPr>
        <w:t xml:space="preserve">. </w:t>
      </w:r>
      <w:r>
        <w:rPr>
          <w:rFonts w:asciiTheme="majorHAnsi" w:hAnsiTheme="majorHAnsi"/>
        </w:rPr>
        <w:t>Drp</w:t>
      </w:r>
      <w:r w:rsidRPr="0013327C">
        <w:rPr>
          <w:rFonts w:asciiTheme="majorHAnsi" w:hAnsiTheme="majorHAnsi"/>
        </w:rPr>
        <w:t xml:space="preserve">1 appears to also be recruited by mitochondrial </w:t>
      </w:r>
      <w:r w:rsidRPr="0013327C">
        <w:rPr>
          <w:rFonts w:asciiTheme="majorHAnsi" w:hAnsiTheme="majorHAnsi"/>
        </w:rPr>
        <w:lastRenderedPageBreak/>
        <w:t xml:space="preserve">fission factor (Mff) and Fis1 is suggested to be more regulatory in DRP1 recruitment in mammals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"10.1083/jcb.201007152", "abstract" : "The cytoplasmic dynamin-related guanosine triphosphatase Drp1 is recruited to mitochondria and mediates mitochondrial fission. Although the mitochondrial outer membrane (MOM) protein Fis1 is thought to be a Drp1 receptor, this has not been confirmed. To analyze the mechanism of Drp1 recruitment, we manipulated the expression of mitochondrial fission and fusion proteins and demonstrated that (a) mitochondrial fission factor (Mff) knockdown released the Drp1 foci from the MOM accompanied by network extension, whereas Mff overexpression stimulated mitochondrial recruitment of Drp1 accompanied by mitochondrial fission; (b) Mff-dependent mitochondrial fission proceeded independent of Fis1; (c) a Mff mutant with the plasma membrane-targeted CAAX motif directed Drp1 to the target membrane; (d) Mff and Drp1 physically interacted in vitro and in vivo; (e) exogenous stimuli-induced mitochondrial fission and apoptosis were compromised by knockdown of Drp1 and Mff but not Fis1; and (f) conditional knockout of Fis1 in colon carcinoma cells revealed that it is dispensable for mitochondrial fission. Thus, Mff functions as an essential factor in mitochondrial recruitment of Drp1.", "author" : [ { "dropping-particle" : "", "family" : "Otera", "given" : "Hidenori", "non-dropping-particle" : "", "parse-names" : false, "suffix" : "" }, { "dropping-particle" : "", "family" : "Wang", "given" : "Chunxin", "non-dropping-particle" : "", "parse-names" : false, "suffix" : "" }, { "dropping-particle" : "", "family" : "Cleland", "given" : "Megan M", "non-dropping-particle" : "", "parse-names" : false, "suffix" : "" }, { "dropping-particle" : "", "family" : "Setoguchi", "given" : "Kiyoko", "non-dropping-particle" : "", "parse-names" : false, "suffix" : "" }, { "dropping-particle" : "", "family" : "Yokota", "given" : "Sadaki", "non-dropping-particle" : "", "parse-names" : false, "suffix" : "" }, { "dropping-particle" : "", "family" : "Youle", "given" : "Richard J", "non-dropping-particle" : "", "parse-names" : false, "suffix" : "" }, { "dropping-particle" : "", "family" : "Mihara", "given" : "Katsuyoshi", "non-dropping-particle" : "", "parse-names" : false, "suffix" : "" } ], "container-title" : "The Journal of cell biology", "id" : "ITEM-1", "issue" : "6", "issued" : { "date-parts" : [ [ "2010", "12", "13" ] ] }, "page" : "1141-58", "title" : "Mff is an essential factor for mitochondrial recruitment of Drp1 during mitochondrial fission in mammalian cells.", "type" : "article-journal", "volume" : "191" }, "uris" : [ "http://www.mendeley.com/documents/?uuid=806c2178-464a-4775-9a10-6dc4c88bae27" ] } ], "mendeley" : { "previouslyFormattedCitation" : "(Otera et al. 2010)"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(Otera </w:t>
      </w:r>
      <w:r w:rsidR="00466108" w:rsidRPr="00466108">
        <w:rPr>
          <w:rFonts w:asciiTheme="majorHAnsi" w:hAnsiTheme="majorHAnsi"/>
          <w:i/>
          <w:noProof/>
        </w:rPr>
        <w:t>et al</w:t>
      </w:r>
      <w:r w:rsidRPr="0013327C">
        <w:rPr>
          <w:rFonts w:asciiTheme="majorHAnsi" w:hAnsiTheme="majorHAnsi"/>
          <w:noProof/>
        </w:rPr>
        <w:t>. 2010)</w:t>
      </w:r>
      <w:r w:rsidR="009A1FEC" w:rsidRPr="0013327C">
        <w:rPr>
          <w:rFonts w:asciiTheme="majorHAnsi" w:hAnsiTheme="majorHAnsi"/>
        </w:rPr>
        <w:fldChar w:fldCharType="end"/>
      </w:r>
      <w:r w:rsidRPr="0013327C">
        <w:rPr>
          <w:rFonts w:asciiTheme="majorHAnsi" w:hAnsiTheme="majorHAnsi"/>
        </w:rPr>
        <w:t>.</w:t>
      </w:r>
    </w:p>
    <w:p w:rsidR="00FD54DA" w:rsidRPr="0013327C" w:rsidRDefault="00FD54DA" w:rsidP="00FD54DA">
      <w:pPr>
        <w:jc w:val="both"/>
        <w:rPr>
          <w:rFonts w:asciiTheme="majorHAnsi" w:hAnsiTheme="majorHAnsi"/>
        </w:rPr>
      </w:pPr>
      <w:r w:rsidRPr="0013327C">
        <w:rPr>
          <w:rFonts w:asciiTheme="majorHAnsi" w:hAnsiTheme="majorHAnsi"/>
        </w:rPr>
        <w:t xml:space="preserve">In </w:t>
      </w:r>
      <w:r w:rsidRPr="0013327C">
        <w:rPr>
          <w:rFonts w:asciiTheme="majorHAnsi" w:hAnsiTheme="majorHAnsi"/>
          <w:i/>
        </w:rPr>
        <w:t>D. melanogaster</w:t>
      </w:r>
      <w:r w:rsidRPr="0013327C">
        <w:rPr>
          <w:rFonts w:asciiTheme="majorHAnsi" w:hAnsiTheme="majorHAnsi"/>
        </w:rPr>
        <w:t xml:space="preserve">, RNAi screening revealed Mff knockdowns (KDs) show highly similar activity compared to those of Fis1 and Drp1 in their mutual abilities in inhibiting fission of mitochondria and peroxisomes, promoting elongation of both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"10.1091/mbc.E07", "author" : [ { "dropping-particle" : "", "family" : "Gandre-babbe", "given" : "Shilpa", "non-dropping-particle" : "", "parse-names" : false, "suffix" : "" }, { "dropping-particle" : "Van Der", "family" : "Bliek", "given" : "Alexander M", "non-dropping-particle" : "", "parse-names" : false, "suffix" : "" } ], "container-title" : "Molecular and cellular biology", "id" : "ITEM-1", "issue" : "June", "issued" : { "date-parts" : [ [ "2008" ] ] }, "page" : "2402-2412", "title" : "The Novel Tail-anchored Membrane Protein Mff Controls Mitochondrial and Peroxisomal Fission in Mammalian Cells", "type" : "article-journal", "volume" : "19" }, "uris" : [ "http://www.mendeley.com/documents/?uuid=b0bd6932-961d-4e90-a1cb-6510a527c139" ] } ], "mendeley" : { "previouslyFormattedCitation" : "(Gandre-babbe &amp; Bliek 2008)"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(Gandre-babbe &amp; Bliek 2008)</w:t>
      </w:r>
      <w:r w:rsidR="009A1FEC" w:rsidRPr="0013327C">
        <w:rPr>
          <w:rFonts w:asciiTheme="majorHAnsi" w:hAnsiTheme="majorHAnsi"/>
        </w:rPr>
        <w:fldChar w:fldCharType="end"/>
      </w:r>
      <w:r w:rsidRPr="0013327C">
        <w:rPr>
          <w:rFonts w:asciiTheme="majorHAnsi" w:hAnsiTheme="majorHAnsi"/>
        </w:rPr>
        <w:t>.</w:t>
      </w:r>
    </w:p>
    <w:p w:rsidR="00FD54DA" w:rsidRPr="0013327C" w:rsidRDefault="00FD54DA" w:rsidP="00FD54DA">
      <w:pPr>
        <w:pStyle w:val="Heading2"/>
        <w:jc w:val="both"/>
      </w:pPr>
      <w:bookmarkStart w:id="34" w:name="_Toc348423291"/>
      <w:r w:rsidRPr="0013327C">
        <w:t xml:space="preserve">Conservation of Peroxins in </w:t>
      </w:r>
      <w:r w:rsidR="009C2E2E">
        <w:t>Eu</w:t>
      </w:r>
      <w:r w:rsidRPr="0013327C">
        <w:t>karyotes</w:t>
      </w:r>
      <w:bookmarkEnd w:id="34"/>
    </w:p>
    <w:p w:rsidR="00FD54DA" w:rsidRPr="00F60816" w:rsidRDefault="00FD54DA" w:rsidP="00FD54DA">
      <w:pPr>
        <w:jc w:val="both"/>
        <w:rPr>
          <w:rFonts w:asciiTheme="majorHAnsi" w:hAnsiTheme="majorHAnsi"/>
          <w:lang w:val="nl-NL"/>
        </w:rPr>
      </w:pPr>
      <w:r w:rsidRPr="0013327C">
        <w:rPr>
          <w:rFonts w:asciiTheme="majorHAnsi" w:hAnsiTheme="majorHAnsi"/>
        </w:rPr>
        <w:t xml:space="preserve">In Chapter 3.3 a detailed account of steps taken to compile a list of known orthologues and homologous candidates is described. During the course of this study this list was partially, functionally confirmed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"10.1242/dmm.007419", "abstract" : "Human peroxisome biogenesis disorders are lethal genetic diseases in which abnormal peroxisome assembly compromises overall peroxisome and cellular function. Peroxisomes are ubiquitous membrane-bound organelles involved in several important biochemical processes, notably lipid metabolism and the use of reactive oxygen species for detoxification. Using cultured cells, we systematically characterized the peroxisome assembly phenotypes associated with dsRNA-mediated knockdown of 14 predicted Drosophila homologs of PEX genes (encoding peroxins; required for peroxisome assembly and linked to peroxisome biogenesis disorders), and confirmed that at least 13 of them are required for normal peroxisome assembly. We also demonstrate the relevance of Drosophila as a genetic model for the early developmental defects associated with the human peroxisome biogenesis disorders. Mutation of the PEX1 gene is the most common cause of peroxisome biogenesis disorders and is one of the causes of the most severe form of the disease, Zellweger syndrome. Inherited mutations in Drosophila Pex1 correlate with reproducible defects during early development. Notably, Pex1 mutant larvae exhibit abnormalities that are analogous to those exhibited by Zellweger syndrome patients, including developmental delay, poor feeding, severe structural abnormalities in the peripheral and central nervous systems, and early death. Finally, microarray analysis defined several clusters of genes whose expression varied significantly between wild-type and mutant larvae, implicating peroxisomal function in neuronal development, innate immunity, lipid and protein metabolism, gamete formation, and meiosis.", "author" : [ { "dropping-particle" : "", "family" : "Mast", "given" : "Fred D", "non-dropping-particle" : "", "parse-names" : false, "suffix" : "" }, { "dropping-particle" : "", "family" : "Li", "given" : "Jing", "non-dropping-particle" : "", "parse-names" : false, "suffix" : "" }, { "dropping-particle" : "", "family" : "Virk", "given" : "Maninder K", "non-dropping-particle" : "", "parse-names" : false, "suffix" : "" }, { "dropping-particle" : "", "family" : "Hughes", "given" : "Sarah C", "non-dropping-particle" : "", "parse-names" : false, "suffix" : "" }, { "dropping-particle" : "", "family" : "Simmonds", "given" : "Andrew J", "non-dropping-particle" : "", "parse-names" : false, "suffix" : "" }, { "dropping-particle" : "", "family" : "Rachubinski", "given" : "Richard a", "non-dropping-particle" : "", "parse-names" : false, "suffix" : "" } ], "container-title" : "Disease models &amp; mechanisms", "id" : "ITEM-1", "issue" : "5", "issued" : { "date-parts" : [ [ "2011" ] ] }, "page" : "659-72", "title" : "A Drosophila model for the Zellweger spectrum of peroxisome biogenesis disorders.", "type" : "article-journal", "volume" : "4" }, "uris" : [ "http://www.mendeley.com/documents/?uuid=c63bc7d3-659e-4c6f-8bf7-053794159ba2" ] } ], "mendeley" : { "manualFormatting" : "( Chen et al., 2010; Mast et al., 2011", "previouslyFormattedCitation" : "(Mast et al. 2011)" }, "properties" : { "noteIndex" : 0 }, "schema" : "https://github.com/citation-style-language/schema/raw/master/csl-citation.json" }</w:instrText>
      </w:r>
      <w:r w:rsidR="009A1FEC" w:rsidRPr="0013327C">
        <w:rPr>
          <w:rFonts w:asciiTheme="majorHAnsi" w:hAnsiTheme="majorHAnsi"/>
        </w:rPr>
        <w:fldChar w:fldCharType="separate"/>
      </w:r>
      <w:r w:rsidRPr="00F60816">
        <w:rPr>
          <w:rFonts w:asciiTheme="majorHAnsi" w:hAnsiTheme="majorHAnsi"/>
          <w:noProof/>
          <w:lang w:val="nl-NL"/>
        </w:rPr>
        <w:t xml:space="preserve">( Chen </w:t>
      </w:r>
      <w:r w:rsidR="00466108" w:rsidRPr="00466108">
        <w:rPr>
          <w:rFonts w:asciiTheme="majorHAnsi" w:hAnsiTheme="majorHAnsi"/>
          <w:i/>
          <w:noProof/>
          <w:lang w:val="nl-NL"/>
        </w:rPr>
        <w:t>et al</w:t>
      </w:r>
      <w:r w:rsidRPr="00F60816">
        <w:rPr>
          <w:rFonts w:asciiTheme="majorHAnsi" w:hAnsiTheme="majorHAnsi"/>
          <w:i/>
          <w:noProof/>
          <w:lang w:val="nl-NL"/>
        </w:rPr>
        <w:t>.</w:t>
      </w:r>
      <w:r w:rsidRPr="00F60816">
        <w:rPr>
          <w:rFonts w:asciiTheme="majorHAnsi" w:hAnsiTheme="majorHAnsi"/>
          <w:noProof/>
          <w:lang w:val="nl-NL"/>
        </w:rPr>
        <w:t xml:space="preserve">, 2010; Mast </w:t>
      </w:r>
      <w:r w:rsidR="00466108" w:rsidRPr="00466108">
        <w:rPr>
          <w:rFonts w:asciiTheme="majorHAnsi" w:hAnsiTheme="majorHAnsi"/>
          <w:i/>
          <w:noProof/>
          <w:lang w:val="nl-NL"/>
        </w:rPr>
        <w:t>et al</w:t>
      </w:r>
      <w:r w:rsidRPr="00F60816">
        <w:rPr>
          <w:rFonts w:asciiTheme="majorHAnsi" w:hAnsiTheme="majorHAnsi"/>
          <w:noProof/>
          <w:lang w:val="nl-NL"/>
        </w:rPr>
        <w:t>., 2011</w:t>
      </w:r>
      <w:r w:rsidR="009A1FEC" w:rsidRPr="0013327C">
        <w:rPr>
          <w:rFonts w:asciiTheme="majorHAnsi" w:hAnsiTheme="majorHAnsi"/>
        </w:rPr>
        <w:fldChar w:fldCharType="end"/>
      </w:r>
      <w:r w:rsidR="009A1FEC" w:rsidRPr="0013327C">
        <w:rPr>
          <w:rFonts w:asciiTheme="majorHAnsi" w:hAnsiTheme="majorHAnsi"/>
        </w:rPr>
        <w:fldChar w:fldCharType="begin" w:fldLock="1"/>
      </w:r>
      <w:r w:rsidR="00D72F07">
        <w:rPr>
          <w:rFonts w:asciiTheme="majorHAnsi" w:hAnsiTheme="majorHAnsi"/>
          <w:lang w:val="nl-NL"/>
        </w:rPr>
        <w:instrText>ADDIN CSL_CITATION { "citationItems" : [ { "id" : "ITEM-1", "itemData" : { "DOI" : "10.1093/hmg/ddp518", "abstract" : "Peroxisomes are vital eukaryotic organelles that participate in lipid metabolism, in particular the metabolism of very-long-chain fatty acids (VLCFA). The biogenesis of peroxisomes is regulated by a set of peroxin proteins (PEX). In humans, mutations affecting peroxin protein production or function result in devastating diseases classified as peroxisome biogenesis disorders (PBD). The way in which peroxisomal dysfunction leads to the pathophysiological consequences of PBD is not well understood. Here we report that Drosophila pex mutants faithfully recapitulate several key features of human PBD, including impaired peroxisomal protein import, elevated VLCFA levels and growth retardation. Moreover, disruption of pex function results in spermatogenesis defects, including spermatocyte cytokinesis failure in Drosophila. Importantly, increased VLCFA levels enhance these spermatogenesis defects whereas reduced VLCFA levels alleviate them. Thus, regulation of proper VLCFA levels by pex genes is crucial for spermatogenesis. Together our study reveals an indispensable function of pex genes during spermatogenesis and provides a causative link between the phenotypic severity of pex mutants and VLCFA levels.", "author" : [ { "dropping-particle" : "", "family" : "Chen", "given" : "Haiyang", "non-dropping-particle" : "", "parse-names" : false, "suffix" : "" }, { "dropping-particle" : "", "family" : "Liu", "given" : "Zhonghua", "non-dropping-particle" : "", "parse-names" : false, "suffix" : "" }, { "dropping-particle" : "", "family" : "Huang", "given" : "Xun", "non-dropping-particle" : "", "parse-names" : false, "suffix" : "" } ], "container-title" : "Human molecular genetics", "id" : "ITEM-1", "issue" : "3", "issued" : { "date-parts" : [ [ "2010", "2", "1" ] ] }, "page" : "494-505", "title" : "Drosophila models of peroxisomal biogenesis disorder: peroxins are required for spermatogenesis and very-long-chain fatty acid metabolism.", "type" : "article-journal", "volume" : "19" }, "uris" : [ "http://www.mendeley.com/documents/?uuid=cd4e6b58-dcb0-4c15-8596-3a45ccdd9504" ] } ], "mendeley" : { "manualFormatting" : ")", "previouslyFormattedCitation" : "(Chen, Liu &amp; Huang 2010)" }, "properties" : { "noteIndex" : 0 }, "schema" : "https://github.com/citation-style-language/schema/raw/master/csl-citation.json" }</w:instrText>
      </w:r>
      <w:r w:rsidR="009A1FEC" w:rsidRPr="0013327C">
        <w:rPr>
          <w:rFonts w:asciiTheme="majorHAnsi" w:hAnsiTheme="majorHAnsi"/>
        </w:rPr>
        <w:fldChar w:fldCharType="separate"/>
      </w:r>
      <w:r w:rsidRPr="00F60816">
        <w:rPr>
          <w:rFonts w:asciiTheme="majorHAnsi" w:hAnsiTheme="majorHAnsi"/>
          <w:noProof/>
          <w:lang w:val="nl-NL"/>
        </w:rPr>
        <w:t>)</w:t>
      </w:r>
      <w:r w:rsidR="009A1FEC" w:rsidRPr="0013327C">
        <w:rPr>
          <w:rFonts w:asciiTheme="majorHAnsi" w:hAnsiTheme="majorHAnsi"/>
        </w:rPr>
        <w:fldChar w:fldCharType="end"/>
      </w:r>
      <w:r w:rsidRPr="00F60816">
        <w:rPr>
          <w:rFonts w:asciiTheme="majorHAnsi" w:hAnsiTheme="majorHAnsi"/>
          <w:lang w:val="nl-NL"/>
        </w:rPr>
        <w:t>.</w:t>
      </w:r>
    </w:p>
    <w:p w:rsidR="00FD54DA" w:rsidRDefault="00FD54DA" w:rsidP="00FD54DA">
      <w:pPr>
        <w:jc w:val="both"/>
        <w:rPr>
          <w:rFonts w:asciiTheme="majorHAnsi" w:hAnsiTheme="majorHAnsi"/>
        </w:rPr>
      </w:pPr>
      <w:r w:rsidRPr="00D72F07">
        <w:rPr>
          <w:rFonts w:asciiTheme="majorHAnsi" w:hAnsiTheme="majorHAnsi"/>
        </w:rPr>
        <w:t xml:space="preserve">The Homophila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"Although many human genes have been associated with genetic diseases, knowing which mutations result in disease phenotypes often does not explain the etiology of a specific disease. Drosophila melanogaster provides a powerful system in which to use genetic and molecular approaches to investigate human genetic diseases. Homophila is an intergenomic resource linking the human and fly genomes in order to stimulate functional genomic investigations in Drosophila that address questions about genetic disease in humans. Homophila provides a comprehensive linkage between the disease genes compiled in Online Mendelian Inheritance in Man (OMIM) and the complete Drosophila genomic sequence. Homophila is a relational database that allows searching based on human disease descriptions, OMIM number, human or fly gene names, and sequence similarity, and can be accessed at http://homophila.sdsc.edu.", "author" : [ { "dropping-particle" : "", "family" : "Chien", "given" : "Samson", "non-dropping-particle" : "", "parse-names" : false, "suffix" : "" }, { "dropping-particle" : "", "family" : "Reiter", "given" : "Lawrence T", "non-dropping-particle" : "", "parse-names" : false, "suffix" : "" }, { "dropping-particle" : "", "family" : "Bier", "given" : "Ethan", "non-dropping-particle" : "", "parse-names" : false, "suffix" : "" }, { "dropping-particle" : "", "family" : "Gribskov", "given" : "Michael", "non-dropping-particle" : "", "parse-names" : false, "suffix" : "" } ], "container-title" : "Nucleic acids research", "id" : "ITEM-1", "issue" : "1", "issued" : { "date-parts" : [ [ "2002", "1", "1" ] ] }, "page" : "149-51", "title" : "Homophila: human disease gene cognates in Drosophila.", "type" : "article-journal", "volume" : "30" }, "uris" : [ "http://www.mendeley.com/documents/?uuid=7197badd-ed83-4658-a874-fbe2a787725a" ] } ], "mendeley" : { "previouslyFormattedCitation" : "(Chien et al. 2002)" }, "properties" : { "noteIndex" : 0 }, "schema" : "https://github.com/citation-style-language/schema/raw/master/csl-citation.json" }</w:instrText>
      </w:r>
      <w:r w:rsidR="009A1FEC" w:rsidRPr="0013327C">
        <w:rPr>
          <w:rFonts w:asciiTheme="majorHAnsi" w:hAnsiTheme="majorHAnsi"/>
        </w:rPr>
        <w:fldChar w:fldCharType="separate"/>
      </w:r>
      <w:r w:rsidRPr="00427735">
        <w:rPr>
          <w:rFonts w:asciiTheme="majorHAnsi" w:hAnsiTheme="majorHAnsi"/>
          <w:noProof/>
        </w:rPr>
        <w:t xml:space="preserve">(Chien </w:t>
      </w:r>
      <w:r w:rsidR="00466108" w:rsidRPr="00427735">
        <w:rPr>
          <w:rFonts w:asciiTheme="majorHAnsi" w:hAnsiTheme="majorHAnsi"/>
          <w:i/>
          <w:noProof/>
        </w:rPr>
        <w:t>et al</w:t>
      </w:r>
      <w:r w:rsidRPr="00427735">
        <w:rPr>
          <w:rFonts w:asciiTheme="majorHAnsi" w:hAnsiTheme="majorHAnsi"/>
          <w:noProof/>
        </w:rPr>
        <w:t>. 2002)</w:t>
      </w:r>
      <w:r w:rsidR="009A1FEC" w:rsidRPr="0013327C">
        <w:rPr>
          <w:rFonts w:asciiTheme="majorHAnsi" w:hAnsiTheme="majorHAnsi"/>
        </w:rPr>
        <w:fldChar w:fldCharType="end"/>
      </w:r>
      <w:r w:rsidRPr="00427735">
        <w:rPr>
          <w:rFonts w:asciiTheme="majorHAnsi" w:hAnsiTheme="majorHAnsi"/>
        </w:rPr>
        <w:t>and Online Mendelian in Man (OMIM,</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"10.1101/gr.169101.sophila", "author" : [ { "dropping-particle" : "", "family" : "Reiter", "given" : "Lawrence T", "non-dropping-particle" : "", "parse-names" : false, "suffix" : "" }, { "dropping-particle" : "", "family" : "Potocki", "given" : "Lorraine", "non-dropping-particle" : "", "parse-names" : false, "suffix" : "" }, { "dropping-particle" : "", "family" : "Chien", "given" : "Sam", "non-dropping-particle" : "", "parse-names" : false, "suffix" : "" }, { "dropping-particle" : "", "family" : "Gribskov", "given" : "Michael", "non-dropping-particle" : "", "parse-names" : false, "suffix" : "" }, { "dropping-particle" : "", "family" : "Bier", "given" : "Ethan", "non-dropping-particle" : "", "parse-names" : false, "suffix" : "" } ], "id" : "ITEM-1", "issued" : { "date-parts" : [ [ "2001" ] ] }, "page" : "1114-1125", "title" : "A Systematic Analysis of Human Disease-Associated Gene Sequences In Drosophila melanogaster", "type" : "article-journal" }, "uris" : [ "http://www.mendeley.com/documents/?uuid=ddb4cf00-fbde-4d19-aba3-ae0f2d4dcc6c" ] } ], "mendeley" : { "manualFormatting" : " Reiter et al. 2001)", "previouslyFormattedCitation" : "(Reiter et al. 2001)" }, "properties" : { "noteIndex" : 0 }, "schema" : "https://github.com/citation-style-language/schema/raw/master/csl-citation.json" }</w:instrText>
      </w:r>
      <w:r w:rsidR="009A1FEC" w:rsidRPr="0013327C">
        <w:rPr>
          <w:rFonts w:asciiTheme="majorHAnsi" w:hAnsiTheme="majorHAnsi"/>
        </w:rPr>
        <w:fldChar w:fldCharType="separate"/>
      </w:r>
      <w:r w:rsidRPr="00427735">
        <w:rPr>
          <w:rFonts w:asciiTheme="majorHAnsi" w:hAnsiTheme="majorHAnsi"/>
          <w:noProof/>
        </w:rPr>
        <w:t xml:space="preserve"> </w:t>
      </w:r>
      <w:r w:rsidRPr="0013327C">
        <w:rPr>
          <w:rFonts w:asciiTheme="majorHAnsi" w:hAnsiTheme="majorHAnsi"/>
          <w:noProof/>
        </w:rPr>
        <w:t xml:space="preserve">Reiter </w:t>
      </w:r>
      <w:r w:rsidR="00466108" w:rsidRPr="00466108">
        <w:rPr>
          <w:rFonts w:asciiTheme="majorHAnsi" w:hAnsiTheme="majorHAnsi"/>
          <w:i/>
          <w:noProof/>
        </w:rPr>
        <w:t>et al</w:t>
      </w:r>
      <w:r w:rsidRPr="0013327C">
        <w:rPr>
          <w:rFonts w:asciiTheme="majorHAnsi" w:hAnsiTheme="majorHAnsi"/>
          <w:noProof/>
        </w:rPr>
        <w:t>. 2001)</w:t>
      </w:r>
      <w:r w:rsidR="009A1FEC" w:rsidRPr="0013327C">
        <w:rPr>
          <w:rFonts w:asciiTheme="majorHAnsi" w:hAnsiTheme="majorHAnsi"/>
        </w:rPr>
        <w:fldChar w:fldCharType="end"/>
      </w:r>
      <w:r w:rsidRPr="0013327C">
        <w:rPr>
          <w:rFonts w:asciiTheme="majorHAnsi" w:hAnsiTheme="majorHAnsi"/>
        </w:rPr>
        <w:t xml:space="preserve"> databases were consulted online.  Bioinformatic searches were performed using the Saccharomyces Genomic Database (http://www.yeastgenome.org) and the National Centre for Biotechnology Information (http://www.ncbi.nlm.nih.gov). </w:t>
      </w:r>
    </w:p>
    <w:p w:rsidR="00817534" w:rsidRPr="00817534" w:rsidRDefault="00817534" w:rsidP="00FD54DA">
      <w:pPr>
        <w:jc w:val="both"/>
        <w:rPr>
          <w:rFonts w:asciiTheme="majorHAnsi" w:hAnsiTheme="majorHAnsi"/>
        </w:rPr>
      </w:pPr>
      <w:r>
        <w:rPr>
          <w:rFonts w:asciiTheme="majorHAnsi" w:hAnsiTheme="majorHAnsi"/>
        </w:rPr>
        <w:t xml:space="preserve">A list of known peroxins in the organisms </w:t>
      </w:r>
      <w:r>
        <w:rPr>
          <w:rFonts w:asciiTheme="majorHAnsi" w:hAnsiTheme="majorHAnsi"/>
          <w:i/>
        </w:rPr>
        <w:t>S. cerevisiae, D. melanogaster and H. sapiens</w:t>
      </w:r>
      <w:r>
        <w:rPr>
          <w:rFonts w:asciiTheme="majorHAnsi" w:hAnsiTheme="majorHAnsi"/>
        </w:rPr>
        <w:t xml:space="preserve"> is shown in Table 1.3. The gaps in the table equate to where a</w:t>
      </w:r>
      <w:r w:rsidR="00BA00B5">
        <w:rPr>
          <w:rFonts w:asciiTheme="majorHAnsi" w:hAnsiTheme="majorHAnsi"/>
        </w:rPr>
        <w:t>n orthologue for that organism is yet to be found.</w:t>
      </w:r>
    </w:p>
    <w:p w:rsidR="00FD54DA" w:rsidRPr="0013327C" w:rsidRDefault="00170688" w:rsidP="00FD54DA">
      <w:pPr>
        <w:jc w:val="both"/>
        <w:rPr>
          <w:rFonts w:asciiTheme="majorHAnsi" w:hAnsiTheme="majorHAnsi"/>
          <w:i/>
        </w:rPr>
      </w:pPr>
      <w:r>
        <w:rPr>
          <w:rFonts w:asciiTheme="majorHAnsi" w:hAnsiTheme="majorHAnsi"/>
          <w:i/>
          <w:noProof/>
          <w:lang w:eastAsia="en-GB"/>
        </w:rPr>
        <w:lastRenderedPageBreak/>
        <w:drawing>
          <wp:inline distT="0" distB="0" distL="0" distR="0">
            <wp:extent cx="5401310" cy="62852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5401310" cy="6285230"/>
                    </a:xfrm>
                    <a:prstGeom prst="rect">
                      <a:avLst/>
                    </a:prstGeom>
                    <a:noFill/>
                  </pic:spPr>
                </pic:pic>
              </a:graphicData>
            </a:graphic>
          </wp:inline>
        </w:drawing>
      </w:r>
    </w:p>
    <w:p w:rsidR="00FD54DA" w:rsidRPr="0013327C" w:rsidRDefault="00BE47A5" w:rsidP="00FD54DA">
      <w:pPr>
        <w:jc w:val="both"/>
        <w:rPr>
          <w:rFonts w:asciiTheme="majorHAnsi" w:hAnsiTheme="majorHAnsi"/>
        </w:rPr>
      </w:pPr>
      <w:proofErr w:type="gramStart"/>
      <w:r>
        <w:rPr>
          <w:rFonts w:asciiTheme="majorHAnsi" w:hAnsiTheme="majorHAnsi"/>
          <w:b/>
        </w:rPr>
        <w:t>Table</w:t>
      </w:r>
      <w:r w:rsidR="00FD54DA" w:rsidRPr="0013327C">
        <w:rPr>
          <w:rFonts w:asciiTheme="majorHAnsi" w:hAnsiTheme="majorHAnsi"/>
          <w:b/>
        </w:rPr>
        <w:t xml:space="preserve"> 1.</w:t>
      </w:r>
      <w:r w:rsidR="00FD54DA">
        <w:rPr>
          <w:rFonts w:asciiTheme="majorHAnsi" w:hAnsiTheme="majorHAnsi"/>
          <w:b/>
        </w:rPr>
        <w:t>3</w:t>
      </w:r>
      <w:r w:rsidR="00FD54DA" w:rsidRPr="0013327C">
        <w:rPr>
          <w:rFonts w:asciiTheme="majorHAnsi" w:hAnsiTheme="majorHAnsi"/>
          <w:b/>
        </w:rPr>
        <w:t>.</w:t>
      </w:r>
      <w:proofErr w:type="gramEnd"/>
      <w:r w:rsidR="00FD54DA" w:rsidRPr="0013327C">
        <w:rPr>
          <w:rFonts w:asciiTheme="majorHAnsi" w:hAnsiTheme="majorHAnsi"/>
          <w:b/>
        </w:rPr>
        <w:t xml:space="preserve"> </w:t>
      </w:r>
      <w:proofErr w:type="gramStart"/>
      <w:r w:rsidR="00FD54DA" w:rsidRPr="0013327C">
        <w:rPr>
          <w:rFonts w:asciiTheme="majorHAnsi" w:hAnsiTheme="majorHAnsi"/>
          <w:b/>
        </w:rPr>
        <w:t xml:space="preserve">Table of Peroxins from </w:t>
      </w:r>
      <w:r w:rsidR="00FD54DA" w:rsidRPr="0013327C">
        <w:rPr>
          <w:rFonts w:asciiTheme="majorHAnsi" w:hAnsiTheme="majorHAnsi"/>
          <w:b/>
          <w:i/>
        </w:rPr>
        <w:t>S. cerevisiae, D. melanogaster</w:t>
      </w:r>
      <w:r w:rsidR="00FD54DA" w:rsidRPr="0013327C">
        <w:rPr>
          <w:rFonts w:asciiTheme="majorHAnsi" w:hAnsiTheme="majorHAnsi"/>
          <w:b/>
        </w:rPr>
        <w:t xml:space="preserve"> and </w:t>
      </w:r>
      <w:r w:rsidR="00FD54DA" w:rsidRPr="0013327C">
        <w:rPr>
          <w:rFonts w:asciiTheme="majorHAnsi" w:hAnsiTheme="majorHAnsi"/>
          <w:b/>
          <w:i/>
        </w:rPr>
        <w:t>H. sapiens</w:t>
      </w:r>
      <w:r w:rsidR="00FD54DA" w:rsidRPr="0013327C">
        <w:rPr>
          <w:rFonts w:asciiTheme="majorHAnsi" w:hAnsiTheme="majorHAnsi"/>
          <w:b/>
        </w:rPr>
        <w:t>.</w:t>
      </w:r>
      <w:proofErr w:type="gramEnd"/>
      <w:r w:rsidR="00FD54DA" w:rsidRPr="0013327C">
        <w:rPr>
          <w:rFonts w:asciiTheme="majorHAnsi" w:hAnsiTheme="majorHAnsi"/>
          <w:b/>
        </w:rPr>
        <w:t xml:space="preserve"> </w:t>
      </w:r>
      <w:r w:rsidR="00FD54DA" w:rsidRPr="0013327C">
        <w:rPr>
          <w:rFonts w:asciiTheme="majorHAnsi" w:hAnsiTheme="majorHAnsi"/>
        </w:rPr>
        <w:t xml:space="preserve">Mast </w:t>
      </w:r>
      <w:r w:rsidR="00466108" w:rsidRPr="00466108">
        <w:rPr>
          <w:rFonts w:asciiTheme="majorHAnsi" w:hAnsiTheme="majorHAnsi"/>
          <w:i/>
        </w:rPr>
        <w:t>et al</w:t>
      </w:r>
      <w:r w:rsidR="00FD54DA" w:rsidRPr="0013327C">
        <w:rPr>
          <w:rFonts w:asciiTheme="majorHAnsi" w:hAnsiTheme="majorHAnsi"/>
          <w:i/>
        </w:rPr>
        <w:t>.</w:t>
      </w:r>
      <w:r w:rsidR="00FD54DA" w:rsidRPr="0013327C">
        <w:rPr>
          <w:rFonts w:asciiTheme="majorHAnsi" w:hAnsiTheme="majorHAnsi"/>
        </w:rPr>
        <w:t xml:space="preserve"> (2011) were able to achieve aberrant non-WT morphological presentations of S2 cells with fluorescent peroxisomal markers by performing single-gene RNAi knockdowns of some of the above list of CG numbers and sort them into “classes” based on their statistical analyses. Changes in morphology were noticed in </w:t>
      </w:r>
      <w:r w:rsidR="00FD54DA" w:rsidRPr="000C26B2">
        <w:rPr>
          <w:rFonts w:asciiTheme="majorHAnsi" w:hAnsiTheme="majorHAnsi"/>
          <w:i/>
        </w:rPr>
        <w:t>PEX</w:t>
      </w:r>
      <w:r w:rsidR="00FD54DA" w:rsidRPr="0013327C">
        <w:rPr>
          <w:rFonts w:asciiTheme="majorHAnsi" w:hAnsiTheme="majorHAnsi"/>
        </w:rPr>
        <w:t xml:space="preserve">1, </w:t>
      </w:r>
      <w:r w:rsidR="00FD54DA" w:rsidRPr="000C26B2">
        <w:rPr>
          <w:rFonts w:asciiTheme="majorHAnsi" w:hAnsiTheme="majorHAnsi"/>
          <w:i/>
        </w:rPr>
        <w:t>PEX</w:t>
      </w:r>
      <w:r w:rsidR="00FD54DA" w:rsidRPr="0013327C">
        <w:rPr>
          <w:rFonts w:asciiTheme="majorHAnsi" w:hAnsiTheme="majorHAnsi"/>
        </w:rPr>
        <w:t xml:space="preserve">5, </w:t>
      </w:r>
      <w:r w:rsidR="00FD54DA" w:rsidRPr="000C26B2">
        <w:rPr>
          <w:rFonts w:asciiTheme="majorHAnsi" w:hAnsiTheme="majorHAnsi"/>
          <w:i/>
        </w:rPr>
        <w:t>PEX</w:t>
      </w:r>
      <w:r w:rsidR="00FD54DA" w:rsidRPr="0013327C">
        <w:rPr>
          <w:rFonts w:asciiTheme="majorHAnsi" w:hAnsiTheme="majorHAnsi"/>
        </w:rPr>
        <w:t xml:space="preserve">13, </w:t>
      </w:r>
      <w:r w:rsidR="00FD54DA" w:rsidRPr="000C26B2">
        <w:rPr>
          <w:rFonts w:asciiTheme="majorHAnsi" w:hAnsiTheme="majorHAnsi"/>
          <w:i/>
        </w:rPr>
        <w:t>PEX</w:t>
      </w:r>
      <w:r w:rsidR="00FD54DA" w:rsidRPr="0013327C">
        <w:rPr>
          <w:rFonts w:asciiTheme="majorHAnsi" w:hAnsiTheme="majorHAnsi"/>
        </w:rPr>
        <w:t xml:space="preserve">16 (class I), </w:t>
      </w:r>
      <w:r w:rsidR="00FD54DA" w:rsidRPr="000C26B2">
        <w:rPr>
          <w:rFonts w:asciiTheme="majorHAnsi" w:hAnsiTheme="majorHAnsi"/>
          <w:i/>
        </w:rPr>
        <w:t>PEX</w:t>
      </w:r>
      <w:r w:rsidR="00FD54DA" w:rsidRPr="0013327C">
        <w:rPr>
          <w:rFonts w:asciiTheme="majorHAnsi" w:hAnsiTheme="majorHAnsi"/>
        </w:rPr>
        <w:t xml:space="preserve">2, </w:t>
      </w:r>
      <w:r w:rsidR="00FD54DA" w:rsidRPr="000C26B2">
        <w:rPr>
          <w:rFonts w:asciiTheme="majorHAnsi" w:hAnsiTheme="majorHAnsi"/>
          <w:i/>
        </w:rPr>
        <w:t>PEX</w:t>
      </w:r>
      <w:r w:rsidR="00FD54DA" w:rsidRPr="0013327C">
        <w:rPr>
          <w:rFonts w:asciiTheme="majorHAnsi" w:hAnsiTheme="majorHAnsi"/>
        </w:rPr>
        <w:t xml:space="preserve">3, </w:t>
      </w:r>
      <w:r w:rsidR="00FD54DA" w:rsidRPr="000C26B2">
        <w:rPr>
          <w:rFonts w:asciiTheme="majorHAnsi" w:hAnsiTheme="majorHAnsi"/>
          <w:i/>
        </w:rPr>
        <w:t>PEX</w:t>
      </w:r>
      <w:r w:rsidR="00FD54DA" w:rsidRPr="0013327C">
        <w:rPr>
          <w:rFonts w:asciiTheme="majorHAnsi" w:hAnsiTheme="majorHAnsi"/>
        </w:rPr>
        <w:t xml:space="preserve">6, </w:t>
      </w:r>
      <w:r w:rsidR="00FD54DA" w:rsidRPr="000C26B2">
        <w:rPr>
          <w:rFonts w:asciiTheme="majorHAnsi" w:hAnsiTheme="majorHAnsi"/>
          <w:i/>
        </w:rPr>
        <w:t>PEX</w:t>
      </w:r>
      <w:r w:rsidR="00FD54DA" w:rsidRPr="0013327C">
        <w:rPr>
          <w:rFonts w:asciiTheme="majorHAnsi" w:hAnsiTheme="majorHAnsi"/>
        </w:rPr>
        <w:t xml:space="preserve">12, </w:t>
      </w:r>
      <w:r w:rsidR="00FD54DA" w:rsidRPr="000C26B2">
        <w:rPr>
          <w:rFonts w:asciiTheme="majorHAnsi" w:hAnsiTheme="majorHAnsi"/>
          <w:i/>
        </w:rPr>
        <w:t>PEX</w:t>
      </w:r>
      <w:r w:rsidR="00FD54DA" w:rsidRPr="0013327C">
        <w:rPr>
          <w:rFonts w:asciiTheme="majorHAnsi" w:hAnsiTheme="majorHAnsi"/>
        </w:rPr>
        <w:t xml:space="preserve">14 (class II), </w:t>
      </w:r>
      <w:r w:rsidR="00FD54DA" w:rsidRPr="000C26B2">
        <w:rPr>
          <w:rFonts w:asciiTheme="majorHAnsi" w:hAnsiTheme="majorHAnsi"/>
          <w:i/>
        </w:rPr>
        <w:t>PEX</w:t>
      </w:r>
      <w:r w:rsidR="00FD54DA" w:rsidRPr="0013327C">
        <w:rPr>
          <w:rFonts w:asciiTheme="majorHAnsi" w:hAnsiTheme="majorHAnsi"/>
        </w:rPr>
        <w:t xml:space="preserve">11β, </w:t>
      </w:r>
      <w:r w:rsidR="00FD54DA" w:rsidRPr="000C26B2">
        <w:rPr>
          <w:rFonts w:asciiTheme="majorHAnsi" w:hAnsiTheme="majorHAnsi"/>
          <w:i/>
        </w:rPr>
        <w:t>PEX</w:t>
      </w:r>
      <w:r w:rsidR="00FD54DA" w:rsidRPr="0013327C">
        <w:rPr>
          <w:rFonts w:asciiTheme="majorHAnsi" w:hAnsiTheme="majorHAnsi"/>
        </w:rPr>
        <w:t xml:space="preserve">19 (class III), </w:t>
      </w:r>
      <w:r w:rsidR="00FD54DA" w:rsidRPr="000C26B2">
        <w:rPr>
          <w:rFonts w:asciiTheme="majorHAnsi" w:hAnsiTheme="majorHAnsi"/>
          <w:i/>
        </w:rPr>
        <w:t>PEX</w:t>
      </w:r>
      <w:r w:rsidR="00FD54DA" w:rsidRPr="0013327C">
        <w:rPr>
          <w:rFonts w:asciiTheme="majorHAnsi" w:hAnsiTheme="majorHAnsi"/>
        </w:rPr>
        <w:t xml:space="preserve">20 and </w:t>
      </w:r>
      <w:r w:rsidR="00FD54DA" w:rsidRPr="000C26B2">
        <w:rPr>
          <w:rFonts w:asciiTheme="majorHAnsi" w:hAnsiTheme="majorHAnsi"/>
          <w:i/>
        </w:rPr>
        <w:t>PEX</w:t>
      </w:r>
      <w:r w:rsidR="00FD54DA" w:rsidRPr="0013327C">
        <w:rPr>
          <w:rFonts w:asciiTheme="majorHAnsi" w:hAnsiTheme="majorHAnsi"/>
        </w:rPr>
        <w:t>23 (class IV) from WT cells. The classes decrease in significant difference from the WT statistics of “number of punctate bodies, average volume of peroxisomes and percentage of fluorescent signal in punctate bodies”.</w:t>
      </w:r>
    </w:p>
    <w:p w:rsidR="00FD54DA" w:rsidRPr="0013327C" w:rsidRDefault="00FD54DA" w:rsidP="00FD54DA">
      <w:pPr>
        <w:pStyle w:val="Heading2"/>
        <w:jc w:val="both"/>
      </w:pPr>
      <w:bookmarkStart w:id="35" w:name="_Toc348423292"/>
      <w:r w:rsidRPr="0013327C">
        <w:lastRenderedPageBreak/>
        <w:t>Drosophila as a model organism</w:t>
      </w:r>
      <w:bookmarkEnd w:id="35"/>
    </w:p>
    <w:p w:rsidR="00FD54DA" w:rsidRPr="0013327C" w:rsidRDefault="00FD54DA" w:rsidP="00FD54DA">
      <w:pPr>
        <w:jc w:val="both"/>
        <w:rPr>
          <w:rFonts w:asciiTheme="majorHAnsi" w:hAnsiTheme="majorHAnsi"/>
        </w:rPr>
      </w:pPr>
      <w:r w:rsidRPr="0013327C">
        <w:rPr>
          <w:rFonts w:asciiTheme="majorHAnsi" w:hAnsiTheme="majorHAnsi"/>
          <w:i/>
        </w:rPr>
        <w:t>Drosophila</w:t>
      </w:r>
      <w:r w:rsidRPr="0013327C">
        <w:rPr>
          <w:rFonts w:asciiTheme="majorHAnsi" w:hAnsiTheme="majorHAnsi"/>
        </w:rPr>
        <w:t xml:space="preserve"> were first used in early genetic studies in 1910 by T. H. Morgan whose mating assays produced for him fly with white eyes. With his colleagues he was able to formulate a theory of heredity that involved chromosomes in a linear arrangement. They were able to prove that chromosomes contain genes, disproving a theory held at the time that they were separate entities. The physical mapping of chromosomes led the localisation of genes by T. S. Painter at the University of Texas in 1934. These “polytene” maps together those produced by Morgan’s colleague C. B. Bridges in the following years are still accurate and useable today. Since then </w:t>
      </w:r>
      <w:r w:rsidRPr="0013327C">
        <w:rPr>
          <w:rFonts w:asciiTheme="majorHAnsi" w:hAnsiTheme="majorHAnsi"/>
          <w:i/>
        </w:rPr>
        <w:t>Drosophila</w:t>
      </w:r>
      <w:r w:rsidRPr="0013327C">
        <w:rPr>
          <w:rFonts w:asciiTheme="majorHAnsi" w:hAnsiTheme="majorHAnsi"/>
        </w:rPr>
        <w:t xml:space="preserve"> have been used to show that ionising radiation damages chromosomal arrangements and can be induced with x-rays. Clone libraries had been started by the 1975 and gene cloning had begun by 1980</w:t>
      </w:r>
    </w:p>
    <w:p w:rsidR="00FD54DA" w:rsidRPr="0013327C" w:rsidRDefault="00FD54DA" w:rsidP="00FD54DA">
      <w:pPr>
        <w:jc w:val="both"/>
        <w:rPr>
          <w:rFonts w:asciiTheme="majorHAnsi" w:hAnsiTheme="majorHAnsi"/>
        </w:rPr>
      </w:pPr>
      <w:r w:rsidRPr="0013327C">
        <w:rPr>
          <w:rFonts w:asciiTheme="majorHAnsi" w:hAnsiTheme="majorHAnsi"/>
        </w:rPr>
        <w:t>In 1981 transposable elements w</w:t>
      </w:r>
      <w:r>
        <w:rPr>
          <w:rFonts w:asciiTheme="majorHAnsi" w:hAnsiTheme="majorHAnsi"/>
        </w:rPr>
        <w:t>ere instrumental in achieving the</w:t>
      </w:r>
      <w:r w:rsidRPr="0013327C">
        <w:rPr>
          <w:rFonts w:asciiTheme="majorHAnsi" w:hAnsiTheme="majorHAnsi"/>
        </w:rPr>
        <w:t xml:space="preserve"> first rescue of a mutant phenotype by transferral of a gene. While this became a powerful tool for transgene expression it discouraged whole genome sequencing aspirations. When the genome had been sequenced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"10.1126/science.287.5461.2185", "author" : [ { "dropping-particle" : "", "family" : "Adams", "given" : "M. D.", "non-dropping-particle" : "", "parse-names" : false, "suffix" : "" } ], "container-title" : "Science", "id" : "ITEM-1", "issue" : "5461", "issued" : { "date-parts" : [ [ "2000", "3", "24" ] ] }, "page" : "2185-2195", "title" : "The Genome Sequence of Drosophila melanogaster", "type" : "article-journal", "volume" : "287" }, "uris" : [ "http://www.mendeley.com/documents/?uuid=7272a580-0749-43c6-8a02-c04fe9f29c25" ] } ], "mendeley" : { "manualFormatting" : "Adams, 2000)", "previouslyFormattedCitation" : "(Adams 2000)"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Adams, 2000)</w:t>
      </w:r>
      <w:r w:rsidR="009A1FEC" w:rsidRPr="0013327C">
        <w:rPr>
          <w:rFonts w:asciiTheme="majorHAnsi" w:hAnsiTheme="majorHAnsi"/>
        </w:rPr>
        <w:fldChar w:fldCharType="end"/>
      </w:r>
      <w:r w:rsidRPr="0013327C">
        <w:rPr>
          <w:rFonts w:asciiTheme="majorHAnsi" w:hAnsiTheme="majorHAnsi"/>
        </w:rPr>
        <w:t xml:space="preserve"> so many genes had been sequenced individually that no other model organism came close to half of the same coverage of the genome (summarised by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"10.1126/science.287.5461.2216", "author" : [ { "dropping-particle" : "", "family" : "Rubin", "given" : "G. M.", "non-dropping-particle" : "", "parse-names" : false, "suffix" : "" } ], "container-title" : "Science", "id" : "ITEM-1", "issue" : "5461", "issued" : { "date-parts" : [ [ "2000", "3", "24" ] ] }, "page" : "2216-2218", "title" : "A Brief History of Drosophila's Contributions to Genome Research", "type" : "article-journal", "volume" : "287" }, "uris" : [ "http://www.mendeley.com/documents/?uuid=e33fd584-1668-497f-ae7b-490133565cb7" ] } ], "mendeley" : { "manualFormatting" : "Rubin, 2000)", "previouslyFormattedCitation" : "(Rubin 2000)"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Rubin, 2000)</w:t>
      </w:r>
      <w:r w:rsidR="009A1FEC" w:rsidRPr="0013327C">
        <w:rPr>
          <w:rFonts w:asciiTheme="majorHAnsi" w:hAnsiTheme="majorHAnsi"/>
        </w:rPr>
        <w:fldChar w:fldCharType="end"/>
      </w:r>
      <w:r w:rsidRPr="0013327C">
        <w:rPr>
          <w:rFonts w:asciiTheme="majorHAnsi" w:hAnsiTheme="majorHAnsi"/>
        </w:rPr>
        <w:t>.</w:t>
      </w:r>
    </w:p>
    <w:p w:rsidR="00FD54DA" w:rsidRPr="0013327C" w:rsidRDefault="00FD54DA" w:rsidP="00FD54DA">
      <w:pPr>
        <w:jc w:val="both"/>
        <w:rPr>
          <w:rFonts w:asciiTheme="majorHAnsi" w:hAnsiTheme="majorHAnsi"/>
        </w:rPr>
      </w:pPr>
    </w:p>
    <w:p w:rsidR="00FD54DA" w:rsidRPr="0013327C" w:rsidRDefault="00FD54DA" w:rsidP="00FD54DA">
      <w:pPr>
        <w:pStyle w:val="Heading2"/>
        <w:jc w:val="both"/>
      </w:pPr>
      <w:bookmarkStart w:id="36" w:name="_Toc348423293"/>
      <w:r w:rsidRPr="0013327C">
        <w:t>RNA interference (RNAi)</w:t>
      </w:r>
      <w:bookmarkEnd w:id="36"/>
    </w:p>
    <w:p w:rsidR="00FD54DA" w:rsidRPr="0013327C" w:rsidRDefault="00FD54DA" w:rsidP="00FD54DA">
      <w:pPr>
        <w:pStyle w:val="Heading3"/>
        <w:jc w:val="both"/>
      </w:pPr>
      <w:bookmarkStart w:id="37" w:name="_Toc348423294"/>
      <w:r w:rsidRPr="0013327C">
        <w:t>History and Mechanism</w:t>
      </w:r>
      <w:bookmarkEnd w:id="37"/>
    </w:p>
    <w:p w:rsidR="00FD54DA" w:rsidRPr="0013327C" w:rsidRDefault="00FD54DA" w:rsidP="00FD54DA">
      <w:pPr>
        <w:jc w:val="both"/>
        <w:rPr>
          <w:rFonts w:asciiTheme="majorHAnsi" w:hAnsiTheme="majorHAnsi"/>
        </w:rPr>
      </w:pPr>
      <w:r w:rsidRPr="0013327C">
        <w:rPr>
          <w:rFonts w:asciiTheme="majorHAnsi" w:hAnsiTheme="majorHAnsi"/>
        </w:rPr>
        <w:t xml:space="preserve">RNA interference (RNAi) is the use of RNA as a tool to determine gene function by inducing a blockade of expression at the translation level using complementary mRNA. Its gradual discovery began in the early 1990s by the loss of expression of genes of interest when high levels of exogenous transgene were induced in petunias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"10.1105/tpc.2.4.279", "abstract" : "We attempted to overexpress chalcone synthase (CHS) in pigmented petunia petals by introducing a chimeric petunia CHS gene. Unexpectedly, the introduced gene created a block in anthocyanin biosynthesis. Forty-two percent of plants with the introduced CHS gene produced totally white flowers and/or patterned flowers with white or pale nonclonal sectors on a wild-type pigmented background; none of hundreds of transgenic control plants exhibited such phenotypes. Progeny testing of one plant demonstrated that the novel color phenotype co-segregated with the introduced CHS gene; progeny without this gene were phenotypically wild type. The somatic and germinal stability of the novel color patterns was variable. RNase protection analysis of petal RNAs isolated from white flowers showed that, although the developmental timing of mRNA expression of the endogenous CHS gene was not altered, the level of the mRNA produced by this gene was reduced 50-fold from wild-type levels. Somatic reversion of plants with white flowers to phenotypically parental violet flowers was associated with a coordinate rise in the steady-state levels of the mRNAs produced by both the endogenous and the introduced CHS genes. Thus, in the altered white flowers, the expression of both genes was coordinately suppressed, indicating that expression of the introduced CHS gene was not alone sufficient for suppression of endogenous CHS transcript levels. The mechanism responsible for the reversible co-suppression of homologous genes in trans is unclear, but the erratic and reversible nature of this phenomenon suggests the possible involvement of methylation.", "author" : [ { "dropping-particle" : "", "family" : "Napoli", "given" : "C.", "non-dropping-particle" : "", "parse-names" : false, "suffix" : "" }, { "dropping-particle" : "", "family" : "Lemieux", "given" : "C.", "non-dropping-particle" : "", "parse-names" : false, "suffix" : "" }, { "dropping-particle" : "", "family" : "Jorgensen", "given" : "R.", "non-dropping-particle" : "", "parse-names" : false, "suffix" : "" } ], "container-title" : "The Plant cell", "id" : "ITEM-1", "issue" : "4", "issued" : { "date-parts" : [ [ "1990", "4" ] ] }, "page" : "279-289", "title" : "Introduction of a Chimeric Chalcone Synthase Gene into Petunia Results in Reversible Co-Suppression of Homologous Genes in trans.", "type" : "article-journal", "volume" : "2" }, "uris" : [ "http://www.mendeley.com/documents/?uuid=5ec14ffe-1d28-4d00-ad9c-b2b2b21f397a" ] } ], "mendeley" : { "manualFormatting" : "(Napoli et al., 1990)", "previouslyFormattedCitation" : "(Napoli, Lemieux &amp; Jorgensen 1990)"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(Napoli </w:t>
      </w:r>
      <w:r w:rsidR="00466108" w:rsidRPr="00466108">
        <w:rPr>
          <w:rFonts w:asciiTheme="majorHAnsi" w:hAnsiTheme="majorHAnsi"/>
          <w:i/>
          <w:noProof/>
        </w:rPr>
        <w:t>et al</w:t>
      </w:r>
      <w:r w:rsidRPr="0013327C">
        <w:rPr>
          <w:rFonts w:asciiTheme="majorHAnsi" w:hAnsiTheme="majorHAnsi"/>
          <w:i/>
          <w:noProof/>
        </w:rPr>
        <w:t>.,</w:t>
      </w:r>
      <w:r w:rsidRPr="0013327C">
        <w:rPr>
          <w:rFonts w:asciiTheme="majorHAnsi" w:hAnsiTheme="majorHAnsi"/>
          <w:noProof/>
        </w:rPr>
        <w:t xml:space="preserve"> 1990)</w:t>
      </w:r>
      <w:r w:rsidR="009A1FEC" w:rsidRPr="0013327C">
        <w:rPr>
          <w:rFonts w:asciiTheme="majorHAnsi" w:hAnsiTheme="majorHAnsi"/>
        </w:rPr>
        <w:fldChar w:fldCharType="end"/>
      </w:r>
      <w:r>
        <w:rPr>
          <w:rFonts w:asciiTheme="majorHAnsi" w:hAnsiTheme="majorHAnsi"/>
        </w:rPr>
        <w:t xml:space="preserve"> and </w:t>
      </w:r>
      <w:r w:rsidRPr="00D30D56">
        <w:rPr>
          <w:rFonts w:asciiTheme="majorHAnsi" w:hAnsiTheme="majorHAnsi"/>
          <w:i/>
        </w:rPr>
        <w:t>Neurospora crassa</w:t>
      </w:r>
      <w:r w:rsidRPr="0013327C">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"abstract" : "Up to 36% of Neurospora crassa transformants showing an albino phenotype were recovered by transforming a wild-type strain with different portions of the carotenogenic albino-3 (al-3) and albino-1 (al-1) genes. The presence of the exogenous sequences (which were randomly integrated in ectopic locations) provoked a severe impairment in the expression of the endogenous al-1 or al-3 genes. This phenomenon, which we have termed 'quelling', was found to be spontaneously and progressively reversible, leading to wild-type or intermediate phenotypes. The phenotypic reversion is characterized by a progressive release of the transcriptional inhibition and seems to correlate with a reduction of the number of the ectopic integrated sequences. Moreover, quelling appears to be monodirectional, as, once relieved, it cannot take place again, despite the continuing presence of some of the ectopic sequences in the genome.", "author" : [ { "dropping-particle" : "", "family" : "Romano", "given" : "N", "non-dropping-particle" : "", "parse-names" : false, "suffix" : "" }, { "dropping-particle" : "", "family" : "Macino", "given" : "G", "non-dropping-particle" : "", "parse-names" : false, "suffix" : "" } ], "container-title" : "Molecular microbiology", "id" : "ITEM-1", "issue" : "22", "issued" : { "date-parts" : [ [ "1992", "11" ] ] }, "page" : "3343-53", "title" : "Quelling: transient inactivation of gene expression in Neurospora crassa by transformation with homologous sequences.", "type" : "article-journal", "volume" : "6" }, "uris" : [ "http://www.mendeley.com/documents/?uuid=fc761704-36f1-4ec2-99cc-5cf6a3a7f4e3" ] } ], "mendeley" : { "manualFormatting" : "(Romano &amp; Macino, 1992)", "previouslyFormattedCitation" : "(Romano &amp; Macino 1992)"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(Romano &amp; Macino, 1992)</w:t>
      </w:r>
      <w:r w:rsidR="009A1FEC" w:rsidRPr="0013327C">
        <w:rPr>
          <w:rFonts w:asciiTheme="majorHAnsi" w:hAnsiTheme="majorHAnsi"/>
        </w:rPr>
        <w:fldChar w:fldCharType="end"/>
      </w:r>
      <w:r w:rsidRPr="0013327C">
        <w:rPr>
          <w:rFonts w:asciiTheme="majorHAnsi" w:hAnsiTheme="majorHAnsi"/>
        </w:rPr>
        <w:t xml:space="preserve">. </w:t>
      </w:r>
    </w:p>
    <w:p w:rsidR="00FD54DA" w:rsidRPr="0013327C" w:rsidRDefault="00FD54DA" w:rsidP="00FD54DA">
      <w:pPr>
        <w:jc w:val="both"/>
        <w:rPr>
          <w:rFonts w:asciiTheme="majorHAnsi" w:hAnsiTheme="majorHAnsi"/>
        </w:rPr>
      </w:pPr>
      <w:r w:rsidRPr="0013327C">
        <w:rPr>
          <w:rFonts w:asciiTheme="majorHAnsi" w:hAnsiTheme="majorHAnsi"/>
        </w:rPr>
        <w:t xml:space="preserve">The use of RNA as a gene-silencing tool was first reported in </w:t>
      </w:r>
      <w:r w:rsidRPr="0013327C">
        <w:rPr>
          <w:rFonts w:asciiTheme="majorHAnsi" w:hAnsiTheme="majorHAnsi"/>
          <w:i/>
        </w:rPr>
        <w:t xml:space="preserve">C. elegans </w:t>
      </w:r>
      <w:r w:rsidRPr="0013327C">
        <w:rPr>
          <w:rFonts w:asciiTheme="majorHAnsi" w:hAnsiTheme="majorHAnsi"/>
        </w:rPr>
        <w:t xml:space="preserve">by Guo and Kemphues in 1995 whose work demonstrated the relatively equal efficacy of sense and anti-sense RNA in gene-silencing. Subsequent work by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"Fire", "given" : "Andrew", "non-dropping-particle" : "", "parse-names" : false, "suffix" : "" }, { "dropping-particle" : "", "family" : "Xu", "given" : "SiQun", "non-dropping-particle" : "", "parse-names" : false, "suffix" : "" }, { "dropping-particle" : "", "family" : "Montgomery", "given" : "Mary K", "non-dropping-particle" : "", "parse-names" : false, "suffix" : "" }, { "dropping-particle" : "", "family" : "Kostas", "given" : "Stephen A", "non-dropping-particle" : "", "parse-names" : false, "suffix" : "" }, { "dropping-particle" : "", "family" : "Driver", "given" : "Samuel E", "non-dropping-particle" : "", "parse-names" : false, "suffix" : "" }, { "dropping-particle" : "", "family" : "Mello", "given" : "Craig C", "non-dropping-particle" : "", "parse-names" : false, "suffix" : "" } ], "container-title" : "Letters to Nature", "id" : "ITEM-1", "issue" : "February", "issued" : { "date-parts" : [ [ "1998" ] ] }, "page" : "806-811", "title" : "Potent and specific genetic interference by double-stranded RNA in Caenorhabditis elegans", "type" : "article-journal", "volume" : "391" }, "uris" : [ "http://www.mendeley.com/documents/?uuid=fe82d694-e9bf-45d2-a2f8-587dd1c1c462" ] } ], "mendeley" : { "manualFormatting" : "Fire et al. (1998)", "previouslyFormattedCitation" : "(Fire et al. 1998)"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Fire </w:t>
      </w:r>
      <w:r w:rsidR="00466108" w:rsidRPr="00466108">
        <w:rPr>
          <w:rFonts w:asciiTheme="majorHAnsi" w:hAnsiTheme="majorHAnsi"/>
          <w:i/>
          <w:noProof/>
        </w:rPr>
        <w:t>et al</w:t>
      </w:r>
      <w:r w:rsidRPr="0013327C">
        <w:rPr>
          <w:rFonts w:asciiTheme="majorHAnsi" w:hAnsiTheme="majorHAnsi"/>
          <w:noProof/>
        </w:rPr>
        <w:t>. (1998)</w:t>
      </w:r>
      <w:r w:rsidR="009A1FEC" w:rsidRPr="0013327C">
        <w:rPr>
          <w:rFonts w:asciiTheme="majorHAnsi" w:hAnsiTheme="majorHAnsi"/>
        </w:rPr>
        <w:fldChar w:fldCharType="end"/>
      </w:r>
      <w:r w:rsidRPr="0013327C">
        <w:rPr>
          <w:rFonts w:asciiTheme="majorHAnsi" w:hAnsiTheme="majorHAnsi"/>
        </w:rPr>
        <w:t xml:space="preserve"> made the discovery of creating a synergistic mixture of complementary sense and antisense RNA. The resulting double-stranded RNA (dsRNA) was used to perform the same knockdown and was tenfold more effective. They were performing this in whole-organisms rather than a cell-line and were able to achieve the knockdown either by </w:t>
      </w:r>
      <w:r w:rsidRPr="0013327C">
        <w:rPr>
          <w:rFonts w:asciiTheme="majorHAnsi" w:hAnsiTheme="majorHAnsi"/>
        </w:rPr>
        <w:lastRenderedPageBreak/>
        <w:t>feeding the probe directly to the worm or by feeding them bacteria transformed to express the transcript. The knockdown was effective in all tissues and even carried over to the first generation of progeny, highlighting the probe’s tissue-pervasive capability. Further work in D. melanogaster showed that by detecting levels of ssRNA after successful KD with dsRNA, stable antisense ssRNA was detected in the region of 21-23 nucleotides. These co-purified in RNAi tests lacking target transcript  and were termed small inhibitory RNAs (siRNAs)</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"10.1038/35005107", "abstract" : "In a diverse group of organisms that includes Caenorhabditis elegans, Drosophila, planaria, hydra, trypanosomes, fungi and plants, the introduction of double-stranded RNAs inhibits gene expression in a sequence-specific manner. These responses, called RNA interference or post-transcriptional gene silencing, may provide anti-viral defence, modulate transposition or regulate gene expression. We have taken a biochemical approach towards elucidating the mechanisms underlying this genetic phenomenon. Here we show that 'loss-of-function' phenotypes can be created in cultured Drosophila cells by transfection with specific double-stranded RNAs. This coincides with a marked reduction in the level of cognate cellular messenger RNAs. Extracts of transfected cells contain a nuclease activity that specifically degrades exogenous transcripts homologous to transfected double-stranded RNA. This enzyme contains an essential RNA component. After partial purification, the sequence-specific nuclease co-fractionates with a discrete, approximately 25-nucleotide RNA species which may confer specificity to the enzyme through homology to the substrate mRNAs.", "author" : [ { "dropping-particle" : "", "family" : "Hammond", "given" : "S M", "non-dropping-particle" : "", "parse-names" : false, "suffix" : "" }, { "dropping-particle" : "", "family" : "Bernstein", "given" : "E", "non-dropping-particle" : "", "parse-names" : false, "suffix" : "" }, { "dropping-particle" : "", "family" : "Beach", "given" : "D", "non-dropping-particle" : "", "parse-names" : false, "suffix" : "" }, { "dropping-particle" : "", "family" : "Hannon", "given" : "G J", "non-dropping-particle" : "", "parse-names" : false, "suffix" : "" } ], "container-title" : "Nature", "id" : "ITEM-1", "issue" : "6775", "issued" : { "date-parts" : [ [ "2000", "3", "16" ] ] }, "page" : "293-6", "title" : "An RNA-directed nuclease mediates post-transcriptional gene silencing in Drosophila cells.", "type" : "article-journal", "volume" : "404" }, "uris" : [ "http://www.mendeley.com/documents/?uuid=13c213f6-365c-4f42-b108-a9b708b47926" ] }, { "id" : "ITEM-2", "itemData" : { "DOI" : "10.1016/S0092-8674(00)80620-0", "abstract" : "Double-stranded RNA (dsRNA) directs the sequence-specific degradation of mRNA through a process known as RNA interference (RNAi). Using a recently developed Drosophila in vitro system, we examined the molecular mechanism underlying RNAi. We find that RNAi is ATP dependent yet uncoupled from mRNA translation. During the RNAi reaction, both strands of the dsRNA are processed to RNA segments 21-23 nucleotides in length. Processing of the dsRNA to the small RNA fragments does not require the targeted mRNA. The mRNA is cleaved only within the region of identity with the dsRNA. Cleavage occurs at sites 21-23 nucleotides apart, the same interval observed for the dsRNA itself, suggesting that the 21-23 nucleotide fragments from the dsRNA are guiding mRNA cleavage.", "author" : [ { "dropping-particle" : "", "family" : "Zamore", "given" : "P D", "non-dropping-particle" : "", "parse-names" : false, "suffix" : "" }, { "dropping-particle" : "", "family" : "Tuschl", "given" : "T", "non-dropping-particle" : "", "parse-names" : false, "suffix" : "" }, { "dropping-particle" : "", "family" : "Sharp", "given" : "P a", "non-dropping-particle" : "", "parse-names" : false, "suffix" : "" }, { "dropping-particle" : "", "family" : "Bartel", "given" : "D P", "non-dropping-particle" : "", "parse-names" : false, "suffix" : "" } ], "container-title" : "Cell", "id" : "ITEM-2", "issue" : "1", "issued" : { "date-parts" : [ [ "2000", "3", "31" ] ] }, "page" : "25-33", "title" : "RNAi: double-stranded RNA directs the ATP-dependent cleavage of mRNA at 21 to 23 nucleotide intervals.", "type" : "article-journal", "volume" : "101" }, "uris" : [ "http://www.mendeley.com/documents/?uuid=6a3e97c6-ace6-4885-a4cb-3b4693452ff1" ] } ], "mendeley" : { "previouslyFormattedCitation" : "(Hammond et al. 2000; Zamore et al. 2000)"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(Hammond </w:t>
      </w:r>
      <w:r w:rsidR="00466108" w:rsidRPr="00466108">
        <w:rPr>
          <w:rFonts w:asciiTheme="majorHAnsi" w:hAnsiTheme="majorHAnsi"/>
          <w:i/>
          <w:noProof/>
        </w:rPr>
        <w:t>et al</w:t>
      </w:r>
      <w:r w:rsidRPr="0013327C">
        <w:rPr>
          <w:rFonts w:asciiTheme="majorHAnsi" w:hAnsiTheme="majorHAnsi"/>
          <w:noProof/>
        </w:rPr>
        <w:t xml:space="preserve">. 2000; Zamore </w:t>
      </w:r>
      <w:r w:rsidR="00466108" w:rsidRPr="00466108">
        <w:rPr>
          <w:rFonts w:asciiTheme="majorHAnsi" w:hAnsiTheme="majorHAnsi"/>
          <w:i/>
          <w:noProof/>
        </w:rPr>
        <w:t>et al</w:t>
      </w:r>
      <w:r w:rsidRPr="0013327C">
        <w:rPr>
          <w:rFonts w:asciiTheme="majorHAnsi" w:hAnsiTheme="majorHAnsi"/>
          <w:noProof/>
        </w:rPr>
        <w:t>. 2000)</w:t>
      </w:r>
      <w:r w:rsidR="009A1FEC" w:rsidRPr="0013327C">
        <w:rPr>
          <w:rFonts w:asciiTheme="majorHAnsi" w:hAnsiTheme="majorHAnsi"/>
        </w:rPr>
        <w:fldChar w:fldCharType="end"/>
      </w:r>
      <w:r w:rsidRPr="0013327C">
        <w:rPr>
          <w:rFonts w:asciiTheme="majorHAnsi" w:hAnsiTheme="majorHAnsi"/>
        </w:rPr>
        <w:t xml:space="preserve">. </w:t>
      </w:r>
      <w:proofErr w:type="gramStart"/>
      <w:r w:rsidRPr="0013327C">
        <w:rPr>
          <w:rFonts w:asciiTheme="majorHAnsi" w:hAnsiTheme="majorHAnsi"/>
        </w:rPr>
        <w:t>siRNAs</w:t>
      </w:r>
      <w:proofErr w:type="gramEnd"/>
      <w:r w:rsidRPr="0013327C">
        <w:rPr>
          <w:rFonts w:asciiTheme="majorHAnsi" w:hAnsiTheme="majorHAnsi"/>
        </w:rPr>
        <w:t xml:space="preserve"> were confirmed to be the effector</w:t>
      </w:r>
      <w:r>
        <w:rPr>
          <w:rFonts w:asciiTheme="majorHAnsi" w:hAnsiTheme="majorHAnsi"/>
        </w:rPr>
        <w:t>-</w:t>
      </w:r>
      <w:r w:rsidRPr="0013327C">
        <w:rPr>
          <w:rFonts w:asciiTheme="majorHAnsi" w:hAnsiTheme="majorHAnsi"/>
        </w:rPr>
        <w:t>molecule by their use as artificially polymerised 21-22mers in cell extracts containing firefly luciferase transgenes. The siRNAs were found to mediate cleavage of the target transcript</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"10.1101/gad.862301.vents", "author" : [ { "dropping-particle" : "", "family" : "Elbashir", "given" : "Sayda M", "non-dropping-particle" : "", "parse-names" : false, "suffix" : "" }, { "dropping-particle" : "", "family" : "Lendeckel", "given" : "Winfried", "non-dropping-particle" : "", "parse-names" : false, "suffix" : "" }, { "dropping-particle" : "", "family" : "Tuschl", "given" : "Thomas", "non-dropping-particle" : "", "parse-names" : false, "suffix" : "" } ], "container-title" : "Genes and development", "id" : "ITEM-1", "issued" : { "date-parts" : [ [ "2001" ] ] }, "page" : "188-200", "title" : "RNA interference is mediated by 21- and 22-nucleotide RNAs", "type" : "article-journal" }, "uris" : [ "http://www.mendeley.com/documents/?uuid=85b8039f-7c81-4299-8ca7-25df0928774d" ] } ], "mendeley" : { "previouslyFormattedCitation" : "(Elbashir, Lendeckel &amp; Tuschl 2001)"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(Elbashir, Lendeckel &amp; Tuschl 2001)</w:t>
      </w:r>
      <w:r w:rsidR="009A1FEC" w:rsidRPr="0013327C">
        <w:rPr>
          <w:rFonts w:asciiTheme="majorHAnsi" w:hAnsiTheme="majorHAnsi"/>
        </w:rPr>
        <w:fldChar w:fldCharType="end"/>
      </w:r>
      <w:r w:rsidRPr="0013327C">
        <w:rPr>
          <w:rFonts w:asciiTheme="majorHAnsi" w:hAnsiTheme="majorHAnsi"/>
        </w:rPr>
        <w:t>.</w:t>
      </w:r>
    </w:p>
    <w:p w:rsidR="00FD54DA" w:rsidRPr="0013327C" w:rsidRDefault="00FD54DA" w:rsidP="00FD54DA">
      <w:pPr>
        <w:jc w:val="both"/>
        <w:rPr>
          <w:rFonts w:asciiTheme="majorHAnsi" w:hAnsiTheme="majorHAnsi"/>
        </w:rPr>
      </w:pPr>
      <w:r w:rsidRPr="0013327C">
        <w:rPr>
          <w:rFonts w:asciiTheme="majorHAnsi" w:hAnsiTheme="majorHAnsi"/>
        </w:rPr>
        <w:t xml:space="preserve">Experiments in </w:t>
      </w:r>
      <w:r w:rsidRPr="0013327C">
        <w:rPr>
          <w:rFonts w:asciiTheme="majorHAnsi" w:hAnsiTheme="majorHAnsi"/>
          <w:i/>
        </w:rPr>
        <w:t>D. melanogaster</w:t>
      </w:r>
      <w:r w:rsidRPr="0013327C">
        <w:rPr>
          <w:rFonts w:asciiTheme="majorHAnsi" w:hAnsiTheme="majorHAnsi"/>
        </w:rPr>
        <w:t xml:space="preserve"> cell extracts isolated the enzymes responsible for degradation of the target transcript. This was coined the RNA-induced silencing complex. The enzyme responsible for the cleavage of dsRNA into siRNAs was called dicer</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"10.1038/35053110", "abstract" : "RNA interference (RNAi) is the mechanism through which double-stranded RNAs silence cognate genes. In plants, this can occur at both the transcriptional and the post-transcriptional levels; however, in animals, only post-transcriptional RNAi has been reported to date. In both plants and animals, RNAi is characterized by the presence of RNAs of about 22 nucleotides in length that are homologous to the gene that is being suppressed. These 22-nucleotide sequences serve as guide sequences that instruct a multicomponent nuclease, RISC, to destroy specific messenger RNAs. Here we identify an enzyme, Dicer, which can produce putative guide RNAs. Dicer is a member of the RNase III family of nucleases that specifically cleave double-stranded RNAs, and is evolutionarily conserved in worms, flies, plants, fungi and mammals. The enzyme has a distinctive structure, which includes a helicase domain and dual RNase III motifs. Dicer also contains a region of homology to the RDE1/QDE2/ARGONAUTE family that has been genetically linked to RNAi.", "author" : [ { "dropping-particle" : "", "family" : "Bernstein", "given" : "E", "non-dropping-particle" : "", "parse-names" : false, "suffix" : "" }, { "dropping-particle" : "", "family" : "Caudy", "given" : "a a", "non-dropping-particle" : "", "parse-names" : false, "suffix" : "" }, { "dropping-particle" : "", "family" : "Hammond", "given" : "S M", "non-dropping-particle" : "", "parse-names" : false, "suffix" : "" }, { "dropping-particle" : "", "family" : "Hannon", "given" : "G J", "non-dropping-particle" : "", "parse-names" : false, "suffix" : "" } ], "container-title" : "Nature", "id" : "ITEM-1", "issue" : "6818", "issued" : { "date-parts" : [ [ "2001", "1", "18" ] ] }, "page" : "363-6", "title" : "Role for a bidentate ribonuclease in the initiation step of RNA interference.", "type" : "article-journal", "volume" : "409" }, "uris" : [ "http://www.mendeley.com/documents/?uuid=1e381753-1833-4347-a03d-f3e6b43e280b" ] } ], "mendeley" : { "previouslyFormattedCitation" : "(Bernstein et al. 2001)"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(Bernstein </w:t>
      </w:r>
      <w:r w:rsidR="00466108" w:rsidRPr="00466108">
        <w:rPr>
          <w:rFonts w:asciiTheme="majorHAnsi" w:hAnsiTheme="majorHAnsi"/>
          <w:i/>
          <w:noProof/>
        </w:rPr>
        <w:t>et al</w:t>
      </w:r>
      <w:r w:rsidRPr="0013327C">
        <w:rPr>
          <w:rFonts w:asciiTheme="majorHAnsi" w:hAnsiTheme="majorHAnsi"/>
          <w:noProof/>
        </w:rPr>
        <w:t>. 2001)</w:t>
      </w:r>
      <w:r w:rsidR="009A1FEC" w:rsidRPr="0013327C">
        <w:rPr>
          <w:rFonts w:asciiTheme="majorHAnsi" w:hAnsiTheme="majorHAnsi"/>
        </w:rPr>
        <w:fldChar w:fldCharType="end"/>
      </w:r>
      <w:r w:rsidRPr="0013327C">
        <w:rPr>
          <w:rFonts w:asciiTheme="majorHAnsi" w:hAnsiTheme="majorHAnsi"/>
        </w:rPr>
        <w:t>. Two phases of RNAi had been recognised, the initiator (cleavage of dsRNA) and the effector (RISC mediated cleavage of transcripts).  The proteins which make up the RISC complex are known as Argonaut1 and Arg</w:t>
      </w:r>
      <w:r>
        <w:rPr>
          <w:rFonts w:asciiTheme="majorHAnsi" w:hAnsiTheme="majorHAnsi"/>
        </w:rPr>
        <w:t>o</w:t>
      </w:r>
      <w:r w:rsidRPr="0013327C">
        <w:rPr>
          <w:rFonts w:asciiTheme="majorHAnsi" w:hAnsiTheme="majorHAnsi"/>
        </w:rPr>
        <w:t xml:space="preserve">naut2 and are part of a well conserved family of RNAi-implicated proteins across Eukaryotes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"10.1101/gad.1026102", "author" : [ { "dropping-particle" : "", "family" : "Carmell", "given" : "Michelle a", "non-dropping-particle" : "", "parse-names" : false, "suffix" : "" }, { "dropping-particle" : "", "family" : "Xuan", "given" : "Zhenyu", "non-dropping-particle" : "", "parse-names" : false, "suffix" : "" }, { "dropping-particle" : "", "family" : "Zhang", "given" : "Michael Q", "non-dropping-particle" : "", "parse-names" : false, "suffix" : "" }, { "dropping-particle" : "", "family" : "Hannon", "given" : "Gregory J", "non-dropping-particle" : "", "parse-names" : false, "suffix" : "" } ], "container-title" : "Genes &amp; development", "id" : "ITEM-1", "issue" : "21", "issued" : { "date-parts" : [ [ "2002", "11", "1" ] ] }, "page" : "2733-42", "title" : "The Argonaute family: tentacles that reach into RNAi, developmental control, stem cell maintenance, and tumorigenesis.", "type" : "article-journal", "volume" : "16" }, "uris" : [ "http://www.mendeley.com/documents/?uuid=48e1fda4-3615-4f43-9680-79495546b507" ] } ], "mendeley" : { "manualFormatting" : "(summarised by Carmell et al. 2002)", "previouslyFormattedCitation" : "(Carmell et al. 2002)"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(summarised by Carmell </w:t>
      </w:r>
      <w:r w:rsidR="00466108" w:rsidRPr="00466108">
        <w:rPr>
          <w:rFonts w:asciiTheme="majorHAnsi" w:hAnsiTheme="majorHAnsi"/>
          <w:i/>
          <w:noProof/>
        </w:rPr>
        <w:t>et al</w:t>
      </w:r>
      <w:r w:rsidRPr="0013327C">
        <w:rPr>
          <w:rFonts w:asciiTheme="majorHAnsi" w:hAnsiTheme="majorHAnsi"/>
          <w:noProof/>
        </w:rPr>
        <w:t>. 2002)</w:t>
      </w:r>
      <w:r w:rsidR="009A1FEC" w:rsidRPr="0013327C">
        <w:rPr>
          <w:rFonts w:asciiTheme="majorHAnsi" w:hAnsiTheme="majorHAnsi"/>
        </w:rPr>
        <w:fldChar w:fldCharType="end"/>
      </w:r>
      <w:r w:rsidRPr="0013327C">
        <w:rPr>
          <w:rFonts w:asciiTheme="majorHAnsi" w:hAnsiTheme="majorHAnsi"/>
        </w:rPr>
        <w:t>.</w:t>
      </w:r>
    </w:p>
    <w:p w:rsidR="00FD54DA" w:rsidRPr="0013327C" w:rsidRDefault="00FD54DA" w:rsidP="00FD54DA">
      <w:pPr>
        <w:pStyle w:val="Heading3"/>
        <w:jc w:val="both"/>
      </w:pPr>
      <w:bookmarkStart w:id="38" w:name="_Toc348423295"/>
      <w:r w:rsidRPr="0013327C">
        <w:t xml:space="preserve">Screening </w:t>
      </w:r>
      <w:r w:rsidRPr="0013327C">
        <w:rPr>
          <w:i/>
        </w:rPr>
        <w:t>Drosophila</w:t>
      </w:r>
      <w:r w:rsidRPr="0013327C">
        <w:t xml:space="preserve"> with RNAi</w:t>
      </w:r>
      <w:bookmarkEnd w:id="38"/>
    </w:p>
    <w:p w:rsidR="00FD54DA" w:rsidRPr="0013327C" w:rsidRDefault="00FD54DA" w:rsidP="00FD54DA">
      <w:pPr>
        <w:jc w:val="both"/>
        <w:rPr>
          <w:rFonts w:asciiTheme="majorHAnsi" w:hAnsiTheme="majorHAnsi"/>
        </w:rPr>
      </w:pPr>
      <w:r w:rsidRPr="0013327C">
        <w:rPr>
          <w:rFonts w:asciiTheme="majorHAnsi" w:hAnsiTheme="majorHAnsi"/>
        </w:rPr>
        <w:t xml:space="preserve">A large number of types of RNAi screen are available for functional genomics studies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"10.1146/annurev-biochem-060408-092949", "abstract" : "RNA interference (RNAi) is an effective tool for genome-scale, high-throughput analysis of gene function. In the past five years, a number of genome-scale RNAi high-throughput screens (HTSs) have been done in both Drosophila and mammalian cultured cells to study diverse biological processes, including signal transduction, cancer biology, and host cell responses to infection. Results from these screens have led to the identification of new components of these processes and, importantly, have also provided insights into the complexity of biological systems, forcing new and innovative approaches to understanding functional networks in cells. Here, we review the main findings that have emerged from RNAi HTS and discuss technical issues that remain to be improved, in particular the verification of RNAi results and validation of their biological relevance. Furthermore, we discuss the importance of multiplexed and integrated experimental data analysis pipelines to RNAi HTS.", "author" : [ { "dropping-particle" : "", "family" : "Mohr", "given" : "Stephanie", "non-dropping-particle" : "", "parse-names" : false, "suffix" : "" }, { "dropping-particle" : "", "family" : "Bakal", "given" : "Chris", "non-dropping-particle" : "", "parse-names" : false, "suffix" : "" }, { "dropping-particle" : "", "family" : "Perrimon", "given" : "Norbert", "non-dropping-particle" : "", "parse-names" : false, "suffix" : "" } ], "container-title" : "Annual review of biochemistry", "id" : "ITEM-1", "issued" : { "date-parts" : [ [ "2010", "1" ] ] }, "page" : "37-64", "title" : "Genomic screening with RNAi: results and challenges.", "type" : "article-journal", "volume" : "79" }, "uris" : [ "http://www.mendeley.com/documents/?uuid=63d71647-fa21-448f-98ed-21ca761fe6a1" ] } ], "mendeley" : { "manualFormatting" : "(Mohr et al, 2010)", "previouslyFormattedCitation" : "(Mohr, Bakal &amp; Perrimon 2010)"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(Mohr </w:t>
      </w:r>
      <w:r w:rsidR="00466108" w:rsidRPr="00466108">
        <w:rPr>
          <w:rFonts w:asciiTheme="majorHAnsi" w:hAnsiTheme="majorHAnsi"/>
          <w:i/>
          <w:noProof/>
        </w:rPr>
        <w:t>et al</w:t>
      </w:r>
      <w:r w:rsidRPr="0013327C">
        <w:rPr>
          <w:rFonts w:asciiTheme="majorHAnsi" w:hAnsiTheme="majorHAnsi"/>
          <w:noProof/>
        </w:rPr>
        <w:t>, 2010)</w:t>
      </w:r>
      <w:r w:rsidR="009A1FEC" w:rsidRPr="0013327C">
        <w:rPr>
          <w:rFonts w:asciiTheme="majorHAnsi" w:hAnsiTheme="majorHAnsi"/>
        </w:rPr>
        <w:fldChar w:fldCharType="end"/>
      </w:r>
      <w:r w:rsidRPr="0013327C">
        <w:rPr>
          <w:rFonts w:asciiTheme="majorHAnsi" w:hAnsiTheme="majorHAnsi"/>
        </w:rPr>
        <w:t>. It is a strong reverse genetic technique which accommodates well the design of experiments for those who study loss of function genetics such as peroxisome biogenesis disorders. It is able to identify genes within genetic families or reveal their involvement in biochemical and metabolic pathways. It is a type of chemical screen and thus the potential for scaling experiments to high-throughput analyses of genomes or transcriptomes is made easier by the simple handling of liquids and plastics, particularly with automation and bioinformatic analyses. Cell-based assays developed for chemical screens have helped lay a foundation for relatively simplistic implementation of assays into microtitre plates. This is particularly true  of drosophila whose immortal cell-lines  such as S2 cells have been a central approach for so many studies</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"10.1146/annurev-biochem-060408-092949", "abstract" : "RNA interference (RNAi) is an effective tool for genome-scale, high-throughput analysis of gene function. In the past five years, a number of genome-scale RNAi high-throughput screens (HTSs) have been done in both Drosophila and mammalian cultured cells to study diverse biological processes, including signal transduction, cancer biology, and host cell responses to infection. Results from these screens have led to the identification of new components of these processes and, importantly, have also provided insights into the complexity of biological systems, forcing new and innovative approaches to understanding functional networks in cells. Here, we review the main findings that have emerged from RNAi HTS and discuss technical issues that remain to be improved, in particular the verification of RNAi results and validation of their biological relevance. Furthermore, we discuss the importance of multiplexed and integrated experimental data analysis pipelines to RNAi HTS.", "author" : [ { "dropping-particle" : "", "family" : "Mohr", "given" : "Stephanie", "non-dropping-particle" : "", "parse-names" : false, "suffix" : "" }, { "dropping-particle" : "", "family" : "Bakal", "given" : "Chris", "non-dropping-particle" : "", "parse-names" : false, "suffix" : "" }, { "dropping-particle" : "", "family" : "Perrimon", "given" : "Norbert", "non-dropping-particle" : "", "parse-names" : false, "suffix" : "" } ], "container-title" : "Annual review of biochemistry", "id" : "ITEM-1", "issued" : { "date-parts" : [ [ "2010", "1" ] ] }, "page" : "37-64", "title" : "Genomic screening with RNAi: results and challenges.", "type" : "article-journal", "volume" : "79" }, "uris" : [ "http://www.mendeley.com/documents/?uuid=63d71647-fa21-448f-98ed-21ca761fe6a1" ] } ], "mendeley" : { "manualFormatting" : "(Mohr et al, 2010)", "previouslyFormattedCitation" : "(Mohr, Bakal &amp; Perrimon 2010)"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(Mohr </w:t>
      </w:r>
      <w:r w:rsidR="00466108" w:rsidRPr="00466108">
        <w:rPr>
          <w:rFonts w:asciiTheme="majorHAnsi" w:hAnsiTheme="majorHAnsi"/>
          <w:i/>
          <w:noProof/>
        </w:rPr>
        <w:t>et al</w:t>
      </w:r>
      <w:r w:rsidRPr="0013327C">
        <w:rPr>
          <w:rFonts w:asciiTheme="majorHAnsi" w:hAnsiTheme="majorHAnsi"/>
          <w:noProof/>
        </w:rPr>
        <w:t>, 2010)</w:t>
      </w:r>
      <w:r w:rsidR="009A1FEC" w:rsidRPr="0013327C">
        <w:rPr>
          <w:rFonts w:asciiTheme="majorHAnsi" w:hAnsiTheme="majorHAnsi"/>
        </w:rPr>
        <w:fldChar w:fldCharType="end"/>
      </w:r>
      <w:r w:rsidRPr="0013327C">
        <w:rPr>
          <w:rFonts w:asciiTheme="majorHAnsi" w:hAnsiTheme="majorHAnsi"/>
        </w:rPr>
        <w:t xml:space="preserve">. Transcriptome profiles for cell-lines of many tissues and organisms are available for helping researchers determine the best approach available for data interpretation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"10.1002/wsbm.127", "abstract" : "Systems biology aims to describe the complex interplays between cellular building blocks which, in their concurrence, give rise to the emergent properties observed in cellular behaviors and responses. This approach tries to determine the molecular players and the architectural principles of their interactions within the genetic networks that control certain biological processes. Large-scale loss-of-function screens, applicable in various different model systems, have begun to systematically interrogate entire genomes to identify the genes that contribute to a certain cellular response. In particular, RNA interference (RNAi)-based high-throughput screens have been instrumental in determining the composition of regulatory systems and paired with integrative data analyses have begun to delineate the genetic networks that control cell biological and developmental processes. Through the creation of tools for both, in vitro and in vivo genome-wide RNAi screens, Drosophila melanogaster has emerged as one of the key model organisms in systems biology research and over the last years has massively contributed to and hence shaped this discipline. WIREs Syst Biol Med 2011 3 471-478 DOI: 10.1002/wsbm.127", "author" : [ { "dropping-particle" : "", "family" : "Neum\u00fcller", "given" : "Ralph a", "non-dropping-particle" : "", "parse-names" : false, "suffix" : "" }, { "dropping-particle" : "", "family" : "Perrimon", "given" : "Norbert", "non-dropping-particle" : "", "parse-names" : false, "suffix" : "" } ], "container-title" : "Wiley interdisciplinary reviews. Systems biology and medicine", "id" : "ITEM-1", "issue" : "4", "issued" : { "date-parts" : [ [ "2011" ] ] }, "page" : "471-8", "title" : "Where gene discovery turns into systems biology: genome-scale RNAi screens in Drosophila.", "type" : "article-journal", "volume" : "3" }, "uris" : [ "http://www.mendeley.com/documents/?uuid=52320da9-b17e-4c3e-bfea-fc1a47261ff6" ] } ], "mendeley" : { "previouslyFormattedCitation" : "(Neum\u00fcller &amp; Perrimon 2011)"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(Neumüller &amp; Perrimon 2011)</w:t>
      </w:r>
      <w:r w:rsidR="009A1FEC" w:rsidRPr="0013327C">
        <w:rPr>
          <w:rFonts w:asciiTheme="majorHAnsi" w:hAnsiTheme="majorHAnsi"/>
        </w:rPr>
        <w:fldChar w:fldCharType="end"/>
      </w:r>
      <w:r w:rsidRPr="0013327C">
        <w:rPr>
          <w:rFonts w:asciiTheme="majorHAnsi" w:hAnsiTheme="majorHAnsi"/>
        </w:rPr>
        <w:t xml:space="preserve">. </w:t>
      </w:r>
    </w:p>
    <w:p w:rsidR="00FD54DA" w:rsidRPr="0013327C" w:rsidRDefault="00FD54DA" w:rsidP="00FD54DA">
      <w:pPr>
        <w:jc w:val="both"/>
        <w:rPr>
          <w:rFonts w:asciiTheme="majorHAnsi" w:hAnsiTheme="majorHAnsi"/>
        </w:rPr>
      </w:pPr>
      <w:r w:rsidRPr="0013327C">
        <w:rPr>
          <w:rFonts w:asciiTheme="majorHAnsi" w:hAnsiTheme="majorHAnsi"/>
        </w:rPr>
        <w:lastRenderedPageBreak/>
        <w:t xml:space="preserve">Drosophila is an exemplary organism for RNAi based screen research. The screening relies on the administration of single reagents into a sample of test cells. With Drosophila cell-lines the ability for soluble RNA to be taken up in growth medium and the absence of viral defence systems such as interferons facilitates the synthesis of </w:t>
      </w:r>
      <w:r w:rsidRPr="0013327C">
        <w:rPr>
          <w:rFonts w:asciiTheme="majorHAnsi" w:hAnsiTheme="majorHAnsi"/>
          <w:i/>
        </w:rPr>
        <w:t>in vitro</w:t>
      </w:r>
      <w:r w:rsidRPr="0013327C">
        <w:rPr>
          <w:rFonts w:asciiTheme="majorHAnsi" w:hAnsiTheme="majorHAnsi"/>
        </w:rPr>
        <w:t xml:space="preserve"> long dsRNA as a reagent for screening. Mammalian responses require the use of siRNAs or small hairpin RNAs (shRNAs) as typical reagents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"10.1146/annurev-biochem-060408-092949", "abstract" : "RNA interference (RNAi) is an effective tool for genome-scale, high-throughput analysis of gene function. In the past five years, a number of genome-scale RNAi high-throughput screens (HTSs) have been done in both Drosophila and mammalian cultured cells to study diverse biological processes, including signal transduction, cancer biology, and host cell responses to infection. Results from these screens have led to the identification of new components of these processes and, importantly, have also provided insights into the complexity of biological systems, forcing new and innovative approaches to understanding functional networks in cells. Here, we review the main findings that have emerged from RNAi HTS and discuss technical issues that remain to be improved, in particular the verification of RNAi results and validation of their biological relevance. Furthermore, we discuss the importance of multiplexed and integrated experimental data analysis pipelines to RNAi HTS.", "author" : [ { "dropping-particle" : "", "family" : "Mohr", "given" : "Stephanie", "non-dropping-particle" : "", "parse-names" : false, "suffix" : "" }, { "dropping-particle" : "", "family" : "Bakal", "given" : "Chris", "non-dropping-particle" : "", "parse-names" : false, "suffix" : "" }, { "dropping-particle" : "", "family" : "Perrimon", "given" : "Norbert", "non-dropping-particle" : "", "parse-names" : false, "suffix" : "" } ], "container-title" : "Annual review of biochemistry", "id" : "ITEM-1", "issued" : { "date-parts" : [ [ "2010", "1" ] ] }, "page" : "37-64", "title" : "Genomic screening with RNAi: results and challenges.", "type" : "article-journal", "volume" : "79" }, "uris" : [ "http://www.mendeley.com/documents/?uuid=63d71647-fa21-448f-98ed-21ca761fe6a1" ] } ], "mendeley" : { "previouslyFormattedCitation" : "(Mohr, Bakal &amp; Perrimon 2010)"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(Mohr, Bakal &amp; Perrimon 2010)</w:t>
      </w:r>
      <w:r w:rsidR="009A1FEC" w:rsidRPr="0013327C">
        <w:rPr>
          <w:rFonts w:asciiTheme="majorHAnsi" w:hAnsiTheme="majorHAnsi"/>
        </w:rPr>
        <w:fldChar w:fldCharType="end"/>
      </w:r>
      <w:r w:rsidRPr="0013327C">
        <w:rPr>
          <w:rFonts w:asciiTheme="majorHAnsi" w:hAnsiTheme="majorHAnsi"/>
        </w:rPr>
        <w:t xml:space="preserve">.  The design of such RNAs is made possible by the efforts of the German Cancer Research Centre (wwe.dkfz.de) whose online tools for designing long dsRNAs and the tools with which to synthesise them make larger-scale approaches to experiment design easier. Evaluation of the reagents is done </w:t>
      </w:r>
      <w:r w:rsidRPr="0013327C">
        <w:rPr>
          <w:rFonts w:asciiTheme="majorHAnsi" w:hAnsiTheme="majorHAnsi"/>
          <w:i/>
        </w:rPr>
        <w:t xml:space="preserve">in </w:t>
      </w:r>
      <w:r w:rsidRPr="00D30D56">
        <w:rPr>
          <w:rFonts w:asciiTheme="majorHAnsi" w:hAnsiTheme="majorHAnsi"/>
          <w:i/>
        </w:rPr>
        <w:t>silico</w:t>
      </w:r>
      <w:r w:rsidRPr="0013327C">
        <w:rPr>
          <w:rFonts w:asciiTheme="majorHAnsi" w:hAnsiTheme="majorHAnsi"/>
        </w:rPr>
        <w:t xml:space="preserve"> and siRNAs are mapped against the </w:t>
      </w:r>
      <w:r w:rsidRPr="0013327C">
        <w:rPr>
          <w:rFonts w:asciiTheme="majorHAnsi" w:hAnsiTheme="majorHAnsi"/>
          <w:i/>
        </w:rPr>
        <w:t xml:space="preserve">D. melanogaster, genome </w:t>
      </w:r>
      <w:r w:rsidRPr="0013327C">
        <w:rPr>
          <w:rFonts w:asciiTheme="majorHAnsi" w:hAnsiTheme="majorHAnsi"/>
        </w:rPr>
        <w:t xml:space="preserve">transcriptome and exon ORFs. Facilities such as this are possibly the fastest growing aspect to RNAi screening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"10.1021/cb100358f.Vigilance", "author" : [ { "dropping-particle" : "", "family" : "Sigoillot", "given" : "Frederic D", "non-dropping-particle" : "", "parse-names" : false, "suffix" : "" }, { "dropping-particle" : "", "family" : "King", "given" : "Randall W", "non-dropping-particle" : "", "parse-names" : false, "suffix" : "" } ], "container-title" : "American Cheical Society: Chemical Biology", "id" : "ITEM-1", "issue" : "1", "issued" : { "date-parts" : [ [ "2011" ] ] }, "page" : "47-60", "title" : "Vigilance and Validation: Keys to Success in RNAi Screening", "type" : "article-journal", "volume" : "6" }, "uris" : [ "http://www.mendeley.com/documents/?uuid=d3979f43-4231-493d-bbb6-b069dc54713d" ] } ], "mendeley" : { "previouslyFormattedCitation" : "(Sigoillot &amp; King 2011)" }, "properties" : { "noteIndex" : 0 }, "schema" : "https://github.com/citation-style-language/schema/raw/master/csl-citation.json" }</w:instrText>
      </w:r>
      <w:r w:rsidR="009A1FEC" w:rsidRPr="0013327C">
        <w:rPr>
          <w:rFonts w:asciiTheme="majorHAnsi" w:hAnsiTheme="majorHAnsi"/>
        </w:rPr>
        <w:fldChar w:fldCharType="separate"/>
      </w:r>
      <w:r w:rsidR="00793533" w:rsidRPr="00793533">
        <w:rPr>
          <w:rFonts w:asciiTheme="majorHAnsi" w:hAnsiTheme="majorHAnsi"/>
          <w:noProof/>
        </w:rPr>
        <w:t>(Sigoillot &amp; King 2011)</w:t>
      </w:r>
      <w:r w:rsidR="009A1FEC" w:rsidRPr="0013327C">
        <w:rPr>
          <w:rFonts w:asciiTheme="majorHAnsi" w:hAnsiTheme="majorHAnsi"/>
        </w:rPr>
        <w:fldChar w:fldCharType="end"/>
      </w:r>
      <w:r w:rsidRPr="0013327C">
        <w:rPr>
          <w:rFonts w:asciiTheme="majorHAnsi" w:hAnsiTheme="majorHAnsi"/>
        </w:rPr>
        <w:t xml:space="preserve">.  </w:t>
      </w:r>
    </w:p>
    <w:p w:rsidR="00FD54DA" w:rsidRPr="0013327C" w:rsidRDefault="00FD54DA" w:rsidP="00FD54DA">
      <w:pPr>
        <w:jc w:val="both"/>
        <w:rPr>
          <w:rFonts w:asciiTheme="majorHAnsi" w:hAnsiTheme="majorHAnsi"/>
        </w:rPr>
      </w:pPr>
      <w:r w:rsidRPr="0013327C">
        <w:rPr>
          <w:rFonts w:asciiTheme="majorHAnsi" w:hAnsiTheme="majorHAnsi"/>
        </w:rPr>
        <w:t xml:space="preserve">The use of </w:t>
      </w:r>
      <w:r w:rsidRPr="0013327C">
        <w:rPr>
          <w:rFonts w:asciiTheme="majorHAnsi" w:hAnsiTheme="majorHAnsi"/>
          <w:i/>
        </w:rPr>
        <w:t>Drosophila</w:t>
      </w:r>
      <w:r w:rsidRPr="0013327C">
        <w:rPr>
          <w:rFonts w:asciiTheme="majorHAnsi" w:hAnsiTheme="majorHAnsi"/>
        </w:rPr>
        <w:t xml:space="preserve"> cell culture permits the implementation of arrayed screening. Each reagent is assigned a designated well of a microtitre plate such as a 384 well plate. Using databases and cataloguing gene locations on probes, referencing each knockdown can be done retrospectively having acquired a list of identifiers.  Miniaturisation means the reduction in cost of basic reagents and also allows “printing” of multiple copies of either specific plates from the desired library or custom designed replica plates for high copy parallel screening (e.g. performing analysis in triplicate). The handling of microtitre plates allows their treatment as a unit in automated processes such as seeding the wells with cells or reagent or applying drug treatments. Automation provides not just a way of saving time but also is a step towards reducing human error.</w:t>
      </w:r>
    </w:p>
    <w:p w:rsidR="00FD54DA" w:rsidRPr="0013327C" w:rsidRDefault="00FD54DA" w:rsidP="00FD54DA">
      <w:pPr>
        <w:jc w:val="both"/>
        <w:rPr>
          <w:rFonts w:asciiTheme="majorHAnsi" w:hAnsiTheme="majorHAnsi"/>
        </w:rPr>
      </w:pPr>
      <w:r w:rsidRPr="0013327C">
        <w:rPr>
          <w:rFonts w:asciiTheme="majorHAnsi" w:hAnsiTheme="majorHAnsi"/>
        </w:rPr>
        <w:t>High-throughput screening requires high-throughput analysis. Recent technological advances include using automated epifluorescence microscopes and luminometry plate readers for fluorescence and luminescence-based screens. With particular attention to fluorescence microscopy, image-based screening has the potential to elucidate data in hundreds of user defined parameters for hundreds or thousands of cells in a single treatment. The sheer volume of data that can be generated across a genome-wide screen requires not just complicated analytical methods but top-end processing hardware that is capable of converting high-resolution images into massive multi-parametric datasets and then calculating with statistical robustness which tests in the experiment have produced phenotypes of interest</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"10.1093/bioinformatics/btr095", "abstract" : "There is a strong and growing need in the biology research community for accurate, automated image analysis. Here, we describe CellProfiler 2.0, which has been engineered to meet the needs of its growing user base. It is more robust and user friendly, with new algorithms and features to facilitate high-throughput work. ImageJ plugins can now be run within a CellProfiler pipeline. AVAILABILITY AND IMPLEMENTATION: CellProfiler 2.0 is free and open source, available at http://www.cellprofiler.org under the GPL v. 2 license. It is available as a packaged application for Macintosh OS X and Microsoft Windows and can be compiled for Linux. CONTACT: anne@broadinstitute.org SUPPLEMENTARY INFORMATION: Supplementary data are available at Bioinformatics online.", "author" : [ { "dropping-particle" : "", "family" : "Kamentsky", "given" : "Lee", "non-dropping-particle" : "", "parse-names" : false, "suffix" : "" }, { "dropping-particle" : "", "family" : "Jones", "given" : "Thouis R", "non-dropping-particle" : "", "parse-names" : false, "suffix" : "" }, { "dropping-particle" : "", "family" : "Fraser", "given" : "Adam", "non-dropping-particle" : "", "parse-names" : false, "suffix" : "" }, { "dropping-particle" : "", "family" : "Bray", "given" : "Mark-Anthony", "non-dropping-particle" : "", "parse-names" : false, "suffix" : "" }, { "dropping-particle" : "", "family" : "Logan", "given" : "David J", "non-dropping-particle" : "", "parse-names" : false, "suffix" : "" }, { "dropping-particle" : "", "family" : "Madden", "given" : "Katherine L", "non-dropping-particle" : "", "parse-names" : false, "suffix" : "" }, { "dropping-particle" : "", "family" : "Ljosa", "given" : "Vebjorn", "non-dropping-particle" : "", "parse-names" : false, "suffix" : "" }, { "dropping-particle" : "", "family" : "Rueden", "given" : "Curtis", "non-dropping-particle" : "", "parse-names" : false, "suffix" : "" }, { "dropping-particle" : "", "family" : "Eliceiri", "given" : "Kevin W", "non-dropping-particle" : "", "parse-names" : false, "suffix" : "" }, { "dropping-particle" : "", "family" : "Carpenter", "given" : "Anne E", "non-dropping-particle" : "", "parse-names" : false, "suffix" : "" } ], "container-title" : "Bioinformatics (Oxford, England)", "id" : "ITEM-1", "issue" : "8", "issued" : { "date-parts" : [ [ "2011", "4", "15" ] ] }, "page" : "1179-80", "title" : "Improved structure, function and compatibility for CellProfiler: modular high-throughput image analysis software.", "type" : "article-journal", "volume" : "27" }, "uris" : [ "http://www.mendeley.com/documents/?uuid=2daf78a1-f140-48e0-8fba-16581bb27aff" ] }, { "id" : "ITEM-2", "itemData" : { "DOI" : "10.1038/NMETH876", "author" : [ { "dropping-particle" : "", "family" : "Neumann", "given" : "Beate", "non-dropping-particle" : "", "parse-names" : false, "suffix" : "" }, { "dropping-particle" : "", "family" : "Held", "given" : "Michael", "non-dropping-particle" : "", "parse-names" : false, "suffix" : "" }, { "dropping-particle" : "", "family" : "Liebel", "given" : "Urban", "non-dropping-particle" : "", "parse-names" : false, "suffix" : "" }, { "dropping-particle" : "", "family" : "Erfle", "given" : "Holger", "non-dropping-particle" : "", "parse-names" : false, "suffix" : "" }, { "dropping-particle" : "", "family" : "Rogers", "given" : "Phill", "non-dropping-particle" : "", "parse-names" : false, "suffix" : "" }, { "dropping-particle" : "", "family" : "Pepperkok", "given" : "Rainer", "non-dropping-particle" : "", "parse-names" : false, "suffix" : "" }, { "dropping-particle" : "", "family" : "Ellenberg", "given" : "Jan", "non-dropping-particle" : "", "parse-names" : false, "suffix" : "" } ], "container-title" : "Nature Methods", "id" : "ITEM-2", "issue" : "5", "issued" : { "date-parts" : [ [ "2006" ] ] }, "page" : "385-390", "title" : "High-throughput RNAi screening by time-lapse imaging of live human cells", "type" : "article-journal", "volume" : "3" }, "uris" : [ "http://www.mendeley.com/documents/?uuid=ff27a172-0187-411d-9960-56842ded5e37" ] } ], "mendeley" : { "manualFormatting" : "(Neumann et al. 2006; Kamentsky et al. 2011)", "previouslyFormattedCitation" : "(Kamentsky et al. 2011; Neumann et al. 2006)"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(Neumann </w:t>
      </w:r>
      <w:r w:rsidR="00466108" w:rsidRPr="00466108">
        <w:rPr>
          <w:rFonts w:asciiTheme="majorHAnsi" w:hAnsiTheme="majorHAnsi"/>
          <w:i/>
          <w:noProof/>
        </w:rPr>
        <w:t>et al</w:t>
      </w:r>
      <w:r w:rsidRPr="0013327C">
        <w:rPr>
          <w:rFonts w:asciiTheme="majorHAnsi" w:hAnsiTheme="majorHAnsi"/>
          <w:noProof/>
        </w:rPr>
        <w:t xml:space="preserve">. 2006; Kamentsky </w:t>
      </w:r>
      <w:r w:rsidR="00466108" w:rsidRPr="00466108">
        <w:rPr>
          <w:rFonts w:asciiTheme="majorHAnsi" w:hAnsiTheme="majorHAnsi"/>
          <w:i/>
          <w:noProof/>
        </w:rPr>
        <w:t>et al</w:t>
      </w:r>
      <w:r w:rsidRPr="0013327C">
        <w:rPr>
          <w:rFonts w:asciiTheme="majorHAnsi" w:hAnsiTheme="majorHAnsi"/>
          <w:noProof/>
        </w:rPr>
        <w:t>. 2011)</w:t>
      </w:r>
      <w:r w:rsidR="009A1FEC" w:rsidRPr="0013327C">
        <w:rPr>
          <w:rFonts w:asciiTheme="majorHAnsi" w:hAnsiTheme="majorHAnsi"/>
        </w:rPr>
        <w:fldChar w:fldCharType="end"/>
      </w:r>
      <w:r w:rsidRPr="0013327C">
        <w:rPr>
          <w:rFonts w:asciiTheme="majorHAnsi" w:hAnsiTheme="majorHAnsi"/>
        </w:rPr>
        <w:t xml:space="preserve">. Standardised methods of automated visual phenotype determination are among the current projects at the cutting edge of bioinformatic </w:t>
      </w:r>
      <w:r w:rsidRPr="0013327C">
        <w:rPr>
          <w:rFonts w:asciiTheme="majorHAnsi" w:hAnsiTheme="majorHAnsi"/>
        </w:rPr>
        <w:lastRenderedPageBreak/>
        <w:t xml:space="preserve">analyses which are of interest to image-based screening departments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"Held", "given" : "Michael", "non-dropping-particle" : "", "parse-names" : false, "suffix" : "" }, { "dropping-particle" : "", "family" : "Schmitz", "given" : "Michael H A", "non-dropping-particle" : "", "parse-names" : false, "suffix" : "" }, { "dropping-particle" : "", "family" : "Fischer", "given" : "Bernd", "non-dropping-particle" : "", "parse-names" : false, "suffix" : "" }, { "dropping-particle" : "", "family" : "Walter", "given" : "Thomas", "non-dropping-particle" : "", "parse-names" : false, "suffix" : "" }, { "dropping-particle" : "", "family" : "Neumann", "given" : "Beate", "non-dropping-particle" : "", "parse-names" : false, "suffix" : "" }, { "dropping-particle" : "", "family" : "Olma", "given" : "Michael H", "non-dropping-particle" : "", "parse-names" : false, "suffix" : "" }, { "dropping-particle" : "", "family" : "Peter", "given" : "Matthias", "non-dropping-particle" : "", "parse-names" : false, "suffix" : "" }, { "dropping-particle" : "", "family" : "Ellenberg", "given" : "Jan", "non-dropping-particle" : "", "parse-names" : false, "suffix" : "" }, { "dropping-particle" : "", "family" : "Gerlich", "given" : "Daniel W", "non-dropping-particle" : "", "parse-names" : false, "suffix" : "" } ], "container-title" : "Nature Methods", "id" : "ITEM-1", "issued" : { "date-parts" : [ [ "2010" ] ] }, "page" : "745-54", "title" : "Cellcognition: time-resolved phenotype annotation in high-throughput live cell imaging", "type" : "article-journal", "volume" : "7" }, "uris" : [ "http://www.mendeley.com/documents/?uuid=5f0556d4-81d0-4e84-949f-c35246b7368a" ] }, { "id" : "ITEM-2", "itemData" : { "DOI" : "10.1002/cyto.a.20933.Communicating", "author" : [ { "dropping-particle" : "", "family" : "Murphy", "given" : "Robert F", "non-dropping-particle" : "", "parse-names" : false, "suffix" : "" } ], "container-title" : "NIH Public Access", "id" : "ITEM-2", "issue" : "7", "issued" : { "date-parts" : [ [ "2011" ] ] }, "page" : "686-692", "title" : "Communicating Subcellular Distributions", "type" : "article-journal", "volume" : "77" }, "uris" : [ "http://www.mendeley.com/documents/?uuid=d9467e2f-3622-4dbd-8f7c-e76ada2e7949" ] } ], "mendeley" : { "previouslyFormattedCitation" : "(Held et al. 2010; Murphy 2011)"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(Held </w:t>
      </w:r>
      <w:r w:rsidR="00466108" w:rsidRPr="00466108">
        <w:rPr>
          <w:rFonts w:asciiTheme="majorHAnsi" w:hAnsiTheme="majorHAnsi"/>
          <w:i/>
          <w:noProof/>
        </w:rPr>
        <w:t>et al</w:t>
      </w:r>
      <w:r w:rsidRPr="0013327C">
        <w:rPr>
          <w:rFonts w:asciiTheme="majorHAnsi" w:hAnsiTheme="majorHAnsi"/>
          <w:noProof/>
        </w:rPr>
        <w:t>. 2010; Murphy 2011)</w:t>
      </w:r>
      <w:r w:rsidR="009A1FEC" w:rsidRPr="0013327C">
        <w:rPr>
          <w:rFonts w:asciiTheme="majorHAnsi" w:hAnsiTheme="majorHAnsi"/>
        </w:rPr>
        <w:fldChar w:fldCharType="end"/>
      </w:r>
      <w:r w:rsidRPr="0013327C">
        <w:rPr>
          <w:rFonts w:asciiTheme="majorHAnsi" w:hAnsiTheme="majorHAnsi"/>
        </w:rPr>
        <w:t xml:space="preserve">. </w:t>
      </w:r>
    </w:p>
    <w:p w:rsidR="00FD54DA" w:rsidRPr="0013327C" w:rsidRDefault="00FD54DA" w:rsidP="00FD54DA">
      <w:pPr>
        <w:pStyle w:val="Heading3"/>
        <w:jc w:val="both"/>
      </w:pPr>
      <w:bookmarkStart w:id="39" w:name="_Toc348423296"/>
      <w:proofErr w:type="gramStart"/>
      <w:r w:rsidRPr="0013327C">
        <w:t xml:space="preserve">A rationale for screening the </w:t>
      </w:r>
      <w:r w:rsidRPr="00D30D56">
        <w:rPr>
          <w:i/>
        </w:rPr>
        <w:t>D. melanogaster</w:t>
      </w:r>
      <w:r w:rsidRPr="0013327C">
        <w:t xml:space="preserve"> genome for peroxins.</w:t>
      </w:r>
      <w:bookmarkEnd w:id="39"/>
      <w:proofErr w:type="gramEnd"/>
    </w:p>
    <w:p w:rsidR="00FD54DA" w:rsidRPr="0013327C" w:rsidRDefault="00FD54DA" w:rsidP="00FD54DA">
      <w:pPr>
        <w:jc w:val="both"/>
        <w:rPr>
          <w:rFonts w:asciiTheme="majorHAnsi" w:hAnsiTheme="majorHAnsi"/>
        </w:rPr>
      </w:pPr>
      <w:r w:rsidRPr="0013327C">
        <w:rPr>
          <w:rFonts w:asciiTheme="majorHAnsi" w:hAnsiTheme="majorHAnsi"/>
          <w:i/>
        </w:rPr>
        <w:t>D. melanogaster</w:t>
      </w:r>
      <w:r w:rsidRPr="0013327C">
        <w:rPr>
          <w:rFonts w:asciiTheme="majorHAnsi" w:hAnsiTheme="majorHAnsi"/>
        </w:rPr>
        <w:t xml:space="preserve"> is an organism for which peroxin study is in its relative infancy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"10.1111/j.1600-0854.2012.01393.x", "abstract" : "Peroxisomes are ubiquitous organelles housing a variety of essential biochemical pathways. Peroxisome dysfunction causes a spectrum of human diseases known as peroxisome biogenesis disorders (PBD). Although much is known regarding the mechanism of peroxisome biogenesis, it is still unclear how peroxisome dysfunction leads to the disease state. Several recent studies have shown that mutations in Drosophila peroxin genes cause phenotypes similar to those seen in humans with PBDs suggesting that Drosophila might be a useful system to model PBDs. We have analyzed the proteome of Drosophila to identify the proteins involved in peroxisomal biogenesis and homeostasis as well as metabolic enzymes that function within the organelle. The subcellular localization of five of these predicted peroxisomal proteins was confirmed. Similar to Caenorhabditis elegans, Drosophila appears to only utilize the peroxisome targeting signal type 1 system for matrix protein import. This work will further our understanding of peroxisomes in Drosophila and add to the usefulness of this emerging model system.", "author" : [ { "dropping-particle" : "", "family" : "Faust", "given" : "Joseph E", "non-dropping-particle" : "", "parse-names" : false, "suffix" : "" }, { "dropping-particle" : "", "family" : "Verma", "given" : "Avani", "non-dropping-particle" : "", "parse-names" : false, "suffix" : "" }, { "dropping-particle" : "", "family" : "Peng", "given" : "Chengwei", "non-dropping-particle" : "", "parse-names" : false, "suffix" : "" }, { "dropping-particle" : "", "family" : "McNew", "given" : "James a", "non-dropping-particle" : "", "parse-names" : false, "suffix" : "" } ], "container-title" : "Traffic (Copenhagen, Denmark)", "id" : "ITEM-1", "issue" : "10", "issued" : { "date-parts" : [ [ "2012", "7", "3" ] ] }, "page" : "1378-92", "title" : "An Inventory of Peroxisomal Proteins and Pathways in Drosophila melanogaster.", "type" : "article-journal", "volume" : "13" }, "uris" : [ "http://www.mendeley.com/documents/?uuid=b70c11e7-a69f-420e-8ee1-35fcdb8d0a7e" ] } ], "mendeley" : { "previouslyFormattedCitation" : "(Faust et al. 2012)"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(Faust </w:t>
      </w:r>
      <w:r w:rsidR="00466108" w:rsidRPr="00466108">
        <w:rPr>
          <w:rFonts w:asciiTheme="majorHAnsi" w:hAnsiTheme="majorHAnsi"/>
          <w:i/>
          <w:noProof/>
        </w:rPr>
        <w:t>et al</w:t>
      </w:r>
      <w:r w:rsidRPr="0013327C">
        <w:rPr>
          <w:rFonts w:asciiTheme="majorHAnsi" w:hAnsiTheme="majorHAnsi"/>
          <w:noProof/>
        </w:rPr>
        <w:t>. 2012)</w:t>
      </w:r>
      <w:r w:rsidR="009A1FEC" w:rsidRPr="0013327C">
        <w:rPr>
          <w:rFonts w:asciiTheme="majorHAnsi" w:hAnsiTheme="majorHAnsi"/>
        </w:rPr>
        <w:fldChar w:fldCharType="end"/>
      </w:r>
      <w:r w:rsidRPr="0013327C">
        <w:rPr>
          <w:rFonts w:asciiTheme="majorHAnsi" w:hAnsiTheme="majorHAnsi"/>
        </w:rPr>
        <w:t xml:space="preserve">. Of the 30 peroxins identified in </w:t>
      </w:r>
      <w:r w:rsidRPr="0013327C">
        <w:rPr>
          <w:rFonts w:asciiTheme="majorHAnsi" w:hAnsiTheme="majorHAnsi"/>
          <w:i/>
        </w:rPr>
        <w:t>S. cerevisiae</w:t>
      </w:r>
      <w:r w:rsidRPr="0013327C">
        <w:rPr>
          <w:rFonts w:asciiTheme="majorHAnsi" w:hAnsiTheme="majorHAnsi"/>
        </w:rPr>
        <w:t xml:space="preserve"> and the three additional ones found in </w:t>
      </w:r>
      <w:r w:rsidRPr="0013327C">
        <w:rPr>
          <w:rFonts w:asciiTheme="majorHAnsi" w:hAnsiTheme="majorHAnsi"/>
          <w:i/>
        </w:rPr>
        <w:t>H. sapiens</w:t>
      </w:r>
      <w:r w:rsidRPr="0013327C">
        <w:rPr>
          <w:rFonts w:asciiTheme="majorHAnsi" w:hAnsiTheme="majorHAnsi"/>
        </w:rPr>
        <w:t xml:space="preserve">, only 17 have recognisable homologues in D. melanogaster. Further homology database searches could not yield reliable candidates. It is expected that the </w:t>
      </w:r>
      <w:r w:rsidRPr="0013327C">
        <w:rPr>
          <w:rFonts w:asciiTheme="majorHAnsi" w:hAnsiTheme="majorHAnsi"/>
          <w:i/>
        </w:rPr>
        <w:t>D. melanogaster</w:t>
      </w:r>
      <w:r w:rsidRPr="0013327C">
        <w:rPr>
          <w:rFonts w:asciiTheme="majorHAnsi" w:hAnsiTheme="majorHAnsi"/>
        </w:rPr>
        <w:t xml:space="preserve"> family of peroxins would exceed this number if it were to be entirely discovered. Families of conserved related genes tend to increase in size through evolution as proteins become individually more specialised in function. A good example of this is the Rab GTPase family where 11 members are known in </w:t>
      </w:r>
      <w:r w:rsidRPr="0013327C">
        <w:rPr>
          <w:rFonts w:asciiTheme="majorHAnsi" w:hAnsiTheme="majorHAnsi"/>
          <w:i/>
        </w:rPr>
        <w:t>S. cerevisiae</w:t>
      </w:r>
      <w:r w:rsidRPr="0013327C">
        <w:rPr>
          <w:rFonts w:asciiTheme="majorHAnsi" w:hAnsiTheme="majorHAnsi"/>
        </w:rPr>
        <w:t xml:space="preserve">, 29 in </w:t>
      </w:r>
      <w:r w:rsidRPr="0013327C">
        <w:rPr>
          <w:rFonts w:asciiTheme="majorHAnsi" w:hAnsiTheme="majorHAnsi"/>
          <w:i/>
        </w:rPr>
        <w:t>C. elegans</w:t>
      </w:r>
      <w:r w:rsidRPr="0013327C">
        <w:rPr>
          <w:rFonts w:asciiTheme="majorHAnsi" w:hAnsiTheme="majorHAnsi"/>
        </w:rPr>
        <w:t xml:space="preserve">, 26 in </w:t>
      </w:r>
      <w:r w:rsidRPr="0013327C">
        <w:rPr>
          <w:rFonts w:asciiTheme="majorHAnsi" w:hAnsiTheme="majorHAnsi"/>
          <w:i/>
        </w:rPr>
        <w:t>D. melanogaster</w:t>
      </w:r>
      <w:r w:rsidRPr="0013327C">
        <w:rPr>
          <w:rFonts w:asciiTheme="majorHAnsi" w:hAnsiTheme="majorHAnsi"/>
        </w:rPr>
        <w:t xml:space="preserve"> and at least 60 in </w:t>
      </w:r>
      <w:r w:rsidRPr="0013327C">
        <w:rPr>
          <w:rFonts w:asciiTheme="majorHAnsi" w:hAnsiTheme="majorHAnsi"/>
          <w:i/>
        </w:rPr>
        <w:t>H. sapiens</w:t>
      </w:r>
      <w:r w:rsidRPr="0013327C">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"Stenmark", "given" : "Harald", "non-dropping-particle" : "", "parse-names" : false, "suffix" : "" }, { "dropping-particle" : "", "family" : "Olkkonen", "given" : "Vesa M", "non-dropping-particle" : "", "parse-names" : false, "suffix" : "" } ], "container-title" : "Genome Biology", "id" : "ITEM-1", "issue" : "5", "issued" : { "date-parts" : [ [ "2001" ] ] }, "page" : "1-7", "title" : "Protein family review The Rab GTPase family", "type" : "article-journal", "volume" : "2" }, "uris" : [ "http://www.mendeley.com/documents/?uuid=1bea7a30-9336-4243-80a0-65d38bab6abc" ] } ], "mendeley" : { "previouslyFormattedCitation" : "(Stenmark &amp; Olkkonen 2001)"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(Stenmark &amp; Olkkonen 2001)</w:t>
      </w:r>
      <w:r w:rsidR="009A1FEC" w:rsidRPr="0013327C">
        <w:rPr>
          <w:rFonts w:asciiTheme="majorHAnsi" w:hAnsiTheme="majorHAnsi"/>
        </w:rPr>
        <w:fldChar w:fldCharType="end"/>
      </w:r>
      <w:r w:rsidRPr="0013327C">
        <w:rPr>
          <w:rFonts w:asciiTheme="majorHAnsi" w:hAnsiTheme="majorHAnsi"/>
        </w:rPr>
        <w:t xml:space="preserve">. With this in mind, research into peroxisome biogenesis could benefit massively if a significant portion of the unknown peroxins was </w:t>
      </w:r>
      <w:proofErr w:type="gramStart"/>
      <w:r w:rsidRPr="0013327C">
        <w:rPr>
          <w:rFonts w:asciiTheme="majorHAnsi" w:hAnsiTheme="majorHAnsi"/>
        </w:rPr>
        <w:t>to</w:t>
      </w:r>
      <w:proofErr w:type="gramEnd"/>
      <w:r w:rsidRPr="0013327C">
        <w:rPr>
          <w:rFonts w:asciiTheme="majorHAnsi" w:hAnsiTheme="majorHAnsi"/>
        </w:rPr>
        <w:t xml:space="preserve"> suddenly to be discovered. </w:t>
      </w:r>
    </w:p>
    <w:p w:rsidR="00FD54DA" w:rsidRPr="0013327C" w:rsidRDefault="00FD54DA" w:rsidP="00FD54DA">
      <w:pPr>
        <w:jc w:val="both"/>
        <w:rPr>
          <w:rFonts w:asciiTheme="majorHAnsi" w:hAnsiTheme="majorHAnsi"/>
        </w:rPr>
      </w:pPr>
      <w:r w:rsidRPr="0013327C">
        <w:rPr>
          <w:rFonts w:asciiTheme="majorHAnsi" w:hAnsiTheme="majorHAnsi"/>
        </w:rPr>
        <w:t xml:space="preserve">More importantly, D. melanogaster is a species of animal for which research using RNAi as a screening technique is not only relatively easy but favoured over mammalian methodologies. The smaller pools of known peroxins and associated genes in higher organisms puts </w:t>
      </w:r>
      <w:r w:rsidRPr="0013327C">
        <w:rPr>
          <w:rFonts w:asciiTheme="majorHAnsi" w:hAnsiTheme="majorHAnsi"/>
          <w:i/>
        </w:rPr>
        <w:t>D. melanogaster</w:t>
      </w:r>
      <w:r w:rsidRPr="0013327C">
        <w:rPr>
          <w:rFonts w:asciiTheme="majorHAnsi" w:hAnsiTheme="majorHAnsi"/>
        </w:rPr>
        <w:t xml:space="preserve"> research in an ideal situation for discovery of what could potentially be a large haul of genes which would otherwise go unnoticed. There could be consequences for a leap forward in comparative research in other metazoan or mammalian species, particularly humans. The implication that human patients with ZS clinical presentations that have unknown genotypes could benefit from a genetic based approach to treatment is also a consideration.</w:t>
      </w:r>
    </w:p>
    <w:p w:rsidR="00FD54DA" w:rsidRPr="0013327C" w:rsidRDefault="00FD54DA" w:rsidP="00FD54DA">
      <w:pPr>
        <w:jc w:val="both"/>
        <w:rPr>
          <w:rFonts w:asciiTheme="majorHAnsi" w:hAnsiTheme="majorHAnsi"/>
        </w:rPr>
      </w:pPr>
      <w:r w:rsidRPr="0013327C">
        <w:rPr>
          <w:rFonts w:asciiTheme="majorHAnsi" w:hAnsiTheme="majorHAnsi"/>
        </w:rPr>
        <w:t xml:space="preserve">The Sheffield RNAi Screening Facility (SRSF) at the Department of Biomedical Sciences, University of Sheffield was newly inaugurated at the commencement of this project. It is a state of the art automated screening facility specialising in the use of high-throughput screening of the </w:t>
      </w:r>
      <w:r w:rsidRPr="0013327C">
        <w:rPr>
          <w:rFonts w:asciiTheme="majorHAnsi" w:hAnsiTheme="majorHAnsi"/>
          <w:i/>
        </w:rPr>
        <w:t>D. melanogaster</w:t>
      </w:r>
      <w:r w:rsidRPr="0013327C">
        <w:rPr>
          <w:rFonts w:asciiTheme="majorHAnsi" w:hAnsiTheme="majorHAnsi"/>
        </w:rPr>
        <w:t xml:space="preserve"> genome. Two main methods of screening are employed there, luminescence screening and fluorescence-capable microscopy screening. Both methods use the same Heidelberg-2 “library”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"10.1186/gb-2010-11-6-r61", "abstract" : "RNA interference (RNAi) screens have enabled the systematic analysis of many biological processes in cultured cells and whole organisms. The success of such screens and the interpretation of the data depend on the stringent design of RNAi libraries. We describe and validate NEXT-RNAi, a software for the automated design and evaluation of RNAi sequences on a genome-wide scale. NEXT-RNAi is implemented as open-source software and is accessible at http://www.nextrnai.org/.", "author" : [ { "dropping-particle" : "", "family" : "Horn", "given" : "Thomas", "non-dropping-particle" : "", "parse-names" : false, "suffix" : "" }, { "dropping-particle" : "", "family" : "Sandmann", "given" : "Thomas", "non-dropping-particle" : "", "parse-names" : false, "suffix" : "" }, { "dropping-particle" : "", "family" : "Boutros", "given" : "Michael", "non-dropping-particle" : "", "parse-names" : false, "suffix" : "" } ], "container-title" : "Genome biology", "id" : "ITEM-1", "issue" : "6", "issued" : { "date-parts" : [ [ "2010", "1" ] ] }, "page" : "R61", "title" : "Design and evaluation of genome-wide libraries for RNA interference screens.", "type" : "article-journal", "volume" : "11" }, "uris" : [ "http://www.mendeley.com/documents/?uuid=f88fb3eb-554a-4390-af61-660c91a33898" ] } ], "mendeley" : { "previouslyFormattedCitation" : "(Horn, Sandmann &amp; Boutros 2010)"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(Horn, Sandmann &amp; Boutros 2010)</w:t>
      </w:r>
      <w:r w:rsidR="009A1FEC" w:rsidRPr="0013327C">
        <w:rPr>
          <w:rFonts w:asciiTheme="majorHAnsi" w:hAnsiTheme="majorHAnsi"/>
        </w:rPr>
        <w:fldChar w:fldCharType="end"/>
      </w:r>
      <w:r w:rsidRPr="0013327C">
        <w:rPr>
          <w:rFonts w:asciiTheme="majorHAnsi" w:hAnsiTheme="majorHAnsi"/>
        </w:rPr>
        <w:t>, a collection of long dsRNAs targeting the D. melanogaster transcriptome. The library consists of a total of 19708 reagents (long dsRNAs) which the SRSF have compiled into a battery of 53 384-well microtitre</w:t>
      </w:r>
      <w:r>
        <w:rPr>
          <w:rFonts w:asciiTheme="majorHAnsi" w:hAnsiTheme="majorHAnsi"/>
        </w:rPr>
        <w:t xml:space="preserve"> </w:t>
      </w:r>
      <w:r w:rsidRPr="0013327C">
        <w:rPr>
          <w:rFonts w:asciiTheme="majorHAnsi" w:hAnsiTheme="majorHAnsi"/>
        </w:rPr>
        <w:t xml:space="preserve">plates. The facility contains apparatus and reagents for the study and development of an assay that would </w:t>
      </w:r>
      <w:r w:rsidRPr="0013327C">
        <w:rPr>
          <w:rFonts w:asciiTheme="majorHAnsi" w:hAnsiTheme="majorHAnsi"/>
        </w:rPr>
        <w:lastRenderedPageBreak/>
        <w:t xml:space="preserve">eventually be used to screen the library for genes whose RNAi-induced gene silencing would produce useful phenotypes. The apparatus includes equipment that handles microvolumes and is capable of treating microtitre plates in a reproducible manner. An automated epifluorescence microscope can be used to image the 20,352 wells of the library and advanced software is able to process this in a user-generated series of analytical algorithms. Statistical software is used to determine which gene KDs </w:t>
      </w:r>
      <w:proofErr w:type="gramStart"/>
      <w:r w:rsidRPr="0013327C">
        <w:rPr>
          <w:rFonts w:asciiTheme="majorHAnsi" w:hAnsiTheme="majorHAnsi"/>
        </w:rPr>
        <w:t>are to be</w:t>
      </w:r>
      <w:r>
        <w:rPr>
          <w:rFonts w:asciiTheme="majorHAnsi" w:hAnsiTheme="majorHAnsi"/>
        </w:rPr>
        <w:t>come</w:t>
      </w:r>
      <w:r w:rsidRPr="0013327C">
        <w:rPr>
          <w:rFonts w:asciiTheme="majorHAnsi" w:hAnsiTheme="majorHAnsi"/>
        </w:rPr>
        <w:t xml:space="preserve"> the focus</w:t>
      </w:r>
      <w:proofErr w:type="gramEnd"/>
      <w:r w:rsidRPr="0013327C">
        <w:rPr>
          <w:rFonts w:asciiTheme="majorHAnsi" w:hAnsiTheme="majorHAnsi"/>
        </w:rPr>
        <w:t xml:space="preserve"> of subsequent research.</w:t>
      </w:r>
    </w:p>
    <w:p w:rsidR="00FD54DA" w:rsidRPr="0013327C" w:rsidRDefault="00FD54DA" w:rsidP="00FD54DA">
      <w:pPr>
        <w:pStyle w:val="Heading2"/>
        <w:jc w:val="both"/>
      </w:pPr>
      <w:bookmarkStart w:id="40" w:name="_Toc348423297"/>
      <w:r w:rsidRPr="0013327C">
        <w:t>Aims</w:t>
      </w:r>
      <w:bookmarkEnd w:id="40"/>
    </w:p>
    <w:p w:rsidR="00FD54DA" w:rsidRPr="0013327C" w:rsidRDefault="00FD54DA" w:rsidP="00FD54DA">
      <w:pPr>
        <w:jc w:val="both"/>
        <w:rPr>
          <w:rFonts w:asciiTheme="majorHAnsi" w:hAnsiTheme="majorHAnsi"/>
        </w:rPr>
      </w:pPr>
      <w:r w:rsidRPr="0013327C">
        <w:rPr>
          <w:rFonts w:asciiTheme="majorHAnsi" w:hAnsiTheme="majorHAnsi"/>
        </w:rPr>
        <w:t xml:space="preserve">As this project commenced only 17 members of the peroxins and genes associated with peroxisomal biogenesis, multiplication, inheritance and protein import could be found after an extensive search of literature and online database sources. The Sheffield RNAi Screening Facility provides a means for an unbiased genome-wide screen in an animal genome that has the potential for discovery of novel genes in </w:t>
      </w:r>
      <w:r w:rsidRPr="0013327C">
        <w:rPr>
          <w:rFonts w:asciiTheme="majorHAnsi" w:hAnsiTheme="majorHAnsi"/>
          <w:i/>
        </w:rPr>
        <w:t>Drosophila melanogaster</w:t>
      </w:r>
      <w:r w:rsidRPr="0013327C">
        <w:rPr>
          <w:rFonts w:asciiTheme="majorHAnsi" w:hAnsiTheme="majorHAnsi"/>
        </w:rPr>
        <w:t>. This project intends to establish a working metazoan paradigm for further peroxisomal research in animals, mammals and humans.</w:t>
      </w:r>
    </w:p>
    <w:p w:rsidR="00FD54DA" w:rsidRPr="0013327C" w:rsidRDefault="00FD54DA" w:rsidP="00FD54DA">
      <w:pPr>
        <w:pStyle w:val="ListParagraph"/>
        <w:numPr>
          <w:ilvl w:val="0"/>
          <w:numId w:val="4"/>
        </w:numPr>
        <w:jc w:val="both"/>
        <w:rPr>
          <w:rFonts w:asciiTheme="majorHAnsi" w:hAnsiTheme="majorHAnsi"/>
        </w:rPr>
      </w:pPr>
      <w:r w:rsidRPr="0013327C">
        <w:rPr>
          <w:rFonts w:asciiTheme="majorHAnsi" w:hAnsiTheme="majorHAnsi"/>
        </w:rPr>
        <w:t xml:space="preserve">A functional </w:t>
      </w:r>
      <w:r w:rsidRPr="0013327C">
        <w:rPr>
          <w:rFonts w:asciiTheme="majorHAnsi" w:hAnsiTheme="majorHAnsi"/>
          <w:i/>
        </w:rPr>
        <w:t>in vitro</w:t>
      </w:r>
      <w:r w:rsidRPr="0013327C">
        <w:rPr>
          <w:rFonts w:asciiTheme="majorHAnsi" w:hAnsiTheme="majorHAnsi"/>
        </w:rPr>
        <w:t xml:space="preserve"> assay is required for expression of a fluorescent peroxisomal marker in a Drosophila melanogaster cell-line that can report knockdowns of known peroxins and present recognisable </w:t>
      </w:r>
      <w:r w:rsidRPr="000C26B2">
        <w:rPr>
          <w:rFonts w:asciiTheme="majorHAnsi" w:hAnsiTheme="majorHAnsi"/>
          <w:i/>
        </w:rPr>
        <w:t>PEX</w:t>
      </w:r>
      <w:r w:rsidRPr="0013327C">
        <w:rPr>
          <w:rFonts w:asciiTheme="majorHAnsi" w:hAnsiTheme="majorHAnsi"/>
        </w:rPr>
        <w:t>-like phenotypes.</w:t>
      </w:r>
    </w:p>
    <w:p w:rsidR="00FD54DA" w:rsidRPr="0013327C" w:rsidRDefault="00FD54DA" w:rsidP="00FD54DA">
      <w:pPr>
        <w:pStyle w:val="ListParagraph"/>
        <w:numPr>
          <w:ilvl w:val="0"/>
          <w:numId w:val="4"/>
        </w:numPr>
        <w:jc w:val="both"/>
        <w:rPr>
          <w:rFonts w:asciiTheme="majorHAnsi" w:hAnsiTheme="majorHAnsi"/>
        </w:rPr>
      </w:pPr>
      <w:r w:rsidRPr="0013327C">
        <w:rPr>
          <w:rFonts w:asciiTheme="majorHAnsi" w:hAnsiTheme="majorHAnsi"/>
        </w:rPr>
        <w:t xml:space="preserve">The assay must be developed for High-throughput screening of a genome-wide RNAi-based screen. When it is imaged and processed by automation, the screen and its analyses must statistically confirm </w:t>
      </w:r>
      <w:r w:rsidRPr="000C26B2">
        <w:rPr>
          <w:rFonts w:asciiTheme="majorHAnsi" w:hAnsiTheme="majorHAnsi"/>
          <w:i/>
        </w:rPr>
        <w:t>PEX</w:t>
      </w:r>
      <w:r w:rsidRPr="0013327C">
        <w:rPr>
          <w:rFonts w:asciiTheme="majorHAnsi" w:hAnsiTheme="majorHAnsi"/>
        </w:rPr>
        <w:t xml:space="preserve"> phenotypes and phenotypes aberrant from wild-type simultaneously.</w:t>
      </w:r>
    </w:p>
    <w:p w:rsidR="00FD54DA" w:rsidRPr="0013327C" w:rsidRDefault="00FD54DA" w:rsidP="00FD54DA">
      <w:pPr>
        <w:pStyle w:val="ListParagraph"/>
        <w:numPr>
          <w:ilvl w:val="0"/>
          <w:numId w:val="4"/>
        </w:numPr>
        <w:jc w:val="both"/>
        <w:rPr>
          <w:rFonts w:asciiTheme="majorHAnsi" w:hAnsiTheme="majorHAnsi"/>
        </w:rPr>
      </w:pPr>
      <w:r w:rsidRPr="0013327C">
        <w:rPr>
          <w:rFonts w:asciiTheme="majorHAnsi" w:hAnsiTheme="majorHAnsi"/>
        </w:rPr>
        <w:t xml:space="preserve">The probes that target genes of statistically significant interest are to be consolidated into replicates of a single microtitre plate to be used in a secondary screen. This secondary screen will be performed in triplicate to confirm with robust statistical analysis the presence of </w:t>
      </w:r>
      <w:r w:rsidRPr="000C26B2">
        <w:rPr>
          <w:rFonts w:asciiTheme="majorHAnsi" w:hAnsiTheme="majorHAnsi"/>
          <w:i/>
        </w:rPr>
        <w:t>PEX</w:t>
      </w:r>
      <w:r w:rsidRPr="0013327C">
        <w:rPr>
          <w:rFonts w:asciiTheme="majorHAnsi" w:hAnsiTheme="majorHAnsi"/>
        </w:rPr>
        <w:t>-like or aberrant phenotypes.</w:t>
      </w:r>
    </w:p>
    <w:p w:rsidR="00FD54DA" w:rsidRPr="0013327C" w:rsidRDefault="00FD54DA" w:rsidP="00FD54DA">
      <w:pPr>
        <w:pStyle w:val="ListParagraph"/>
        <w:numPr>
          <w:ilvl w:val="0"/>
          <w:numId w:val="4"/>
        </w:numPr>
        <w:jc w:val="both"/>
        <w:rPr>
          <w:rFonts w:asciiTheme="majorHAnsi" w:hAnsiTheme="majorHAnsi"/>
        </w:rPr>
      </w:pPr>
      <w:r w:rsidRPr="0013327C">
        <w:rPr>
          <w:rFonts w:asciiTheme="majorHAnsi" w:hAnsiTheme="majorHAnsi"/>
        </w:rPr>
        <w:t>The most promising validated candidates for further research will be chosen for characterisation with the aim of confirming peroxin-like behaviour and interactions and to begin work on mammalian or human orthologues.</w:t>
      </w:r>
    </w:p>
    <w:p w:rsidR="00FD54DA" w:rsidRDefault="00FD54DA" w:rsidP="00FD54DA"/>
    <w:p w:rsidR="00C04DE0" w:rsidRPr="0013327C" w:rsidRDefault="00C04DE0" w:rsidP="00AE0264">
      <w:pPr>
        <w:jc w:val="both"/>
        <w:rPr>
          <w:rFonts w:asciiTheme="majorHAnsi" w:hAnsiTheme="majorHAnsi"/>
        </w:rPr>
      </w:pPr>
    </w:p>
    <w:p w:rsidR="00147748" w:rsidRPr="0013327C" w:rsidRDefault="00147748" w:rsidP="00AE0264">
      <w:pPr>
        <w:pStyle w:val="Heading1"/>
        <w:jc w:val="both"/>
      </w:pPr>
      <w:bookmarkStart w:id="41" w:name="_Toc348423298"/>
      <w:r w:rsidRPr="0013327C">
        <w:lastRenderedPageBreak/>
        <w:t>Materials and methods</w:t>
      </w:r>
      <w:bookmarkEnd w:id="41"/>
    </w:p>
    <w:p w:rsidR="00147748" w:rsidRPr="0013327C" w:rsidRDefault="00147748" w:rsidP="00AE0264">
      <w:pPr>
        <w:pStyle w:val="Heading2"/>
        <w:jc w:val="both"/>
      </w:pPr>
      <w:bookmarkStart w:id="42" w:name="_Toc348423299"/>
      <w:r w:rsidRPr="0013327C">
        <w:t>Chemicals, enzymes and Media</w:t>
      </w:r>
      <w:bookmarkEnd w:id="42"/>
    </w:p>
    <w:p w:rsidR="00147748" w:rsidRPr="0013327C" w:rsidRDefault="00147748" w:rsidP="00AE0264">
      <w:pPr>
        <w:jc w:val="both"/>
        <w:rPr>
          <w:rFonts w:asciiTheme="majorHAnsi" w:hAnsiTheme="majorHAnsi"/>
        </w:rPr>
      </w:pPr>
      <w:r w:rsidRPr="0013327C">
        <w:rPr>
          <w:rFonts w:asciiTheme="majorHAnsi" w:hAnsiTheme="majorHAnsi"/>
        </w:rPr>
        <w:t>Chemicals for all experiments were supplied by Sigma unless otherwise stated in the Methods section.</w:t>
      </w:r>
    </w:p>
    <w:p w:rsidR="00147748" w:rsidRPr="0013327C" w:rsidRDefault="00147748" w:rsidP="00AE0264">
      <w:pPr>
        <w:jc w:val="both"/>
        <w:rPr>
          <w:rFonts w:asciiTheme="majorHAnsi" w:hAnsiTheme="majorHAnsi"/>
        </w:rPr>
      </w:pPr>
      <w:r w:rsidRPr="0013327C">
        <w:rPr>
          <w:rFonts w:asciiTheme="majorHAnsi" w:hAnsiTheme="majorHAnsi"/>
        </w:rPr>
        <w:t xml:space="preserve">Bioline supplied all PCR buffers and DNA polymerases, Ambion supplied the MEGAscript transcription kit. Qiagen supplied all Miniprep, Midiprep, Gel Extraction and Transfection </w:t>
      </w:r>
      <w:r w:rsidR="00F76BAE" w:rsidRPr="0013327C">
        <w:rPr>
          <w:rFonts w:asciiTheme="majorHAnsi" w:hAnsiTheme="majorHAnsi"/>
        </w:rPr>
        <w:t>kits.</w:t>
      </w:r>
      <w:r w:rsidR="00F76BAE">
        <w:rPr>
          <w:rFonts w:asciiTheme="majorHAnsi" w:hAnsiTheme="majorHAnsi"/>
        </w:rPr>
        <w:t xml:space="preserve"> </w:t>
      </w:r>
      <w:r w:rsidR="00F76BAE" w:rsidRPr="0013327C">
        <w:rPr>
          <w:rFonts w:asciiTheme="majorHAnsi" w:hAnsiTheme="majorHAnsi"/>
        </w:rPr>
        <w:t>New</w:t>
      </w:r>
      <w:r w:rsidRPr="0013327C">
        <w:rPr>
          <w:rFonts w:asciiTheme="majorHAnsi" w:hAnsiTheme="majorHAnsi"/>
        </w:rPr>
        <w:t xml:space="preserve"> England Biolabs supplied Enzymes and buffers for restriction. </w:t>
      </w:r>
    </w:p>
    <w:p w:rsidR="00147748" w:rsidRPr="0013327C" w:rsidRDefault="00147748" w:rsidP="00AE0264">
      <w:pPr>
        <w:jc w:val="both"/>
        <w:rPr>
          <w:rFonts w:asciiTheme="majorHAnsi" w:hAnsiTheme="majorHAnsi"/>
        </w:rPr>
      </w:pPr>
      <w:r w:rsidRPr="0013327C">
        <w:rPr>
          <w:rFonts w:asciiTheme="majorHAnsi" w:hAnsiTheme="majorHAnsi"/>
        </w:rPr>
        <w:t xml:space="preserve">Schneider’s growth media for </w:t>
      </w:r>
      <w:r w:rsidRPr="0013327C">
        <w:rPr>
          <w:rFonts w:asciiTheme="majorHAnsi" w:hAnsiTheme="majorHAnsi"/>
          <w:i/>
        </w:rPr>
        <w:t xml:space="preserve">Drosophila melanogaster </w:t>
      </w:r>
      <w:r w:rsidRPr="0013327C">
        <w:rPr>
          <w:rFonts w:asciiTheme="majorHAnsi" w:hAnsiTheme="majorHAnsi"/>
        </w:rPr>
        <w:t>experiments was supplied by Invitrogen as were the penicillin and streptomycin; Sigma supplied foetal calf serum. Bacterial and Yeast growth media reagents were supplied by Difco.</w:t>
      </w:r>
    </w:p>
    <w:p w:rsidR="00147748" w:rsidRPr="0013327C" w:rsidRDefault="00147748" w:rsidP="00AE0264">
      <w:pPr>
        <w:jc w:val="both"/>
        <w:rPr>
          <w:rFonts w:asciiTheme="majorHAnsi" w:hAnsiTheme="majorHAnsi"/>
        </w:rPr>
      </w:pPr>
      <w:r w:rsidRPr="0013327C">
        <w:rPr>
          <w:rFonts w:asciiTheme="majorHAnsi" w:hAnsiTheme="majorHAnsi"/>
        </w:rPr>
        <w:t>Fly-culture plastics were supplied by Nunc unless otherwise stated.</w:t>
      </w:r>
    </w:p>
    <w:p w:rsidR="00147748" w:rsidRPr="0013327C" w:rsidRDefault="00147748" w:rsidP="00AE0264">
      <w:pPr>
        <w:jc w:val="both"/>
        <w:rPr>
          <w:rFonts w:asciiTheme="majorHAnsi" w:hAnsiTheme="majorHAnsi"/>
        </w:rPr>
      </w:pPr>
      <w:r w:rsidRPr="0013327C">
        <w:rPr>
          <w:rFonts w:asciiTheme="majorHAnsi" w:hAnsiTheme="majorHAnsi"/>
        </w:rPr>
        <w:t>The Drosophila Genomic Resource Centre (DGRC) at Indiana University supplied all cDNA clones.</w:t>
      </w:r>
    </w:p>
    <w:p w:rsidR="00147748" w:rsidRPr="0013327C" w:rsidRDefault="00147748" w:rsidP="00AE0264">
      <w:pPr>
        <w:pStyle w:val="Heading2"/>
        <w:jc w:val="both"/>
        <w:rPr>
          <w:sz w:val="22"/>
          <w:szCs w:val="22"/>
        </w:rPr>
      </w:pPr>
      <w:bookmarkStart w:id="43" w:name="_Toc348423300"/>
      <w:r w:rsidRPr="0013327C">
        <w:rPr>
          <w:sz w:val="22"/>
          <w:szCs w:val="22"/>
        </w:rPr>
        <w:t>Strains and Plasmids</w:t>
      </w:r>
      <w:bookmarkEnd w:id="43"/>
    </w:p>
    <w:p w:rsidR="00147748" w:rsidRPr="0013327C" w:rsidRDefault="00147748" w:rsidP="00AE0264">
      <w:pPr>
        <w:pStyle w:val="Heading3"/>
        <w:ind w:left="862"/>
        <w:jc w:val="both"/>
        <w:rPr>
          <w:i/>
        </w:rPr>
      </w:pPr>
      <w:bookmarkStart w:id="44" w:name="_Toc348423301"/>
      <w:r w:rsidRPr="0013327C">
        <w:rPr>
          <w:i/>
        </w:rPr>
        <w:t>Saccharomyces Cerevisiae</w:t>
      </w:r>
      <w:r w:rsidRPr="0013327C">
        <w:t xml:space="preserve"> Strains:</w:t>
      </w:r>
      <w:bookmarkEnd w:id="44"/>
    </w:p>
    <w:tbl>
      <w:tblPr>
        <w:tblStyle w:val="TableGrid"/>
        <w:tblW w:w="0" w:type="auto"/>
        <w:tblLook w:val="00BF"/>
      </w:tblPr>
      <w:tblGrid>
        <w:gridCol w:w="2030"/>
        <w:gridCol w:w="2148"/>
        <w:gridCol w:w="2182"/>
        <w:gridCol w:w="1828"/>
      </w:tblGrid>
      <w:tr w:rsidR="00147748" w:rsidRPr="0013327C" w:rsidTr="00A65642">
        <w:tc>
          <w:tcPr>
            <w:tcW w:w="2030"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Strain</w:t>
            </w:r>
          </w:p>
        </w:tc>
        <w:tc>
          <w:tcPr>
            <w:tcW w:w="2148"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Genotype</w:t>
            </w:r>
          </w:p>
        </w:tc>
        <w:tc>
          <w:tcPr>
            <w:tcW w:w="2182"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Usage</w:t>
            </w:r>
          </w:p>
        </w:tc>
        <w:tc>
          <w:tcPr>
            <w:tcW w:w="1828"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Source</w:t>
            </w:r>
          </w:p>
        </w:tc>
      </w:tr>
      <w:tr w:rsidR="00147748" w:rsidRPr="0013327C" w:rsidTr="00B35682">
        <w:tc>
          <w:tcPr>
            <w:tcW w:w="2030" w:type="dxa"/>
          </w:tcPr>
          <w:p w:rsidR="00147748" w:rsidRPr="0013327C" w:rsidRDefault="00147748" w:rsidP="00AE0264">
            <w:pPr>
              <w:jc w:val="both"/>
              <w:rPr>
                <w:rFonts w:asciiTheme="majorHAnsi" w:hAnsiTheme="majorHAnsi"/>
                <w:i/>
                <w:sz w:val="22"/>
                <w:szCs w:val="22"/>
              </w:rPr>
            </w:pPr>
            <w:r w:rsidRPr="0013327C">
              <w:rPr>
                <w:rFonts w:asciiTheme="majorHAnsi" w:hAnsiTheme="majorHAnsi"/>
                <w:i/>
                <w:sz w:val="22"/>
                <w:szCs w:val="22"/>
              </w:rPr>
              <w:t>Saccharomyces cerevisiae</w:t>
            </w:r>
          </w:p>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t>BY4741</w:t>
            </w:r>
          </w:p>
          <w:p w:rsidR="00147748" w:rsidRPr="0013327C" w:rsidRDefault="00147748" w:rsidP="00AE0264">
            <w:pPr>
              <w:jc w:val="both"/>
              <w:rPr>
                <w:rFonts w:asciiTheme="majorHAnsi" w:hAnsiTheme="majorHAnsi"/>
                <w:sz w:val="22"/>
                <w:szCs w:val="22"/>
              </w:rPr>
            </w:pPr>
          </w:p>
        </w:tc>
        <w:tc>
          <w:tcPr>
            <w:tcW w:w="2148" w:type="dxa"/>
          </w:tcPr>
          <w:p w:rsidR="00147748" w:rsidRPr="0013327C" w:rsidRDefault="00147748" w:rsidP="00AE0264">
            <w:pPr>
              <w:jc w:val="both"/>
              <w:rPr>
                <w:rFonts w:asciiTheme="majorHAnsi" w:hAnsiTheme="majorHAnsi"/>
                <w:sz w:val="22"/>
                <w:szCs w:val="22"/>
                <w:lang w:val="nl-NL"/>
              </w:rPr>
            </w:pPr>
            <w:r w:rsidRPr="0013327C">
              <w:rPr>
                <w:rFonts w:asciiTheme="majorHAnsi" w:hAnsiTheme="majorHAnsi"/>
                <w:i/>
                <w:sz w:val="22"/>
                <w:szCs w:val="22"/>
                <w:lang w:val="nl-NL"/>
              </w:rPr>
              <w:t xml:space="preserve">Mat </w:t>
            </w:r>
            <w:r w:rsidRPr="0013327C">
              <w:rPr>
                <w:rFonts w:asciiTheme="majorHAnsi" w:hAnsiTheme="majorHAnsi"/>
                <w:i/>
                <w:sz w:val="22"/>
                <w:szCs w:val="22"/>
              </w:rPr>
              <w:t>α</w:t>
            </w:r>
            <w:r w:rsidRPr="0013327C">
              <w:rPr>
                <w:rFonts w:asciiTheme="majorHAnsi" w:hAnsiTheme="majorHAnsi"/>
                <w:i/>
                <w:sz w:val="22"/>
                <w:szCs w:val="22"/>
                <w:lang w:val="nl-NL"/>
              </w:rPr>
              <w:t>, his3-</w:t>
            </w:r>
            <w:r w:rsidRPr="0013327C">
              <w:rPr>
                <w:rFonts w:asciiTheme="majorHAnsi" w:hAnsiTheme="majorHAnsi"/>
                <w:i/>
                <w:sz w:val="22"/>
                <w:szCs w:val="22"/>
              </w:rPr>
              <w:sym w:font="Symbol" w:char="F044"/>
            </w:r>
            <w:r w:rsidRPr="0013327C">
              <w:rPr>
                <w:rFonts w:asciiTheme="majorHAnsi" w:hAnsiTheme="majorHAnsi"/>
                <w:i/>
                <w:sz w:val="22"/>
                <w:szCs w:val="22"/>
                <w:lang w:val="nl-NL"/>
              </w:rPr>
              <w:t>1, leu2-</w:t>
            </w:r>
            <w:r w:rsidRPr="0013327C">
              <w:rPr>
                <w:rFonts w:asciiTheme="majorHAnsi" w:hAnsiTheme="majorHAnsi"/>
                <w:i/>
                <w:sz w:val="22"/>
                <w:szCs w:val="22"/>
              </w:rPr>
              <w:sym w:font="Symbol" w:char="F044"/>
            </w:r>
            <w:r w:rsidRPr="0013327C">
              <w:rPr>
                <w:rFonts w:asciiTheme="majorHAnsi" w:hAnsiTheme="majorHAnsi"/>
                <w:i/>
                <w:sz w:val="22"/>
                <w:szCs w:val="22"/>
                <w:lang w:val="nl-NL"/>
              </w:rPr>
              <w:t>0, met15-</w:t>
            </w:r>
            <w:r w:rsidRPr="0013327C">
              <w:rPr>
                <w:rFonts w:asciiTheme="majorHAnsi" w:hAnsiTheme="majorHAnsi"/>
                <w:i/>
                <w:sz w:val="22"/>
                <w:szCs w:val="22"/>
              </w:rPr>
              <w:sym w:font="Symbol" w:char="F044"/>
            </w:r>
            <w:r w:rsidRPr="0013327C">
              <w:rPr>
                <w:rFonts w:asciiTheme="majorHAnsi" w:hAnsiTheme="majorHAnsi"/>
                <w:i/>
                <w:sz w:val="22"/>
                <w:szCs w:val="22"/>
                <w:lang w:val="nl-NL"/>
              </w:rPr>
              <w:t>0, ura3-</w:t>
            </w:r>
            <w:r w:rsidRPr="0013327C">
              <w:rPr>
                <w:rFonts w:asciiTheme="majorHAnsi" w:hAnsiTheme="majorHAnsi"/>
                <w:i/>
                <w:sz w:val="22"/>
                <w:szCs w:val="22"/>
              </w:rPr>
              <w:sym w:font="Symbol" w:char="F044"/>
            </w:r>
            <w:r w:rsidRPr="0013327C">
              <w:rPr>
                <w:rFonts w:asciiTheme="majorHAnsi" w:hAnsiTheme="majorHAnsi"/>
                <w:i/>
                <w:sz w:val="22"/>
                <w:szCs w:val="22"/>
                <w:lang w:val="nl-NL"/>
              </w:rPr>
              <w:t>0</w:t>
            </w:r>
          </w:p>
        </w:tc>
        <w:tc>
          <w:tcPr>
            <w:tcW w:w="2182" w:type="dxa"/>
          </w:tcPr>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t>Cloning constructs and source of gDNA.</w:t>
            </w:r>
          </w:p>
        </w:tc>
        <w:tc>
          <w:tcPr>
            <w:tcW w:w="1828" w:type="dxa"/>
          </w:tcPr>
          <w:p w:rsidR="00147748" w:rsidRPr="0013327C" w:rsidRDefault="00147748" w:rsidP="00FC55B4">
            <w:pPr>
              <w:jc w:val="both"/>
              <w:rPr>
                <w:rFonts w:asciiTheme="majorHAnsi" w:hAnsiTheme="majorHAnsi"/>
                <w:sz w:val="22"/>
                <w:szCs w:val="22"/>
              </w:rPr>
            </w:pPr>
            <w:r w:rsidRPr="0013327C">
              <w:rPr>
                <w:rFonts w:asciiTheme="majorHAnsi" w:hAnsiTheme="majorHAnsi"/>
                <w:sz w:val="22"/>
                <w:szCs w:val="22"/>
              </w:rPr>
              <w:t>EUROSCARF,  Johann Wolfgang Goethe-University, Frankfurt, Germany</w:t>
            </w:r>
          </w:p>
        </w:tc>
      </w:tr>
    </w:tbl>
    <w:p w:rsidR="00147748" w:rsidRPr="0013327C" w:rsidRDefault="00147748" w:rsidP="00AE0264">
      <w:pPr>
        <w:pStyle w:val="Heading3"/>
        <w:ind w:left="862"/>
        <w:jc w:val="both"/>
      </w:pPr>
      <w:bookmarkStart w:id="45" w:name="_Toc348423302"/>
      <w:r w:rsidRPr="0013327C">
        <w:rPr>
          <w:i/>
        </w:rPr>
        <w:t xml:space="preserve">Escherichia coli </w:t>
      </w:r>
      <w:r w:rsidRPr="0013327C">
        <w:t>Strains:</w:t>
      </w:r>
      <w:bookmarkEnd w:id="45"/>
    </w:p>
    <w:tbl>
      <w:tblPr>
        <w:tblStyle w:val="TableGrid"/>
        <w:tblW w:w="0" w:type="auto"/>
        <w:tblLook w:val="00BF"/>
      </w:tblPr>
      <w:tblGrid>
        <w:gridCol w:w="1773"/>
        <w:gridCol w:w="2168"/>
        <w:gridCol w:w="3113"/>
        <w:gridCol w:w="1102"/>
      </w:tblGrid>
      <w:tr w:rsidR="00147748" w:rsidRPr="0013327C" w:rsidTr="00B35682">
        <w:tc>
          <w:tcPr>
            <w:tcW w:w="1773"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Strain</w:t>
            </w:r>
          </w:p>
        </w:tc>
        <w:tc>
          <w:tcPr>
            <w:tcW w:w="2168"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Genotype</w:t>
            </w:r>
          </w:p>
        </w:tc>
        <w:tc>
          <w:tcPr>
            <w:tcW w:w="3113"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Usage</w:t>
            </w:r>
          </w:p>
        </w:tc>
        <w:tc>
          <w:tcPr>
            <w:tcW w:w="1071"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Source</w:t>
            </w:r>
          </w:p>
        </w:tc>
      </w:tr>
      <w:tr w:rsidR="00147748" w:rsidRPr="0013327C" w:rsidTr="00B35682">
        <w:trPr>
          <w:trHeight w:val="1419"/>
        </w:trPr>
        <w:tc>
          <w:tcPr>
            <w:tcW w:w="1773" w:type="dxa"/>
          </w:tcPr>
          <w:p w:rsidR="00147748" w:rsidRPr="0013327C" w:rsidRDefault="00147748" w:rsidP="00AE0264">
            <w:pPr>
              <w:jc w:val="both"/>
              <w:rPr>
                <w:rFonts w:asciiTheme="majorHAnsi" w:hAnsiTheme="majorHAnsi"/>
                <w:sz w:val="22"/>
                <w:szCs w:val="22"/>
              </w:rPr>
            </w:pPr>
            <w:bookmarkStart w:id="46" w:name="OLE_LINK6"/>
            <w:bookmarkStart w:id="47" w:name="OLE_LINK7"/>
            <w:bookmarkStart w:id="48" w:name="OLE_LINK18"/>
            <w:r w:rsidRPr="0013327C">
              <w:rPr>
                <w:rFonts w:asciiTheme="majorHAnsi" w:hAnsiTheme="majorHAnsi"/>
                <w:i/>
                <w:sz w:val="22"/>
                <w:szCs w:val="22"/>
              </w:rPr>
              <w:t>Escherichia coli</w:t>
            </w:r>
          </w:p>
          <w:p w:rsidR="00147748" w:rsidRPr="0013327C" w:rsidRDefault="00147748" w:rsidP="00AE0264">
            <w:pPr>
              <w:jc w:val="both"/>
              <w:rPr>
                <w:rFonts w:asciiTheme="majorHAnsi" w:hAnsiTheme="majorHAnsi"/>
                <w:i/>
                <w:sz w:val="22"/>
                <w:szCs w:val="22"/>
              </w:rPr>
            </w:pPr>
            <w:bookmarkStart w:id="49" w:name="OLE_LINK10"/>
            <w:bookmarkStart w:id="50" w:name="OLE_LINK15"/>
            <w:bookmarkEnd w:id="46"/>
            <w:bookmarkEnd w:id="47"/>
            <w:bookmarkEnd w:id="48"/>
            <w:r w:rsidRPr="0013327C">
              <w:rPr>
                <w:rFonts w:asciiTheme="majorHAnsi" w:hAnsiTheme="majorHAnsi"/>
                <w:sz w:val="22"/>
                <w:szCs w:val="22"/>
              </w:rPr>
              <w:t>DH5</w:t>
            </w:r>
            <w:r w:rsidRPr="0013327C">
              <w:rPr>
                <w:rFonts w:asciiTheme="majorHAnsi" w:hAnsiTheme="majorHAnsi"/>
                <w:i/>
                <w:sz w:val="22"/>
                <w:szCs w:val="22"/>
              </w:rPr>
              <w:t>α</w:t>
            </w:r>
          </w:p>
          <w:bookmarkEnd w:id="49"/>
          <w:bookmarkEnd w:id="50"/>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t>Electroporation competent cells</w:t>
            </w:r>
          </w:p>
        </w:tc>
        <w:tc>
          <w:tcPr>
            <w:tcW w:w="2168" w:type="dxa"/>
          </w:tcPr>
          <w:p w:rsidR="00147748" w:rsidRPr="0013327C" w:rsidRDefault="00147748" w:rsidP="00AE0264">
            <w:pPr>
              <w:jc w:val="both"/>
              <w:rPr>
                <w:rFonts w:asciiTheme="majorHAnsi" w:hAnsiTheme="majorHAnsi"/>
                <w:i/>
                <w:sz w:val="22"/>
                <w:szCs w:val="22"/>
              </w:rPr>
            </w:pPr>
            <w:r w:rsidRPr="0013327C">
              <w:rPr>
                <w:rFonts w:asciiTheme="majorHAnsi" w:hAnsiTheme="majorHAnsi"/>
                <w:i/>
                <w:sz w:val="22"/>
                <w:szCs w:val="22"/>
              </w:rPr>
              <w:t xml:space="preserve">supE44 </w:t>
            </w:r>
            <w:r w:rsidRPr="0013327C">
              <w:rPr>
                <w:rFonts w:asciiTheme="majorHAnsi" w:hAnsiTheme="majorHAnsi"/>
                <w:i/>
                <w:sz w:val="22"/>
                <w:szCs w:val="22"/>
              </w:rPr>
              <w:sym w:font="Symbol" w:char="F044"/>
            </w:r>
            <w:r w:rsidRPr="0013327C">
              <w:rPr>
                <w:rFonts w:asciiTheme="majorHAnsi" w:hAnsiTheme="majorHAnsi"/>
                <w:i/>
                <w:sz w:val="22"/>
                <w:szCs w:val="22"/>
              </w:rPr>
              <w:t>lacU169 (</w:t>
            </w:r>
            <w:r w:rsidRPr="0013327C">
              <w:rPr>
                <w:rFonts w:asciiTheme="majorHAnsi" w:hAnsiTheme="majorHAnsi"/>
                <w:i/>
                <w:sz w:val="22"/>
                <w:szCs w:val="22"/>
              </w:rPr>
              <w:sym w:font="Symbol" w:char="F066"/>
            </w:r>
            <w:r w:rsidRPr="0013327C">
              <w:rPr>
                <w:rFonts w:asciiTheme="majorHAnsi" w:hAnsiTheme="majorHAnsi"/>
                <w:i/>
                <w:sz w:val="22"/>
                <w:szCs w:val="22"/>
              </w:rPr>
              <w:t xml:space="preserve">80 lacZ </w:t>
            </w:r>
            <w:r w:rsidRPr="0013327C">
              <w:rPr>
                <w:rFonts w:asciiTheme="majorHAnsi" w:hAnsiTheme="majorHAnsi"/>
                <w:i/>
                <w:sz w:val="22"/>
                <w:szCs w:val="22"/>
              </w:rPr>
              <w:sym w:font="Symbol" w:char="F044"/>
            </w:r>
            <w:r w:rsidRPr="0013327C">
              <w:rPr>
                <w:rFonts w:asciiTheme="majorHAnsi" w:hAnsiTheme="majorHAnsi"/>
                <w:i/>
                <w:sz w:val="22"/>
                <w:szCs w:val="22"/>
              </w:rPr>
              <w:t xml:space="preserve">M15) hsdR17 recA1 endA1 gyrA96 thi-1 relA1 </w:t>
            </w:r>
          </w:p>
        </w:tc>
        <w:tc>
          <w:tcPr>
            <w:tcW w:w="3113" w:type="dxa"/>
          </w:tcPr>
          <w:p w:rsidR="00147748" w:rsidRPr="0013327C" w:rsidRDefault="00147748" w:rsidP="00AE0264">
            <w:pPr>
              <w:jc w:val="both"/>
              <w:rPr>
                <w:rFonts w:asciiTheme="majorHAnsi" w:hAnsiTheme="majorHAnsi"/>
                <w:i/>
                <w:sz w:val="22"/>
                <w:szCs w:val="22"/>
              </w:rPr>
            </w:pPr>
            <w:r w:rsidRPr="0013327C">
              <w:rPr>
                <w:rFonts w:asciiTheme="majorHAnsi" w:hAnsiTheme="majorHAnsi"/>
                <w:sz w:val="22"/>
                <w:szCs w:val="22"/>
              </w:rPr>
              <w:t>Recovery of plasmid DNA from</w:t>
            </w:r>
            <w:r w:rsidRPr="0013327C">
              <w:rPr>
                <w:rFonts w:asciiTheme="majorHAnsi" w:hAnsiTheme="majorHAnsi"/>
                <w:i/>
                <w:sz w:val="22"/>
                <w:szCs w:val="22"/>
              </w:rPr>
              <w:t xml:space="preserve"> Saccharomyces cerevisiae</w:t>
            </w:r>
          </w:p>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t xml:space="preserve"> </w:t>
            </w:r>
            <w:proofErr w:type="gramStart"/>
            <w:r w:rsidRPr="0013327C">
              <w:rPr>
                <w:rFonts w:asciiTheme="majorHAnsi" w:hAnsiTheme="majorHAnsi"/>
                <w:sz w:val="22"/>
                <w:szCs w:val="22"/>
              </w:rPr>
              <w:t>following</w:t>
            </w:r>
            <w:proofErr w:type="gramEnd"/>
            <w:r w:rsidRPr="0013327C">
              <w:rPr>
                <w:rFonts w:asciiTheme="majorHAnsi" w:hAnsiTheme="majorHAnsi"/>
                <w:sz w:val="22"/>
                <w:szCs w:val="22"/>
              </w:rPr>
              <w:t xml:space="preserve"> </w:t>
            </w:r>
            <w:r w:rsidRPr="0013327C">
              <w:rPr>
                <w:rFonts w:asciiTheme="majorHAnsi" w:hAnsiTheme="majorHAnsi"/>
                <w:i/>
                <w:sz w:val="22"/>
                <w:szCs w:val="22"/>
              </w:rPr>
              <w:t xml:space="preserve">in vivo </w:t>
            </w:r>
            <w:r w:rsidRPr="0013327C">
              <w:rPr>
                <w:rFonts w:asciiTheme="majorHAnsi" w:hAnsiTheme="majorHAnsi"/>
                <w:sz w:val="22"/>
                <w:szCs w:val="22"/>
              </w:rPr>
              <w:t>homologous recombination.</w:t>
            </w:r>
          </w:p>
        </w:tc>
        <w:tc>
          <w:tcPr>
            <w:tcW w:w="1071" w:type="dxa"/>
          </w:tcPr>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t>Hanahan, (1983)</w:t>
            </w:r>
          </w:p>
        </w:tc>
      </w:tr>
      <w:tr w:rsidR="00147748" w:rsidRPr="0013327C" w:rsidTr="00B35682">
        <w:tc>
          <w:tcPr>
            <w:tcW w:w="1773" w:type="dxa"/>
          </w:tcPr>
          <w:p w:rsidR="00147748" w:rsidRPr="0013327C" w:rsidRDefault="00147748" w:rsidP="00AE0264">
            <w:pPr>
              <w:jc w:val="both"/>
              <w:rPr>
                <w:rFonts w:asciiTheme="majorHAnsi" w:hAnsiTheme="majorHAnsi"/>
                <w:sz w:val="22"/>
                <w:szCs w:val="22"/>
              </w:rPr>
            </w:pPr>
            <w:r w:rsidRPr="0013327C">
              <w:rPr>
                <w:rFonts w:asciiTheme="majorHAnsi" w:hAnsiTheme="majorHAnsi"/>
                <w:i/>
                <w:sz w:val="22"/>
                <w:szCs w:val="22"/>
              </w:rPr>
              <w:t>Escherichia coli</w:t>
            </w:r>
          </w:p>
          <w:p w:rsidR="00147748" w:rsidRPr="0013327C" w:rsidRDefault="00147748" w:rsidP="00AE0264">
            <w:pPr>
              <w:jc w:val="both"/>
              <w:rPr>
                <w:rFonts w:asciiTheme="majorHAnsi" w:hAnsiTheme="majorHAnsi"/>
                <w:i/>
                <w:sz w:val="22"/>
                <w:szCs w:val="22"/>
              </w:rPr>
            </w:pPr>
            <w:r w:rsidRPr="0013327C">
              <w:rPr>
                <w:rFonts w:asciiTheme="majorHAnsi" w:hAnsiTheme="majorHAnsi"/>
                <w:sz w:val="22"/>
                <w:szCs w:val="22"/>
              </w:rPr>
              <w:t>DH5</w:t>
            </w:r>
            <w:r w:rsidRPr="0013327C">
              <w:rPr>
                <w:rFonts w:asciiTheme="majorHAnsi" w:hAnsiTheme="majorHAnsi"/>
                <w:i/>
                <w:sz w:val="22"/>
                <w:szCs w:val="22"/>
              </w:rPr>
              <w:t>α</w:t>
            </w:r>
          </w:p>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lastRenderedPageBreak/>
              <w:t>Chemically competent cells</w:t>
            </w:r>
          </w:p>
        </w:tc>
        <w:tc>
          <w:tcPr>
            <w:tcW w:w="2168" w:type="dxa"/>
          </w:tcPr>
          <w:p w:rsidR="00147748" w:rsidRPr="0013327C" w:rsidRDefault="00147748" w:rsidP="00AE0264">
            <w:pPr>
              <w:jc w:val="both"/>
              <w:rPr>
                <w:rFonts w:asciiTheme="majorHAnsi" w:hAnsiTheme="majorHAnsi"/>
                <w:i/>
                <w:sz w:val="22"/>
                <w:szCs w:val="22"/>
              </w:rPr>
            </w:pPr>
            <w:r w:rsidRPr="0013327C">
              <w:rPr>
                <w:rFonts w:asciiTheme="majorHAnsi" w:hAnsiTheme="majorHAnsi"/>
                <w:i/>
                <w:sz w:val="22"/>
                <w:szCs w:val="22"/>
              </w:rPr>
              <w:lastRenderedPageBreak/>
              <w:t xml:space="preserve">supE44 </w:t>
            </w:r>
            <w:r w:rsidRPr="0013327C">
              <w:rPr>
                <w:rFonts w:asciiTheme="majorHAnsi" w:hAnsiTheme="majorHAnsi"/>
                <w:i/>
                <w:sz w:val="22"/>
                <w:szCs w:val="22"/>
              </w:rPr>
              <w:sym w:font="Symbol" w:char="F044"/>
            </w:r>
            <w:r w:rsidRPr="0013327C">
              <w:rPr>
                <w:rFonts w:asciiTheme="majorHAnsi" w:hAnsiTheme="majorHAnsi"/>
                <w:i/>
                <w:sz w:val="22"/>
                <w:szCs w:val="22"/>
              </w:rPr>
              <w:t>lacU169 (</w:t>
            </w:r>
            <w:r w:rsidRPr="0013327C">
              <w:rPr>
                <w:rFonts w:asciiTheme="majorHAnsi" w:hAnsiTheme="majorHAnsi"/>
                <w:i/>
                <w:sz w:val="22"/>
                <w:szCs w:val="22"/>
              </w:rPr>
              <w:sym w:font="Symbol" w:char="F066"/>
            </w:r>
            <w:r w:rsidRPr="0013327C">
              <w:rPr>
                <w:rFonts w:asciiTheme="majorHAnsi" w:hAnsiTheme="majorHAnsi"/>
                <w:i/>
                <w:sz w:val="22"/>
                <w:szCs w:val="22"/>
              </w:rPr>
              <w:t xml:space="preserve">80 lacZ </w:t>
            </w:r>
            <w:r w:rsidRPr="0013327C">
              <w:rPr>
                <w:rFonts w:asciiTheme="majorHAnsi" w:hAnsiTheme="majorHAnsi"/>
                <w:i/>
                <w:sz w:val="22"/>
                <w:szCs w:val="22"/>
              </w:rPr>
              <w:sym w:font="Symbol" w:char="F044"/>
            </w:r>
            <w:r w:rsidRPr="0013327C">
              <w:rPr>
                <w:rFonts w:asciiTheme="majorHAnsi" w:hAnsiTheme="majorHAnsi"/>
                <w:i/>
                <w:sz w:val="22"/>
                <w:szCs w:val="22"/>
              </w:rPr>
              <w:t xml:space="preserve">M15) </w:t>
            </w:r>
            <w:r w:rsidRPr="0013327C">
              <w:rPr>
                <w:rFonts w:asciiTheme="majorHAnsi" w:hAnsiTheme="majorHAnsi"/>
                <w:i/>
                <w:sz w:val="22"/>
                <w:szCs w:val="22"/>
              </w:rPr>
              <w:lastRenderedPageBreak/>
              <w:t xml:space="preserve">hsdR17 recA1 endA1 gyrA96 thi-1 relA1 </w:t>
            </w:r>
          </w:p>
        </w:tc>
        <w:tc>
          <w:tcPr>
            <w:tcW w:w="3113" w:type="dxa"/>
          </w:tcPr>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lastRenderedPageBreak/>
              <w:t xml:space="preserve">Constitutive expression of plasmid DNA for amplification </w:t>
            </w:r>
            <w:r w:rsidRPr="0013327C">
              <w:rPr>
                <w:rFonts w:asciiTheme="majorHAnsi" w:hAnsiTheme="majorHAnsi"/>
                <w:sz w:val="22"/>
                <w:szCs w:val="22"/>
              </w:rPr>
              <w:lastRenderedPageBreak/>
              <w:t xml:space="preserve">of </w:t>
            </w:r>
            <w:r w:rsidRPr="0013327C">
              <w:rPr>
                <w:rFonts w:asciiTheme="majorHAnsi" w:hAnsiTheme="majorHAnsi"/>
                <w:i/>
                <w:sz w:val="22"/>
                <w:szCs w:val="22"/>
              </w:rPr>
              <w:t>Drosophila melanogaster</w:t>
            </w:r>
            <w:r w:rsidRPr="0013327C">
              <w:rPr>
                <w:rFonts w:asciiTheme="majorHAnsi" w:hAnsiTheme="majorHAnsi"/>
                <w:sz w:val="22"/>
                <w:szCs w:val="22"/>
              </w:rPr>
              <w:t xml:space="preserve"> expression vectors or Shuttle Expression Vectors</w:t>
            </w:r>
          </w:p>
        </w:tc>
        <w:tc>
          <w:tcPr>
            <w:tcW w:w="1071" w:type="dxa"/>
          </w:tcPr>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lastRenderedPageBreak/>
              <w:t>Hanahan, (1983)</w:t>
            </w:r>
          </w:p>
        </w:tc>
      </w:tr>
    </w:tbl>
    <w:p w:rsidR="00147748" w:rsidRPr="0013327C" w:rsidRDefault="00147748" w:rsidP="00AE0264">
      <w:pPr>
        <w:pStyle w:val="Heading3"/>
        <w:ind w:left="862"/>
        <w:jc w:val="both"/>
      </w:pPr>
      <w:bookmarkStart w:id="51" w:name="_Toc348423303"/>
      <w:r w:rsidRPr="0013327C">
        <w:lastRenderedPageBreak/>
        <w:t>Drosophila melanogaster Strains:</w:t>
      </w:r>
      <w:bookmarkEnd w:id="51"/>
    </w:p>
    <w:tbl>
      <w:tblPr>
        <w:tblStyle w:val="TableGrid"/>
        <w:tblW w:w="0" w:type="auto"/>
        <w:tblLook w:val="00BF"/>
      </w:tblPr>
      <w:tblGrid>
        <w:gridCol w:w="2002"/>
        <w:gridCol w:w="2147"/>
        <w:gridCol w:w="2600"/>
        <w:gridCol w:w="1297"/>
      </w:tblGrid>
      <w:tr w:rsidR="00147748" w:rsidRPr="0013327C" w:rsidTr="00A65642">
        <w:tc>
          <w:tcPr>
            <w:tcW w:w="2002"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Strain</w:t>
            </w:r>
          </w:p>
        </w:tc>
        <w:tc>
          <w:tcPr>
            <w:tcW w:w="2147"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Genotype</w:t>
            </w:r>
          </w:p>
        </w:tc>
        <w:tc>
          <w:tcPr>
            <w:tcW w:w="2600"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Usage</w:t>
            </w:r>
          </w:p>
        </w:tc>
        <w:tc>
          <w:tcPr>
            <w:tcW w:w="1297" w:type="dxa"/>
          </w:tcPr>
          <w:p w:rsidR="00147748" w:rsidRPr="0013327C" w:rsidRDefault="00147748" w:rsidP="00AE0264">
            <w:pPr>
              <w:jc w:val="both"/>
              <w:rPr>
                <w:rFonts w:asciiTheme="majorHAnsi" w:hAnsiTheme="majorHAnsi"/>
                <w:b/>
                <w:sz w:val="22"/>
                <w:szCs w:val="22"/>
              </w:rPr>
            </w:pPr>
            <w:r w:rsidRPr="0013327C">
              <w:rPr>
                <w:rFonts w:asciiTheme="majorHAnsi" w:hAnsiTheme="majorHAnsi"/>
                <w:b/>
                <w:sz w:val="22"/>
                <w:szCs w:val="22"/>
              </w:rPr>
              <w:t>Source</w:t>
            </w:r>
          </w:p>
        </w:tc>
      </w:tr>
      <w:tr w:rsidR="00147748" w:rsidRPr="0013327C" w:rsidTr="00A65642">
        <w:tc>
          <w:tcPr>
            <w:tcW w:w="2002" w:type="dxa"/>
          </w:tcPr>
          <w:p w:rsidR="00147748" w:rsidRPr="0013327C" w:rsidRDefault="00147748" w:rsidP="00AE0264">
            <w:pPr>
              <w:jc w:val="both"/>
              <w:rPr>
                <w:rFonts w:asciiTheme="majorHAnsi" w:hAnsiTheme="majorHAnsi"/>
                <w:sz w:val="22"/>
                <w:szCs w:val="22"/>
              </w:rPr>
            </w:pPr>
            <w:r w:rsidRPr="0013327C">
              <w:rPr>
                <w:rFonts w:asciiTheme="majorHAnsi" w:hAnsiTheme="majorHAnsi"/>
                <w:i/>
                <w:sz w:val="22"/>
                <w:szCs w:val="22"/>
              </w:rPr>
              <w:t>Drosophila melanogaster</w:t>
            </w:r>
            <w:r w:rsidRPr="0013327C">
              <w:rPr>
                <w:rFonts w:asciiTheme="majorHAnsi" w:hAnsiTheme="majorHAnsi"/>
                <w:sz w:val="22"/>
                <w:szCs w:val="22"/>
              </w:rPr>
              <w:t xml:space="preserve">  Schneider 2, Oregon R+(S2R+)</w:t>
            </w:r>
          </w:p>
        </w:tc>
        <w:tc>
          <w:tcPr>
            <w:tcW w:w="2147" w:type="dxa"/>
          </w:tcPr>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t xml:space="preserve">+Dfrizzled-1, </w:t>
            </w:r>
          </w:p>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t>+Dfrizzled-2</w:t>
            </w:r>
          </w:p>
        </w:tc>
        <w:tc>
          <w:tcPr>
            <w:tcW w:w="2600" w:type="dxa"/>
          </w:tcPr>
          <w:p w:rsidR="00147748" w:rsidRPr="0013327C" w:rsidRDefault="00147748" w:rsidP="00AE0264">
            <w:pPr>
              <w:jc w:val="both"/>
              <w:rPr>
                <w:rFonts w:asciiTheme="majorHAnsi" w:hAnsiTheme="majorHAnsi"/>
                <w:sz w:val="22"/>
                <w:szCs w:val="22"/>
              </w:rPr>
            </w:pPr>
            <w:r w:rsidRPr="0013327C">
              <w:rPr>
                <w:rFonts w:asciiTheme="majorHAnsi" w:hAnsiTheme="majorHAnsi"/>
                <w:sz w:val="22"/>
                <w:szCs w:val="22"/>
              </w:rPr>
              <w:t xml:space="preserve">Drosophila Expression System (DES) plasmids and </w:t>
            </w:r>
            <w:r w:rsidR="00F76BAE">
              <w:rPr>
                <w:rFonts w:asciiTheme="majorHAnsi" w:hAnsiTheme="majorHAnsi"/>
              </w:rPr>
              <w:t>s</w:t>
            </w:r>
            <w:r w:rsidR="00F76BAE" w:rsidRPr="0013327C">
              <w:rPr>
                <w:rFonts w:asciiTheme="majorHAnsi" w:hAnsiTheme="majorHAnsi"/>
                <w:sz w:val="22"/>
                <w:szCs w:val="22"/>
              </w:rPr>
              <w:t>huttle</w:t>
            </w:r>
            <w:r w:rsidR="00F76BAE">
              <w:rPr>
                <w:rFonts w:asciiTheme="majorHAnsi" w:hAnsiTheme="majorHAnsi"/>
              </w:rPr>
              <w:t xml:space="preserve"> v</w:t>
            </w:r>
            <w:r w:rsidR="00F76BAE" w:rsidRPr="0013327C">
              <w:rPr>
                <w:rFonts w:asciiTheme="majorHAnsi" w:hAnsiTheme="majorHAnsi"/>
                <w:sz w:val="22"/>
                <w:szCs w:val="22"/>
              </w:rPr>
              <w:t>ectors</w:t>
            </w:r>
            <w:r w:rsidRPr="0013327C">
              <w:rPr>
                <w:rFonts w:asciiTheme="majorHAnsi" w:hAnsiTheme="majorHAnsi"/>
                <w:sz w:val="22"/>
                <w:szCs w:val="22"/>
              </w:rPr>
              <w:t xml:space="preserve"> with and without dsRNA-induced gene-silencing. Microscopy. </w:t>
            </w:r>
          </w:p>
        </w:tc>
        <w:tc>
          <w:tcPr>
            <w:tcW w:w="1297" w:type="dxa"/>
          </w:tcPr>
          <w:p w:rsidR="00147748" w:rsidRPr="0013327C" w:rsidRDefault="009A1FEC" w:rsidP="00AE0264">
            <w:pPr>
              <w:jc w:val="both"/>
              <w:rPr>
                <w:rFonts w:asciiTheme="majorHAnsi" w:hAnsiTheme="majorHAnsi"/>
                <w:sz w:val="22"/>
                <w:szCs w:val="22"/>
              </w:rPr>
            </w:pPr>
            <w:r w:rsidRPr="0013327C">
              <w:rPr>
                <w:rFonts w:asciiTheme="majorHAnsi" w:hAnsiTheme="majorHAnsi"/>
              </w:rPr>
              <w:fldChar w:fldCharType="begin" w:fldLock="1"/>
            </w:r>
            <w:r w:rsidR="00D72F07">
              <w:rPr>
                <w:rFonts w:asciiTheme="majorHAnsi" w:hAnsiTheme="majorHAnsi"/>
                <w:sz w:val="22"/>
                <w:szCs w:val="22"/>
              </w:rPr>
              <w:instrText>ADDIN CSL_CITATION { "citationItems" : [ { "id" : "ITEM-1", "itemData" : { "abstract" : "Wingless (Wg) treatment of Drosophila wing disc clone 8 cells leads to Armadillo (Arm) protein elevation, and this effect has been used as the basis of in vitro assays for Wg protein. Previously analyzed stocks of Drosophila Schneider S2 cells could not respond to added Wg, because they lack the Wg receptor, Dfrizzled-2. However, we found that a line of S2 cells obtained from another source express Dfrizzled-2 and Dfrizzled-1. Thus, we designated this cell line as S2R+ (S2 receptor plus). S2R+ cells respond to addition of extracellular Wg by elevating Arm and DE-cadherin protein levels and by hyperphosphorylating Dsh, just as clone 8 cells do. Moreover, overexpression of Wg in S2R+, but not in S2 cells, induced the same changes in Dsh, Arm, and DE-cadherin proteins as induced in clone 8 cells, indicating that these events are common effects of Wg signaling, which occurs in cells expressing functional Wg receptors. In addition, unphosphorylated Dsh protein in S2 cells was phosphorylated as a consequence of expression of Dfrizzled-2 or mouse Frizzled-6, suggesting that basal structures common to various frizzled family proteins trigger this phosphorylation of Dsh. S2R+ cells are as sensitive to Wg as are clone 8 cells but can grow in simpler medium. Therefore, the S2R+ cell line is likely to prove highly useful for in vitro analyses of Wg signaling.", "author" : [ { "dropping-particle" : "", "family" : "Yanagawa", "given" : "S", "non-dropping-particle" : "", "parse-names" : false, "suffix" : "" }, { "dropping-particle" : "", "family" : "Lee", "given" : "J S", "non-dropping-particle" : "", "parse-names" : false, "suffix" : "" }, { "dropping-particle" : "", "family" : "Ishimoto", "given" : "a", "non-dropping-particle" : "", "parse-names" : false, "suffix" : "" } ], "container-title" : "The Journal of biological chemistry", "id" : "ITEM-1", "issue" : "48", "issued" : { "date-parts" : [ [ "1998", "11", "27" ] ] }, "page" : "32353-9", "title" : "Identification and characterization of a novel line of Drosophila Schneider S2 cells that respond to wingless signaling.", "type" : "article-journal", "volume" : "273" }, "uris" : [ "http://www.mendeley.com/documents/?uuid=b4284b76-ff75-4970-a9b2-aaa5aa17a0b4" ] } ], "mendeley" : { "manualFormatting" : "Yanagawa et al., (1998)", "previouslyFormattedCitation" : "(Yanagawa, Lee &amp; Ishimoto 1998)" }, "properties" : { "noteIndex" : 0 }, "schema" : "https://github.com/citation-style-language/schema/raw/master/csl-citation.json" }</w:instrText>
            </w:r>
            <w:r w:rsidRPr="0013327C">
              <w:rPr>
                <w:rFonts w:asciiTheme="majorHAnsi" w:hAnsiTheme="majorHAnsi"/>
              </w:rPr>
              <w:fldChar w:fldCharType="separate"/>
            </w:r>
            <w:r w:rsidR="00147748" w:rsidRPr="0013327C">
              <w:rPr>
                <w:rFonts w:asciiTheme="majorHAnsi" w:hAnsiTheme="majorHAnsi"/>
                <w:noProof/>
                <w:sz w:val="22"/>
                <w:szCs w:val="22"/>
              </w:rPr>
              <w:t xml:space="preserve">Yanagawa </w:t>
            </w:r>
            <w:r w:rsidR="00466108" w:rsidRPr="00466108">
              <w:rPr>
                <w:rFonts w:asciiTheme="majorHAnsi" w:hAnsiTheme="majorHAnsi"/>
                <w:i/>
                <w:noProof/>
                <w:sz w:val="22"/>
                <w:szCs w:val="22"/>
              </w:rPr>
              <w:t>et al</w:t>
            </w:r>
            <w:r w:rsidR="00147748" w:rsidRPr="0013327C">
              <w:rPr>
                <w:rFonts w:asciiTheme="majorHAnsi" w:hAnsiTheme="majorHAnsi"/>
                <w:i/>
                <w:noProof/>
                <w:sz w:val="22"/>
                <w:szCs w:val="22"/>
              </w:rPr>
              <w:t>.</w:t>
            </w:r>
            <w:r w:rsidR="00147748" w:rsidRPr="0013327C">
              <w:rPr>
                <w:rFonts w:asciiTheme="majorHAnsi" w:hAnsiTheme="majorHAnsi"/>
                <w:noProof/>
                <w:sz w:val="22"/>
                <w:szCs w:val="22"/>
              </w:rPr>
              <w:t>, (1998)</w:t>
            </w:r>
            <w:r w:rsidRPr="0013327C">
              <w:rPr>
                <w:rFonts w:asciiTheme="majorHAnsi" w:hAnsiTheme="majorHAnsi"/>
              </w:rPr>
              <w:fldChar w:fldCharType="end"/>
            </w:r>
          </w:p>
        </w:tc>
      </w:tr>
      <w:tr w:rsidR="00147748" w:rsidRPr="0013327C" w:rsidTr="00A65642">
        <w:tc>
          <w:tcPr>
            <w:tcW w:w="2002" w:type="dxa"/>
          </w:tcPr>
          <w:p w:rsidR="00147748" w:rsidRPr="0013327C" w:rsidRDefault="00147748" w:rsidP="00AE0264">
            <w:pPr>
              <w:jc w:val="both"/>
              <w:rPr>
                <w:rFonts w:asciiTheme="majorHAnsi" w:hAnsiTheme="majorHAnsi"/>
                <w:sz w:val="22"/>
                <w:szCs w:val="22"/>
              </w:rPr>
            </w:pPr>
            <w:r w:rsidRPr="0013327C">
              <w:rPr>
                <w:rFonts w:asciiTheme="majorHAnsi" w:hAnsiTheme="majorHAnsi"/>
                <w:i/>
                <w:sz w:val="22"/>
                <w:szCs w:val="22"/>
              </w:rPr>
              <w:t xml:space="preserve">Drosophila melanogaster </w:t>
            </w:r>
            <w:r w:rsidRPr="0013327C">
              <w:rPr>
                <w:rFonts w:asciiTheme="majorHAnsi" w:hAnsiTheme="majorHAnsi"/>
                <w:sz w:val="22"/>
                <w:szCs w:val="22"/>
              </w:rPr>
              <w:t xml:space="preserve"> Kc167</w:t>
            </w:r>
          </w:p>
        </w:tc>
        <w:tc>
          <w:tcPr>
            <w:tcW w:w="2147" w:type="dxa"/>
          </w:tcPr>
          <w:p w:rsidR="00147748" w:rsidRPr="0013327C" w:rsidRDefault="00147748" w:rsidP="00AE0264">
            <w:pPr>
              <w:jc w:val="both"/>
              <w:rPr>
                <w:rFonts w:asciiTheme="majorHAnsi" w:hAnsiTheme="majorHAnsi"/>
              </w:rPr>
            </w:pPr>
          </w:p>
        </w:tc>
        <w:tc>
          <w:tcPr>
            <w:tcW w:w="2600" w:type="dxa"/>
          </w:tcPr>
          <w:p w:rsidR="00147748" w:rsidRPr="0013327C" w:rsidRDefault="00147748" w:rsidP="00AE0264">
            <w:pPr>
              <w:jc w:val="both"/>
              <w:rPr>
                <w:rFonts w:asciiTheme="majorHAnsi" w:hAnsiTheme="majorHAnsi"/>
              </w:rPr>
            </w:pPr>
            <w:r w:rsidRPr="0013327C">
              <w:rPr>
                <w:rFonts w:asciiTheme="majorHAnsi" w:hAnsiTheme="majorHAnsi"/>
                <w:sz w:val="22"/>
                <w:szCs w:val="22"/>
              </w:rPr>
              <w:t xml:space="preserve">Drosophila Expression System (DES) plasmids and </w:t>
            </w:r>
            <w:r w:rsidR="00F76BAE">
              <w:rPr>
                <w:rFonts w:asciiTheme="majorHAnsi" w:hAnsiTheme="majorHAnsi"/>
              </w:rPr>
              <w:t>s</w:t>
            </w:r>
            <w:r w:rsidR="00F76BAE" w:rsidRPr="0013327C">
              <w:rPr>
                <w:rFonts w:asciiTheme="majorHAnsi" w:hAnsiTheme="majorHAnsi"/>
                <w:sz w:val="22"/>
                <w:szCs w:val="22"/>
              </w:rPr>
              <w:t>huttle</w:t>
            </w:r>
            <w:r w:rsidR="00F76BAE">
              <w:rPr>
                <w:rFonts w:asciiTheme="majorHAnsi" w:hAnsiTheme="majorHAnsi"/>
              </w:rPr>
              <w:t xml:space="preserve"> v</w:t>
            </w:r>
            <w:r w:rsidR="00F76BAE" w:rsidRPr="0013327C">
              <w:rPr>
                <w:rFonts w:asciiTheme="majorHAnsi" w:hAnsiTheme="majorHAnsi"/>
                <w:sz w:val="22"/>
                <w:szCs w:val="22"/>
              </w:rPr>
              <w:t>ectors</w:t>
            </w:r>
            <w:r w:rsidRPr="0013327C">
              <w:rPr>
                <w:rFonts w:asciiTheme="majorHAnsi" w:hAnsiTheme="majorHAnsi"/>
                <w:sz w:val="22"/>
                <w:szCs w:val="22"/>
              </w:rPr>
              <w:t>. Microscopy.</w:t>
            </w:r>
          </w:p>
        </w:tc>
        <w:tc>
          <w:tcPr>
            <w:tcW w:w="1297" w:type="dxa"/>
          </w:tcPr>
          <w:p w:rsidR="00147748" w:rsidRPr="0013327C" w:rsidRDefault="009A1FEC" w:rsidP="00AE0264">
            <w:pPr>
              <w:jc w:val="both"/>
              <w:rPr>
                <w:rFonts w:asciiTheme="majorHAnsi" w:hAnsiTheme="majorHAnsi"/>
              </w:rPr>
            </w:pPr>
            <w:r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"Echalier", "given" : "G", "non-dropping-particle" : "", "parse-names" : false, "suffix" : "" }, { "dropping-particle" : "", "family" : "Ohanessian", "given" : "A", "non-dropping-particle" : "", "parse-names" : false, "suffix" : "" } ], "container-title" : "C R Acad Sci Hebd Seances Acad Sci D", "id" : "ITEM-1", "issue" : "13", "issued" : { "date-parts" : [ [ "1969" ] ] }, "page" : "1771-3", "title" : "Isolation, in tissue culture, of Drosophila melangaster cell lines", "type" : "article-journal", "volume" : "268" }, "uris" : [ "http://www.mendeley.com/documents/?uuid=3af5c58b-a57e-4ec1-81fa-701172000400" ] } ], "mendeley" : { "previouslyFormattedCitation" : "(Echalier &amp; Ohanessian 1969a)" }, "properties" : { "noteIndex" : 0 }, "schema" : "https://github.com/citation-style-language/schema/raw/master/csl-citation.json" }</w:instrText>
            </w:r>
            <w:r w:rsidRPr="0013327C">
              <w:rPr>
                <w:rFonts w:asciiTheme="majorHAnsi" w:hAnsiTheme="majorHAnsi"/>
              </w:rPr>
              <w:fldChar w:fldCharType="separate"/>
            </w:r>
            <w:r w:rsidR="00E5134C" w:rsidRPr="00E5134C">
              <w:rPr>
                <w:rFonts w:asciiTheme="majorHAnsi" w:hAnsiTheme="majorHAnsi"/>
                <w:noProof/>
              </w:rPr>
              <w:t>(Echalier &amp; Ohanessian 1969a)</w:t>
            </w:r>
            <w:r w:rsidRPr="0013327C">
              <w:rPr>
                <w:rFonts w:asciiTheme="majorHAnsi" w:hAnsiTheme="majorHAnsi"/>
              </w:rPr>
              <w:fldChar w:fldCharType="end"/>
            </w:r>
          </w:p>
        </w:tc>
      </w:tr>
    </w:tbl>
    <w:p w:rsidR="00147748" w:rsidRDefault="00147748" w:rsidP="00AE0264">
      <w:pPr>
        <w:jc w:val="both"/>
        <w:rPr>
          <w:rFonts w:asciiTheme="majorHAnsi" w:hAnsiTheme="majorHAnsi"/>
        </w:rPr>
      </w:pPr>
    </w:p>
    <w:p w:rsidR="00E010FC" w:rsidRDefault="00E010FC" w:rsidP="00AE0264">
      <w:pPr>
        <w:jc w:val="both"/>
        <w:rPr>
          <w:rFonts w:asciiTheme="majorHAnsi" w:hAnsiTheme="majorHAnsi"/>
        </w:rPr>
      </w:pPr>
    </w:p>
    <w:p w:rsidR="00E010FC" w:rsidRDefault="00E010FC" w:rsidP="00AE0264">
      <w:pPr>
        <w:jc w:val="both"/>
        <w:rPr>
          <w:rFonts w:asciiTheme="majorHAnsi" w:hAnsiTheme="majorHAnsi"/>
        </w:rPr>
      </w:pPr>
    </w:p>
    <w:p w:rsidR="00E010FC" w:rsidRPr="0013327C" w:rsidRDefault="00E010FC" w:rsidP="00AE0264">
      <w:pPr>
        <w:jc w:val="both"/>
        <w:rPr>
          <w:rFonts w:asciiTheme="majorHAnsi" w:hAnsiTheme="majorHAnsi"/>
        </w:rPr>
      </w:pPr>
    </w:p>
    <w:p w:rsidR="00147748" w:rsidRDefault="00147748" w:rsidP="00AE0264">
      <w:pPr>
        <w:pStyle w:val="Heading2"/>
        <w:jc w:val="both"/>
      </w:pPr>
      <w:bookmarkStart w:id="52" w:name="_Toc348423304"/>
      <w:r w:rsidRPr="0013327C">
        <w:lastRenderedPageBreak/>
        <w:t>Plasmids</w:t>
      </w:r>
      <w:bookmarkEnd w:id="52"/>
    </w:p>
    <w:p w:rsidR="00B41E2B" w:rsidRDefault="00B41E2B" w:rsidP="003A1D8A">
      <w:pPr>
        <w:jc w:val="center"/>
      </w:pPr>
      <w:r w:rsidRPr="00B41E2B">
        <w:rPr>
          <w:noProof/>
          <w:lang w:eastAsia="en-GB"/>
        </w:rPr>
        <w:drawing>
          <wp:inline distT="0" distB="0" distL="0" distR="0">
            <wp:extent cx="2637330" cy="3438525"/>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2648469" cy="3453048"/>
                    </a:xfrm>
                    <a:prstGeom prst="rect">
                      <a:avLst/>
                    </a:prstGeom>
                    <a:noFill/>
                  </pic:spPr>
                </pic:pic>
              </a:graphicData>
            </a:graphic>
          </wp:inline>
        </w:drawing>
      </w:r>
    </w:p>
    <w:p w:rsidR="001A3247" w:rsidRDefault="00B41E2B" w:rsidP="00B41E2B">
      <w:r w:rsidRPr="00B41E2B">
        <w:rPr>
          <w:b/>
        </w:rPr>
        <w:t>Figure</w:t>
      </w:r>
      <w:r>
        <w:rPr>
          <w:b/>
        </w:rPr>
        <w:t xml:space="preserve"> </w:t>
      </w:r>
      <w:r w:rsidRPr="00CE7478">
        <w:rPr>
          <w:rFonts w:asciiTheme="majorHAnsi" w:hAnsiTheme="majorHAnsi"/>
          <w:b/>
        </w:rPr>
        <w:t>2.1</w:t>
      </w:r>
      <w:r w:rsidRPr="00CE7478">
        <w:rPr>
          <w:rFonts w:asciiTheme="majorHAnsi" w:hAnsiTheme="majorHAnsi"/>
        </w:rPr>
        <w:t xml:space="preserve"> </w:t>
      </w:r>
      <w:proofErr w:type="gramStart"/>
      <w:r w:rsidR="003A1D8A" w:rsidRPr="00CE7478">
        <w:rPr>
          <w:rFonts w:asciiTheme="majorHAnsi" w:hAnsiTheme="majorHAnsi"/>
          <w:b/>
        </w:rPr>
        <w:t>The</w:t>
      </w:r>
      <w:proofErr w:type="gramEnd"/>
      <w:r w:rsidR="003A1D8A" w:rsidRPr="00CE7478">
        <w:rPr>
          <w:rFonts w:asciiTheme="majorHAnsi" w:hAnsiTheme="majorHAnsi"/>
          <w:b/>
        </w:rPr>
        <w:t xml:space="preserve"> plasmid map of pMt/V5-HisA</w:t>
      </w:r>
      <w:r w:rsidR="00DB7A95" w:rsidRPr="00CE7478">
        <w:rPr>
          <w:rFonts w:asciiTheme="majorHAnsi" w:hAnsiTheme="majorHAnsi"/>
          <w:b/>
        </w:rPr>
        <w:t xml:space="preserve"> (Invitrogen)</w:t>
      </w:r>
      <w:r w:rsidR="003A1D8A" w:rsidRPr="00CE7478">
        <w:rPr>
          <w:rFonts w:asciiTheme="majorHAnsi" w:hAnsiTheme="majorHAnsi"/>
          <w:b/>
        </w:rPr>
        <w:t xml:space="preserve">. </w:t>
      </w:r>
      <w:r w:rsidR="003A1D8A" w:rsidRPr="00CE7478">
        <w:rPr>
          <w:rFonts w:asciiTheme="majorHAnsi" w:hAnsiTheme="majorHAnsi"/>
        </w:rPr>
        <w:t>This plas</w:t>
      </w:r>
      <w:r w:rsidR="00DB7A95" w:rsidRPr="00CE7478">
        <w:rPr>
          <w:rFonts w:asciiTheme="majorHAnsi" w:hAnsiTheme="majorHAnsi"/>
        </w:rPr>
        <w:t xml:space="preserve">mid was used to clone </w:t>
      </w:r>
      <w:proofErr w:type="gramStart"/>
      <w:r w:rsidR="00DB7A95" w:rsidRPr="00CE7478">
        <w:rPr>
          <w:rFonts w:asciiTheme="majorHAnsi" w:hAnsiTheme="majorHAnsi"/>
        </w:rPr>
        <w:t>the  ORFs</w:t>
      </w:r>
      <w:proofErr w:type="gramEnd"/>
      <w:r w:rsidR="00DB7A95" w:rsidRPr="00CE7478">
        <w:rPr>
          <w:rFonts w:asciiTheme="majorHAnsi" w:hAnsiTheme="majorHAnsi"/>
        </w:rPr>
        <w:t xml:space="preserve"> of eGFP-PTS1 and mRFP-PTS1</w:t>
      </w:r>
      <w:r w:rsidR="001A3247" w:rsidRPr="00CE7478">
        <w:rPr>
          <w:rFonts w:asciiTheme="majorHAnsi" w:hAnsiTheme="majorHAnsi"/>
        </w:rPr>
        <w:t>, both between EcoRI and XbaI (see Ch. 3.5).</w:t>
      </w:r>
    </w:p>
    <w:p w:rsidR="00B41E2B" w:rsidRDefault="00746660" w:rsidP="00746660">
      <w:pPr>
        <w:jc w:val="center"/>
      </w:pPr>
      <w:r>
        <w:rPr>
          <w:noProof/>
          <w:lang w:eastAsia="en-GB"/>
        </w:rPr>
        <w:drawing>
          <wp:inline distT="0" distB="0" distL="0" distR="0">
            <wp:extent cx="2542417" cy="3301139"/>
            <wp:effectExtent l="0" t="0" r="0"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2552954" cy="3314821"/>
                    </a:xfrm>
                    <a:prstGeom prst="rect">
                      <a:avLst/>
                    </a:prstGeom>
                    <a:noFill/>
                  </pic:spPr>
                </pic:pic>
              </a:graphicData>
            </a:graphic>
          </wp:inline>
        </w:drawing>
      </w:r>
    </w:p>
    <w:p w:rsidR="00746660" w:rsidRPr="00CE7478" w:rsidRDefault="00746660" w:rsidP="00746660">
      <w:pPr>
        <w:rPr>
          <w:rFonts w:asciiTheme="majorHAnsi" w:hAnsiTheme="majorHAnsi"/>
        </w:rPr>
      </w:pPr>
      <w:proofErr w:type="gramStart"/>
      <w:r w:rsidRPr="00CE7478">
        <w:rPr>
          <w:rFonts w:asciiTheme="majorHAnsi" w:hAnsiTheme="majorHAnsi"/>
          <w:b/>
        </w:rPr>
        <w:t>Figure 2.2.</w:t>
      </w:r>
      <w:proofErr w:type="gramEnd"/>
      <w:r w:rsidR="004B405E" w:rsidRPr="00CE7478">
        <w:rPr>
          <w:rFonts w:asciiTheme="majorHAnsi" w:hAnsiTheme="majorHAnsi"/>
          <w:b/>
        </w:rPr>
        <w:t xml:space="preserve"> </w:t>
      </w:r>
      <w:proofErr w:type="gramStart"/>
      <w:r w:rsidR="004B405E" w:rsidRPr="00CE7478">
        <w:rPr>
          <w:rFonts w:asciiTheme="majorHAnsi" w:hAnsiTheme="majorHAnsi"/>
          <w:b/>
        </w:rPr>
        <w:t>The plasmid map for pAc5.1/V5-HisA</w:t>
      </w:r>
      <w:r w:rsidR="007B2309">
        <w:rPr>
          <w:rFonts w:asciiTheme="majorHAnsi" w:hAnsiTheme="majorHAnsi"/>
          <w:b/>
        </w:rPr>
        <w:t xml:space="preserve"> (Invitrogen)</w:t>
      </w:r>
      <w:r w:rsidR="004B405E" w:rsidRPr="00CE7478">
        <w:rPr>
          <w:rFonts w:asciiTheme="majorHAnsi" w:hAnsiTheme="majorHAnsi"/>
          <w:b/>
        </w:rPr>
        <w:t>.</w:t>
      </w:r>
      <w:proofErr w:type="gramEnd"/>
      <w:r w:rsidR="004B405E" w:rsidRPr="00CE7478">
        <w:rPr>
          <w:rFonts w:asciiTheme="majorHAnsi" w:hAnsiTheme="majorHAnsi"/>
          <w:b/>
        </w:rPr>
        <w:t xml:space="preserve"> </w:t>
      </w:r>
      <w:r w:rsidR="004B405E" w:rsidRPr="00CE7478">
        <w:rPr>
          <w:rFonts w:asciiTheme="majorHAnsi" w:hAnsiTheme="majorHAnsi"/>
        </w:rPr>
        <w:t>This was used to clone in the eGFP-PTS1 ORF between</w:t>
      </w:r>
      <w:r w:rsidR="003A70C8" w:rsidRPr="00CE7478">
        <w:rPr>
          <w:rFonts w:asciiTheme="majorHAnsi" w:hAnsiTheme="majorHAnsi"/>
        </w:rPr>
        <w:t xml:space="preserve"> EcoRI and XbaI</w:t>
      </w:r>
      <w:r w:rsidR="00897AB1" w:rsidRPr="00CE7478">
        <w:rPr>
          <w:rFonts w:asciiTheme="majorHAnsi" w:hAnsiTheme="majorHAnsi"/>
        </w:rPr>
        <w:t xml:space="preserve"> (see Ch. 3.5)</w:t>
      </w:r>
      <w:r w:rsidR="003A70C8" w:rsidRPr="00CE7478">
        <w:rPr>
          <w:rFonts w:asciiTheme="majorHAnsi" w:hAnsiTheme="majorHAnsi"/>
        </w:rPr>
        <w:t>.</w:t>
      </w:r>
    </w:p>
    <w:tbl>
      <w:tblPr>
        <w:tblW w:w="8094" w:type="dxa"/>
        <w:tblCellMar>
          <w:left w:w="0" w:type="dxa"/>
          <w:right w:w="0" w:type="dxa"/>
        </w:tblCellMar>
        <w:tblLook w:val="04A0"/>
      </w:tblPr>
      <w:tblGrid>
        <w:gridCol w:w="1427"/>
        <w:gridCol w:w="1010"/>
        <w:gridCol w:w="1698"/>
        <w:gridCol w:w="1274"/>
        <w:gridCol w:w="1130"/>
        <w:gridCol w:w="1555"/>
      </w:tblGrid>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b/>
                <w:sz w:val="36"/>
                <w:szCs w:val="36"/>
                <w:lang w:eastAsia="en-GB"/>
              </w:rPr>
            </w:pPr>
            <w:r w:rsidRPr="0013327C">
              <w:rPr>
                <w:rFonts w:asciiTheme="majorHAnsi" w:eastAsia="Times New Roman" w:hAnsiTheme="majorHAnsi" w:cs="Arial"/>
                <w:b/>
                <w:color w:val="000000"/>
                <w:kern w:val="24"/>
                <w:lang w:eastAsia="en-GB"/>
              </w:rPr>
              <w:lastRenderedPageBreak/>
              <w:t>Plasmids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b/>
                <w:sz w:val="36"/>
                <w:szCs w:val="36"/>
                <w:lang w:eastAsia="en-GB"/>
              </w:rPr>
            </w:pPr>
            <w:r w:rsidRPr="0013327C">
              <w:rPr>
                <w:rFonts w:asciiTheme="majorHAnsi" w:eastAsia="Times New Roman" w:hAnsiTheme="majorHAnsi" w:cs="Arial"/>
                <w:b/>
                <w:color w:val="000000"/>
                <w:kern w:val="24"/>
                <w:lang w:eastAsia="en-GB"/>
              </w:rPr>
              <w:t>Promoter</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b/>
                <w:sz w:val="36"/>
                <w:szCs w:val="36"/>
                <w:lang w:eastAsia="en-GB"/>
              </w:rPr>
            </w:pPr>
            <w:r w:rsidRPr="0013327C">
              <w:rPr>
                <w:rFonts w:asciiTheme="majorHAnsi" w:eastAsia="Times New Roman" w:hAnsiTheme="majorHAnsi" w:cs="Arial"/>
                <w:b/>
                <w:color w:val="000000"/>
                <w:kern w:val="24"/>
                <w:lang w:eastAsia="en-GB"/>
              </w:rPr>
              <w:t>Parental Plasmid</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b/>
                <w:sz w:val="36"/>
                <w:szCs w:val="36"/>
                <w:lang w:eastAsia="en-GB"/>
              </w:rPr>
            </w:pPr>
            <w:r w:rsidRPr="0013327C">
              <w:rPr>
                <w:rFonts w:asciiTheme="majorHAnsi" w:eastAsia="Times New Roman" w:hAnsiTheme="majorHAnsi" w:cs="Arial"/>
                <w:b/>
                <w:color w:val="000000"/>
                <w:kern w:val="24"/>
                <w:lang w:eastAsia="en-GB"/>
              </w:rPr>
              <w:t>Lab Reference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b/>
                <w:sz w:val="36"/>
                <w:szCs w:val="36"/>
                <w:lang w:eastAsia="en-GB"/>
              </w:rPr>
            </w:pPr>
            <w:r w:rsidRPr="0013327C">
              <w:rPr>
                <w:rFonts w:asciiTheme="majorHAnsi" w:eastAsia="Times New Roman" w:hAnsiTheme="majorHAnsi" w:cs="Arial"/>
                <w:b/>
                <w:color w:val="000000"/>
                <w:kern w:val="24"/>
                <w:lang w:eastAsia="en-GB"/>
              </w:rPr>
              <w:t>Source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b/>
                <w:sz w:val="36"/>
                <w:szCs w:val="36"/>
                <w:lang w:eastAsia="en-GB"/>
              </w:rPr>
            </w:pPr>
            <w:r w:rsidRPr="0013327C">
              <w:rPr>
                <w:rFonts w:asciiTheme="majorHAnsi" w:eastAsia="Times New Roman" w:hAnsiTheme="majorHAnsi" w:cs="Arial"/>
                <w:b/>
                <w:color w:val="000000"/>
                <w:kern w:val="24"/>
                <w:lang w:eastAsia="en-GB"/>
              </w:rPr>
              <w:t>Usage</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pMt-eGFP-PTS1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F76BAE" w:rsidP="00AE0264">
            <w:pPr>
              <w:spacing w:after="0"/>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lang w:eastAsia="en-GB"/>
              </w:rPr>
              <w:t>pMt_V5HisA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pNUT07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This study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Conditional Expression</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pAc-eGFP-PTS1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pAc5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F76BAE" w:rsidP="00AE0264">
            <w:pPr>
              <w:spacing w:after="0"/>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lang w:eastAsia="en-GB"/>
              </w:rPr>
              <w:t>pAc5.1_V5HisA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pPD 003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This study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Constitutive Expression</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pMt-mRFP-PTS1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F76BAE"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pMt_V5HisA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pPD 010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This study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Conditional Expression</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pMK33-pMt-eGFP-PTS1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pMK33-pMt/Hy</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pPD 021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This study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Conditional Expression</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pMK33-pMt-mRFP-PTS1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pMK33-pMt/Hy</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pPD 022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This study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Conditional Expression</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pMK33-pMt-ABCD3-eGFP</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pMK33-pMt/Hy</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pPD 023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This study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Conditional Expression</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pMt-nmd-eGFP</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pMt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ycplac33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pPD 024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This study</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Conditional Expression</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 43687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pOT2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 43687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DGRC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CG6760  clone</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 41491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pOT2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 41491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DGRC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CG6859 clone</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GH 08708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pOT2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GH 08708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DGRC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CG14815 clone</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 20358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pFLc-1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 20358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DGRC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CG3947 clone</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 11581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pOT2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 11581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DGRC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CG12703 clone</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 22567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pOT2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 22567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DGRC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CG30404 clone</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GH08677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pOT2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GH08677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DGRC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CG5395 clone</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LD14743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pOT2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LD14743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DGRC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CG3595 clone</w:t>
            </w:r>
          </w:p>
        </w:tc>
      </w:tr>
      <w:tr w:rsidR="00147748" w:rsidRPr="0013327C" w:rsidTr="00A65642">
        <w:trPr>
          <w:trHeight w:val="290"/>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RE11768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pFLc-1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RE11768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DGRC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rsidR="00147748" w:rsidRPr="0013327C" w:rsidRDefault="00147748" w:rsidP="00AE0264">
            <w:pPr>
              <w:spacing w:after="0"/>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lang w:eastAsia="en-GB"/>
              </w:rPr>
              <w:t>CG5491 clone</w:t>
            </w:r>
          </w:p>
        </w:tc>
      </w:tr>
    </w:tbl>
    <w:p w:rsidR="00147748" w:rsidRDefault="00147748" w:rsidP="00AE0264">
      <w:pPr>
        <w:jc w:val="both"/>
        <w:rPr>
          <w:rFonts w:asciiTheme="majorHAnsi" w:hAnsiTheme="majorHAnsi"/>
        </w:rPr>
      </w:pPr>
    </w:p>
    <w:p w:rsidR="002146A4" w:rsidRDefault="002146A4" w:rsidP="00AE0264">
      <w:pPr>
        <w:jc w:val="both"/>
        <w:rPr>
          <w:rFonts w:asciiTheme="majorHAnsi" w:hAnsiTheme="majorHAnsi"/>
        </w:rPr>
      </w:pPr>
    </w:p>
    <w:p w:rsidR="002146A4" w:rsidRPr="0013327C" w:rsidRDefault="002146A4" w:rsidP="00AE0264">
      <w:pPr>
        <w:jc w:val="both"/>
        <w:rPr>
          <w:rFonts w:asciiTheme="majorHAnsi" w:hAnsiTheme="majorHAnsi"/>
        </w:rPr>
      </w:pPr>
    </w:p>
    <w:p w:rsidR="00147748" w:rsidRPr="0013327C" w:rsidRDefault="00147748" w:rsidP="00AE0264">
      <w:pPr>
        <w:pStyle w:val="Heading3"/>
        <w:ind w:left="862"/>
        <w:jc w:val="both"/>
      </w:pPr>
      <w:bookmarkStart w:id="53" w:name="_Toc348423305"/>
      <w:r w:rsidRPr="0013327C">
        <w:lastRenderedPageBreak/>
        <w:t>Primers</w:t>
      </w:r>
      <w:bookmarkEnd w:id="53"/>
    </w:p>
    <w:p w:rsidR="00147748" w:rsidRPr="0013327C" w:rsidRDefault="00B45C3E" w:rsidP="00AE0264">
      <w:pPr>
        <w:pStyle w:val="Heading2"/>
        <w:numPr>
          <w:ilvl w:val="0"/>
          <w:numId w:val="0"/>
        </w:numPr>
        <w:spacing w:before="0"/>
        <w:jc w:val="both"/>
      </w:pPr>
      <w:r w:rsidRPr="0013327C">
        <w:rPr>
          <w:noProof/>
          <w:lang w:eastAsia="en-GB"/>
        </w:rPr>
        <w:drawing>
          <wp:inline distT="0" distB="0" distL="0" distR="0">
            <wp:extent cx="4943448" cy="7430410"/>
            <wp:effectExtent l="0" t="0" r="0" b="0"/>
            <wp:docPr id="204" name="Picture 203" descr="Prim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ers.png"/>
                    <pic:cNvPicPr/>
                  </pic:nvPicPr>
                  <pic:blipFill>
                    <a:blip r:embed="rId16" cstate="print"/>
                    <a:stretch>
                      <a:fillRect/>
                    </a:stretch>
                  </pic:blipFill>
                  <pic:spPr>
                    <a:xfrm>
                      <a:off x="0" y="0"/>
                      <a:ext cx="4943448" cy="7430410"/>
                    </a:xfrm>
                    <a:prstGeom prst="rect">
                      <a:avLst/>
                    </a:prstGeom>
                  </pic:spPr>
                </pic:pic>
              </a:graphicData>
            </a:graphic>
          </wp:inline>
        </w:drawing>
      </w:r>
    </w:p>
    <w:p w:rsidR="00B45C3E" w:rsidRPr="0013327C" w:rsidRDefault="00B45C3E"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169535" cy="6286500"/>
            <wp:effectExtent l="0" t="0" r="0" b="0"/>
            <wp:docPr id="205" name="Picture 204" descr="Primer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ers2.png"/>
                    <pic:cNvPicPr/>
                  </pic:nvPicPr>
                  <pic:blipFill>
                    <a:blip r:embed="rId17" cstate="print"/>
                    <a:stretch>
                      <a:fillRect/>
                    </a:stretch>
                  </pic:blipFill>
                  <pic:spPr>
                    <a:xfrm>
                      <a:off x="0" y="0"/>
                      <a:ext cx="5169535" cy="6286500"/>
                    </a:xfrm>
                    <a:prstGeom prst="rect">
                      <a:avLst/>
                    </a:prstGeom>
                  </pic:spPr>
                </pic:pic>
              </a:graphicData>
            </a:graphic>
          </wp:inline>
        </w:drawing>
      </w:r>
    </w:p>
    <w:p w:rsidR="00147748" w:rsidRPr="0013327C" w:rsidRDefault="00147748" w:rsidP="00AE0264">
      <w:pPr>
        <w:pStyle w:val="Heading3"/>
        <w:ind w:left="862"/>
        <w:jc w:val="both"/>
      </w:pPr>
      <w:bookmarkStart w:id="54" w:name="_Toc348423306"/>
      <w:proofErr w:type="gramStart"/>
      <w:r w:rsidRPr="0013327C">
        <w:t xml:space="preserve">Design of </w:t>
      </w:r>
      <w:r w:rsidRPr="0013327C">
        <w:rPr>
          <w:i/>
        </w:rPr>
        <w:t>Drosophila melanogaster-Saccharomyces cerevisiae</w:t>
      </w:r>
      <w:r w:rsidRPr="0013327C">
        <w:t xml:space="preserve"> shuttle vector.</w:t>
      </w:r>
      <w:bookmarkEnd w:id="54"/>
      <w:proofErr w:type="gramEnd"/>
    </w:p>
    <w:p w:rsidR="00147748" w:rsidRPr="0013327C" w:rsidRDefault="00147748" w:rsidP="00AE0264">
      <w:pPr>
        <w:jc w:val="both"/>
        <w:rPr>
          <w:rFonts w:asciiTheme="majorHAnsi" w:hAnsiTheme="majorHAnsi"/>
        </w:rPr>
      </w:pPr>
      <w:r w:rsidRPr="0013327C">
        <w:rPr>
          <w:rFonts w:asciiTheme="majorHAnsi" w:hAnsiTheme="majorHAnsi"/>
        </w:rPr>
        <w:t xml:space="preserve">A shuttle vector was constructed for the creation of C-terminal fusion proteins to be expressed in </w:t>
      </w:r>
      <w:r w:rsidRPr="0013327C">
        <w:rPr>
          <w:rFonts w:asciiTheme="majorHAnsi" w:hAnsiTheme="majorHAnsi"/>
          <w:i/>
        </w:rPr>
        <w:t>D. melanogaster</w:t>
      </w:r>
      <w:r w:rsidRPr="0013327C">
        <w:rPr>
          <w:rFonts w:asciiTheme="majorHAnsi" w:hAnsiTheme="majorHAnsi"/>
        </w:rPr>
        <w:t xml:space="preserve"> cells. The plasmid ycplac33 was the parent plasmid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"Gietz", "given" : "RD", "non-dropping-particle" : "", "parse-names" : false, "suffix" : "" }, { "dropping-particle" : "", "family" : "Sugino", "given" : "Akio", "non-dropping-particle" : "", "parse-names" : false, "suffix" : "" } ], "container-title" : "Gene", "id" : "ITEM-1", "issue" : "2", "issued" : { "date-parts" : [ [ "1988" ] ] }, "page" : "527-34", "title" : "New yeast-Escherichia coli shuttle vectors constructed with in vitro mutagenized yeast genes lacking six-base pair restriction sites.", "type" : "article-journal", "volume" : "74" }, "uris" : [ "http://www.mendeley.com/documents/?uuid=aab4a847-9380-4c9d-9353-a31cc67dd990" ] } ], "mendeley" : { "previouslyFormattedCitation" : "(Gietz &amp; Sugino 1988)" }, "properties" : { "noteIndex" : 0 }, "schema" : "https://github.com/citation-style-language/schema/raw/master/csl-citation.json" }</w:instrText>
      </w:r>
      <w:r w:rsidR="009A1FEC" w:rsidRPr="0013327C">
        <w:rPr>
          <w:rFonts w:asciiTheme="majorHAnsi" w:hAnsiTheme="majorHAnsi"/>
        </w:rPr>
        <w:fldChar w:fldCharType="separate"/>
      </w:r>
      <w:r w:rsidR="00E5134C" w:rsidRPr="00E5134C">
        <w:rPr>
          <w:rFonts w:asciiTheme="majorHAnsi" w:hAnsiTheme="majorHAnsi"/>
          <w:noProof/>
        </w:rPr>
        <w:t>(Gietz &amp; Sugino 1988)</w:t>
      </w:r>
      <w:r w:rsidR="009A1FEC" w:rsidRPr="0013327C">
        <w:rPr>
          <w:rFonts w:asciiTheme="majorHAnsi" w:hAnsiTheme="majorHAnsi"/>
        </w:rPr>
        <w:fldChar w:fldCharType="end"/>
      </w:r>
      <w:r w:rsidRPr="0013327C">
        <w:rPr>
          <w:rFonts w:asciiTheme="majorHAnsi" w:hAnsiTheme="majorHAnsi"/>
        </w:rPr>
        <w:t xml:space="preserve">. Terminators, fluorophores, promoters and ORFs were inserted using the restriction map in Figure 2.3.1. A stepwise schematic of the construction of four shuttle vectors is given in Figure 2.3.2 using </w:t>
      </w:r>
      <w:r w:rsidR="00F76BAE" w:rsidRPr="0013327C">
        <w:rPr>
          <w:rFonts w:asciiTheme="majorHAnsi" w:hAnsiTheme="majorHAnsi"/>
        </w:rPr>
        <w:t>these</w:t>
      </w:r>
      <w:r w:rsidRPr="0013327C">
        <w:rPr>
          <w:rFonts w:asciiTheme="majorHAnsi" w:hAnsiTheme="majorHAnsi"/>
        </w:rPr>
        <w:t xml:space="preserve"> restriction sites.</w:t>
      </w:r>
    </w:p>
    <w:p w:rsidR="00147748" w:rsidRDefault="00147748"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585596" cy="530647"/>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5615725" cy="533509"/>
                    </a:xfrm>
                    <a:prstGeom prst="rect">
                      <a:avLst/>
                    </a:prstGeom>
                    <a:noFill/>
                  </pic:spPr>
                </pic:pic>
              </a:graphicData>
            </a:graphic>
          </wp:inline>
        </w:drawing>
      </w:r>
    </w:p>
    <w:p w:rsidR="00FC55B4" w:rsidRPr="000B6A0A" w:rsidRDefault="00FC55B4" w:rsidP="00AE0264">
      <w:pPr>
        <w:jc w:val="both"/>
        <w:rPr>
          <w:rFonts w:asciiTheme="majorHAnsi" w:hAnsiTheme="majorHAnsi"/>
        </w:rPr>
      </w:pPr>
      <w:proofErr w:type="gramStart"/>
      <w:r>
        <w:rPr>
          <w:rFonts w:asciiTheme="majorHAnsi" w:hAnsiTheme="majorHAnsi"/>
          <w:b/>
        </w:rPr>
        <w:t>Figure 2.3.</w:t>
      </w:r>
      <w:proofErr w:type="gramEnd"/>
      <w:r>
        <w:rPr>
          <w:rFonts w:asciiTheme="majorHAnsi" w:hAnsiTheme="majorHAnsi"/>
          <w:b/>
        </w:rPr>
        <w:t xml:space="preserve"> </w:t>
      </w:r>
      <w:proofErr w:type="gramStart"/>
      <w:r>
        <w:rPr>
          <w:rFonts w:asciiTheme="majorHAnsi" w:hAnsiTheme="majorHAnsi"/>
          <w:b/>
        </w:rPr>
        <w:t>Multiple cloning site</w:t>
      </w:r>
      <w:r w:rsidR="00375EB5">
        <w:rPr>
          <w:rFonts w:asciiTheme="majorHAnsi" w:hAnsiTheme="majorHAnsi"/>
          <w:b/>
        </w:rPr>
        <w:t xml:space="preserve"> </w:t>
      </w:r>
      <w:r w:rsidR="000B6A0A">
        <w:rPr>
          <w:rFonts w:asciiTheme="majorHAnsi" w:hAnsiTheme="majorHAnsi"/>
          <w:b/>
        </w:rPr>
        <w:t>of the ycplac33 yeast expression vector.</w:t>
      </w:r>
      <w:proofErr w:type="gramEnd"/>
      <w:r w:rsidR="000B6A0A">
        <w:rPr>
          <w:rFonts w:asciiTheme="majorHAnsi" w:hAnsiTheme="majorHAnsi"/>
        </w:rPr>
        <w:t xml:space="preserve"> The shuttle vectors were constructed step-wise (see </w:t>
      </w:r>
      <w:r w:rsidR="000B6A0A" w:rsidRPr="000B6A0A">
        <w:rPr>
          <w:rFonts w:asciiTheme="majorHAnsi" w:hAnsiTheme="majorHAnsi"/>
          <w:b/>
        </w:rPr>
        <w:t>fig. 2.4.</w:t>
      </w:r>
      <w:r w:rsidR="000B6A0A">
        <w:rPr>
          <w:rFonts w:asciiTheme="majorHAnsi" w:hAnsiTheme="majorHAnsi"/>
        </w:rPr>
        <w:t xml:space="preserve">) by homologous recombination into the </w:t>
      </w:r>
      <w:r w:rsidR="00375EB5">
        <w:rPr>
          <w:rFonts w:asciiTheme="majorHAnsi" w:hAnsiTheme="majorHAnsi"/>
        </w:rPr>
        <w:t>multiple cloning site (</w:t>
      </w:r>
      <w:r w:rsidR="000B6A0A">
        <w:rPr>
          <w:rFonts w:asciiTheme="majorHAnsi" w:hAnsiTheme="majorHAnsi"/>
        </w:rPr>
        <w:t>MCS</w:t>
      </w:r>
      <w:r w:rsidR="00375EB5">
        <w:rPr>
          <w:rFonts w:asciiTheme="majorHAnsi" w:hAnsiTheme="majorHAnsi"/>
        </w:rPr>
        <w:t>)</w:t>
      </w:r>
      <w:r w:rsidR="000B6A0A">
        <w:rPr>
          <w:rFonts w:asciiTheme="majorHAnsi" w:hAnsiTheme="majorHAnsi"/>
        </w:rPr>
        <w:t>.</w:t>
      </w:r>
    </w:p>
    <w:p w:rsidR="00147748" w:rsidRPr="0013327C" w:rsidRDefault="00147748" w:rsidP="00AE0264">
      <w:pPr>
        <w:jc w:val="both"/>
        <w:rPr>
          <w:rFonts w:asciiTheme="majorHAnsi" w:hAnsiTheme="majorHAnsi"/>
        </w:rPr>
      </w:pPr>
    </w:p>
    <w:p w:rsidR="00147748" w:rsidRPr="0013327C" w:rsidRDefault="00B34396" w:rsidP="00AE0264">
      <w:pPr>
        <w:jc w:val="both"/>
        <w:rPr>
          <w:rFonts w:asciiTheme="majorHAnsi" w:hAnsiTheme="majorHAnsi"/>
        </w:rPr>
      </w:pPr>
      <w:r>
        <w:rPr>
          <w:rFonts w:asciiTheme="majorHAnsi" w:hAnsiTheme="majorHAnsi"/>
          <w:noProof/>
          <w:lang w:eastAsia="en-GB"/>
        </w:rPr>
        <w:drawing>
          <wp:inline distT="0" distB="0" distL="0" distR="0">
            <wp:extent cx="5270677" cy="3665411"/>
            <wp:effectExtent l="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274204" cy="3667864"/>
                    </a:xfrm>
                    <a:prstGeom prst="rect">
                      <a:avLst/>
                    </a:prstGeom>
                    <a:noFill/>
                  </pic:spPr>
                </pic:pic>
              </a:graphicData>
            </a:graphic>
          </wp:inline>
        </w:drawing>
      </w:r>
    </w:p>
    <w:p w:rsidR="00147748" w:rsidRPr="0013327C" w:rsidRDefault="00147748" w:rsidP="00AE0264">
      <w:pPr>
        <w:jc w:val="both"/>
        <w:rPr>
          <w:rFonts w:asciiTheme="majorHAnsi" w:hAnsiTheme="majorHAnsi"/>
        </w:rPr>
      </w:pPr>
      <w:proofErr w:type="gramStart"/>
      <w:r w:rsidRPr="0013327C">
        <w:rPr>
          <w:rFonts w:asciiTheme="majorHAnsi" w:hAnsiTheme="majorHAnsi"/>
          <w:b/>
        </w:rPr>
        <w:t>Figure 2</w:t>
      </w:r>
      <w:r w:rsidR="002C7A70" w:rsidRPr="0013327C">
        <w:rPr>
          <w:rFonts w:asciiTheme="majorHAnsi" w:hAnsiTheme="majorHAnsi"/>
          <w:b/>
        </w:rPr>
        <w:t>.</w:t>
      </w:r>
      <w:r w:rsidR="00375EB5">
        <w:rPr>
          <w:rFonts w:asciiTheme="majorHAnsi" w:hAnsiTheme="majorHAnsi"/>
          <w:b/>
        </w:rPr>
        <w:t>4</w:t>
      </w:r>
      <w:r w:rsidR="002C7A70" w:rsidRPr="0013327C">
        <w:rPr>
          <w:rFonts w:asciiTheme="majorHAnsi" w:hAnsiTheme="majorHAnsi"/>
          <w:b/>
        </w:rPr>
        <w:t>.</w:t>
      </w:r>
      <w:proofErr w:type="gramEnd"/>
      <w:r w:rsidRPr="0013327C">
        <w:rPr>
          <w:rFonts w:asciiTheme="majorHAnsi" w:hAnsiTheme="majorHAnsi"/>
          <w:b/>
        </w:rPr>
        <w:t xml:space="preserve"> </w:t>
      </w:r>
      <w:proofErr w:type="gramStart"/>
      <w:r w:rsidRPr="00F76BAE">
        <w:rPr>
          <w:rFonts w:asciiTheme="majorHAnsi" w:hAnsiTheme="majorHAnsi"/>
          <w:b/>
        </w:rPr>
        <w:t>Stepwise cloning of the four shuttle vectors by homologous recombination.</w:t>
      </w:r>
      <w:proofErr w:type="gramEnd"/>
      <w:r w:rsidRPr="00F76BAE">
        <w:rPr>
          <w:rFonts w:asciiTheme="majorHAnsi" w:hAnsiTheme="majorHAnsi"/>
          <w:b/>
        </w:rPr>
        <w:t xml:space="preserve">  </w:t>
      </w:r>
      <w:proofErr w:type="gramStart"/>
      <w:r w:rsidRPr="0013327C">
        <w:rPr>
          <w:rFonts w:asciiTheme="majorHAnsi" w:hAnsiTheme="majorHAnsi"/>
          <w:b/>
        </w:rPr>
        <w:t xml:space="preserve">A </w:t>
      </w:r>
      <w:r w:rsidRPr="0013327C">
        <w:rPr>
          <w:rFonts w:asciiTheme="majorHAnsi" w:hAnsiTheme="majorHAnsi"/>
        </w:rPr>
        <w:t>The</w:t>
      </w:r>
      <w:proofErr w:type="gramEnd"/>
      <w:r w:rsidRPr="0013327C">
        <w:rPr>
          <w:rFonts w:asciiTheme="majorHAnsi" w:hAnsiTheme="majorHAnsi"/>
        </w:rPr>
        <w:t xml:space="preserve"> parent plasmid ycplac33 was used for the creation of the shuttle vector. </w:t>
      </w:r>
      <w:r w:rsidRPr="0013327C">
        <w:rPr>
          <w:rFonts w:asciiTheme="majorHAnsi" w:hAnsiTheme="majorHAnsi"/>
          <w:b/>
        </w:rPr>
        <w:t xml:space="preserve">B </w:t>
      </w:r>
      <w:r w:rsidRPr="0013327C">
        <w:rPr>
          <w:rFonts w:asciiTheme="majorHAnsi" w:hAnsiTheme="majorHAnsi"/>
        </w:rPr>
        <w:t xml:space="preserve">The pMt terminator is cloned between SphI and HindIII. </w:t>
      </w:r>
      <w:r w:rsidRPr="0013327C">
        <w:rPr>
          <w:rFonts w:asciiTheme="majorHAnsi" w:hAnsiTheme="majorHAnsi"/>
          <w:b/>
        </w:rPr>
        <w:t>C + D</w:t>
      </w:r>
      <w:r w:rsidRPr="0013327C">
        <w:rPr>
          <w:rFonts w:asciiTheme="majorHAnsi" w:hAnsiTheme="majorHAnsi"/>
        </w:rPr>
        <w:t xml:space="preserve"> The fluorophores eGFP and mRFP are then cloned between PstI and SphI. The </w:t>
      </w:r>
      <w:proofErr w:type="gramStart"/>
      <w:r w:rsidRPr="0013327C">
        <w:rPr>
          <w:rFonts w:asciiTheme="majorHAnsi" w:hAnsiTheme="majorHAnsi"/>
        </w:rPr>
        <w:t>promoters</w:t>
      </w:r>
      <w:proofErr w:type="gramEnd"/>
      <w:r w:rsidRPr="0013327C">
        <w:rPr>
          <w:rFonts w:asciiTheme="majorHAnsi" w:hAnsiTheme="majorHAnsi"/>
        </w:rPr>
        <w:t xml:space="preserve"> pMT and pAc5.1 are then each cloned into the two plasmids containing the fluorophores. Four shuttle vectors are created: pMt-mRFP (</w:t>
      </w:r>
      <w:r w:rsidRPr="0013327C">
        <w:rPr>
          <w:rFonts w:asciiTheme="majorHAnsi" w:hAnsiTheme="majorHAnsi"/>
          <w:b/>
        </w:rPr>
        <w:t>E</w:t>
      </w:r>
      <w:r w:rsidRPr="0013327C">
        <w:rPr>
          <w:rFonts w:asciiTheme="majorHAnsi" w:hAnsiTheme="majorHAnsi"/>
        </w:rPr>
        <w:t>), pAc-mRFP (</w:t>
      </w:r>
      <w:r w:rsidRPr="0013327C">
        <w:rPr>
          <w:rFonts w:asciiTheme="majorHAnsi" w:hAnsiTheme="majorHAnsi"/>
          <w:b/>
        </w:rPr>
        <w:t>F</w:t>
      </w:r>
      <w:r w:rsidRPr="0013327C">
        <w:rPr>
          <w:rFonts w:asciiTheme="majorHAnsi" w:hAnsiTheme="majorHAnsi"/>
        </w:rPr>
        <w:t>), pMT-eGFP (</w:t>
      </w:r>
      <w:r w:rsidRPr="0013327C">
        <w:rPr>
          <w:rFonts w:asciiTheme="majorHAnsi" w:hAnsiTheme="majorHAnsi"/>
          <w:b/>
        </w:rPr>
        <w:t>G</w:t>
      </w:r>
      <w:r w:rsidRPr="0013327C">
        <w:rPr>
          <w:rFonts w:asciiTheme="majorHAnsi" w:hAnsiTheme="majorHAnsi"/>
        </w:rPr>
        <w:t>) and pAc-eGFP (</w:t>
      </w:r>
      <w:r w:rsidRPr="0013327C">
        <w:rPr>
          <w:rFonts w:asciiTheme="majorHAnsi" w:hAnsiTheme="majorHAnsi"/>
          <w:b/>
        </w:rPr>
        <w:t>H</w:t>
      </w:r>
      <w:r w:rsidRPr="0013327C">
        <w:rPr>
          <w:rFonts w:asciiTheme="majorHAnsi" w:hAnsiTheme="majorHAnsi"/>
        </w:rPr>
        <w:t xml:space="preserve">). </w:t>
      </w:r>
      <w:r w:rsidR="00215467">
        <w:rPr>
          <w:rFonts w:asciiTheme="majorHAnsi" w:hAnsiTheme="majorHAnsi"/>
        </w:rPr>
        <w:t xml:space="preserve">No restriction sites were removed in any of </w:t>
      </w:r>
      <w:r w:rsidR="00BB3884">
        <w:rPr>
          <w:rFonts w:asciiTheme="majorHAnsi" w:hAnsiTheme="majorHAnsi"/>
        </w:rPr>
        <w:t xml:space="preserve">the cloning steps. </w:t>
      </w:r>
      <w:r w:rsidRPr="0013327C">
        <w:rPr>
          <w:rFonts w:asciiTheme="majorHAnsi" w:hAnsiTheme="majorHAnsi"/>
        </w:rPr>
        <w:t>In this research only the pMt-eGFP is used to clone the nmd ORF (see Chapter 5).</w:t>
      </w:r>
    </w:p>
    <w:p w:rsidR="00147748" w:rsidRPr="0013327C" w:rsidRDefault="00147748" w:rsidP="00AE0264">
      <w:pPr>
        <w:jc w:val="both"/>
        <w:rPr>
          <w:rFonts w:asciiTheme="majorHAnsi" w:hAnsiTheme="majorHAnsi"/>
        </w:rPr>
      </w:pPr>
      <w:r w:rsidRPr="0013327C">
        <w:rPr>
          <w:rFonts w:asciiTheme="majorHAnsi" w:hAnsiTheme="majorHAnsi"/>
        </w:rPr>
        <w:t xml:space="preserve">The method of cloning by homologous recombination in yeast is described herein. The open reading frame (ORF) of interest was amplified by PCR. Primers were designed to anneal to the 5’ ends of the ORF. The 5’ ends of the primers contained an additional 18 nucleotides, an extension that was homologous to the sequences of the target </w:t>
      </w:r>
      <w:r w:rsidRPr="0013327C">
        <w:rPr>
          <w:rFonts w:asciiTheme="majorHAnsi" w:hAnsiTheme="majorHAnsi"/>
        </w:rPr>
        <w:lastRenderedPageBreak/>
        <w:t>linearised plasmid that flanked the insertion site. The amplicon and linearised plasmid (digested by restriction enzyme at the insertion site) were then transformed into yeast and selected for on yeast minimal medium 2 lacking uracil (YM2 Ura).</w:t>
      </w:r>
    </w:p>
    <w:p w:rsidR="00147748" w:rsidRPr="0013327C" w:rsidRDefault="00147748" w:rsidP="00AE0264">
      <w:pPr>
        <w:jc w:val="both"/>
        <w:rPr>
          <w:rFonts w:asciiTheme="majorHAnsi" w:hAnsiTheme="majorHAnsi"/>
          <w:b/>
        </w:rPr>
      </w:pPr>
      <w:r w:rsidRPr="0013327C">
        <w:rPr>
          <w:rFonts w:asciiTheme="majorHAnsi" w:hAnsiTheme="majorHAnsi"/>
          <w:b/>
          <w:noProof/>
          <w:lang w:eastAsia="en-GB"/>
        </w:rPr>
        <w:drawing>
          <wp:inline distT="0" distB="0" distL="0" distR="0">
            <wp:extent cx="3984585" cy="2803748"/>
            <wp:effectExtent l="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srcRect/>
                    <a:stretch>
                      <a:fillRect/>
                    </a:stretch>
                  </pic:blipFill>
                  <pic:spPr bwMode="auto">
                    <a:xfrm>
                      <a:off x="0" y="0"/>
                      <a:ext cx="3985321" cy="2804266"/>
                    </a:xfrm>
                    <a:prstGeom prst="rect">
                      <a:avLst/>
                    </a:prstGeom>
                    <a:noFill/>
                  </pic:spPr>
                </pic:pic>
              </a:graphicData>
            </a:graphic>
          </wp:inline>
        </w:drawing>
      </w:r>
    </w:p>
    <w:p w:rsidR="00147748" w:rsidRDefault="00147748" w:rsidP="00AE0264">
      <w:pPr>
        <w:jc w:val="both"/>
        <w:rPr>
          <w:rFonts w:asciiTheme="majorHAnsi" w:hAnsiTheme="majorHAnsi"/>
        </w:rPr>
      </w:pPr>
      <w:proofErr w:type="gramStart"/>
      <w:r w:rsidRPr="0013327C">
        <w:rPr>
          <w:rFonts w:asciiTheme="majorHAnsi" w:hAnsiTheme="majorHAnsi"/>
          <w:b/>
        </w:rPr>
        <w:t>Figure 2.</w:t>
      </w:r>
      <w:r w:rsidR="00E03CD0">
        <w:rPr>
          <w:rFonts w:asciiTheme="majorHAnsi" w:hAnsiTheme="majorHAnsi"/>
          <w:b/>
        </w:rPr>
        <w:t>5</w:t>
      </w:r>
      <w:r w:rsidRPr="0013327C">
        <w:rPr>
          <w:rFonts w:asciiTheme="majorHAnsi" w:hAnsiTheme="majorHAnsi"/>
          <w:b/>
        </w:rPr>
        <w:t>.</w:t>
      </w:r>
      <w:proofErr w:type="gramEnd"/>
      <w:r w:rsidRPr="0013327C">
        <w:rPr>
          <w:rFonts w:asciiTheme="majorHAnsi" w:hAnsiTheme="majorHAnsi"/>
          <w:b/>
        </w:rPr>
        <w:t xml:space="preserve"> </w:t>
      </w:r>
      <w:proofErr w:type="gramStart"/>
      <w:r w:rsidRPr="0013327C">
        <w:rPr>
          <w:rFonts w:asciiTheme="majorHAnsi" w:hAnsiTheme="majorHAnsi"/>
          <w:b/>
        </w:rPr>
        <w:t>Homologous recombination in yeast expression vector ycplac33.</w:t>
      </w:r>
      <w:proofErr w:type="gramEnd"/>
      <w:r w:rsidRPr="0013327C">
        <w:rPr>
          <w:rFonts w:asciiTheme="majorHAnsi" w:hAnsiTheme="majorHAnsi"/>
          <w:b/>
        </w:rPr>
        <w:t xml:space="preserve"> </w:t>
      </w:r>
      <w:r w:rsidRPr="0013327C">
        <w:rPr>
          <w:rFonts w:asciiTheme="majorHAnsi" w:hAnsiTheme="majorHAnsi"/>
        </w:rPr>
        <w:t>The target ORF (green) is amplified with primers containing 18 nucleotide-long overhanging extensions (purple) homologous to the restricted target plasmid. The homologous recombination occurs at the sites marked crosses.</w:t>
      </w:r>
    </w:p>
    <w:p w:rsidR="00EF7819" w:rsidRDefault="00EF7819" w:rsidP="00AE0264">
      <w:pPr>
        <w:jc w:val="both"/>
        <w:rPr>
          <w:rFonts w:asciiTheme="majorHAnsi" w:hAnsiTheme="majorHAnsi"/>
        </w:rPr>
      </w:pPr>
    </w:p>
    <w:p w:rsidR="00EF7819" w:rsidRDefault="00EF7819" w:rsidP="00AE0264">
      <w:pPr>
        <w:jc w:val="both"/>
        <w:rPr>
          <w:rFonts w:asciiTheme="majorHAnsi" w:hAnsiTheme="majorHAnsi"/>
        </w:rPr>
      </w:pPr>
    </w:p>
    <w:p w:rsidR="00EF7819" w:rsidRDefault="00EF7819" w:rsidP="00AE0264">
      <w:pPr>
        <w:jc w:val="both"/>
        <w:rPr>
          <w:rFonts w:asciiTheme="majorHAnsi" w:hAnsiTheme="majorHAnsi"/>
        </w:rPr>
      </w:pPr>
    </w:p>
    <w:p w:rsidR="00EF7819" w:rsidRDefault="00EF7819" w:rsidP="00AE0264">
      <w:pPr>
        <w:jc w:val="both"/>
        <w:rPr>
          <w:rFonts w:asciiTheme="majorHAnsi" w:hAnsiTheme="majorHAnsi"/>
        </w:rPr>
      </w:pPr>
    </w:p>
    <w:p w:rsidR="00EF7819" w:rsidRDefault="00EF7819" w:rsidP="00AE0264">
      <w:pPr>
        <w:jc w:val="both"/>
        <w:rPr>
          <w:rFonts w:asciiTheme="majorHAnsi" w:hAnsiTheme="majorHAnsi"/>
        </w:rPr>
      </w:pPr>
    </w:p>
    <w:p w:rsidR="00EF7819" w:rsidRDefault="00EF7819" w:rsidP="00AE0264">
      <w:pPr>
        <w:jc w:val="both"/>
        <w:rPr>
          <w:rFonts w:asciiTheme="majorHAnsi" w:hAnsiTheme="majorHAnsi"/>
        </w:rPr>
      </w:pPr>
    </w:p>
    <w:p w:rsidR="00EF7819" w:rsidRDefault="00EF7819" w:rsidP="00AE0264">
      <w:pPr>
        <w:jc w:val="both"/>
        <w:rPr>
          <w:rFonts w:asciiTheme="majorHAnsi" w:hAnsiTheme="majorHAnsi"/>
        </w:rPr>
      </w:pPr>
    </w:p>
    <w:p w:rsidR="00EF7819" w:rsidRDefault="00EF7819" w:rsidP="00AE0264">
      <w:pPr>
        <w:jc w:val="both"/>
        <w:rPr>
          <w:rFonts w:asciiTheme="majorHAnsi" w:hAnsiTheme="majorHAnsi"/>
        </w:rPr>
      </w:pPr>
    </w:p>
    <w:p w:rsidR="00EF7819" w:rsidRPr="0013327C" w:rsidRDefault="00EF7819" w:rsidP="00AE0264">
      <w:pPr>
        <w:jc w:val="both"/>
        <w:rPr>
          <w:rFonts w:asciiTheme="majorHAnsi" w:hAnsiTheme="majorHAnsi"/>
        </w:rPr>
      </w:pPr>
    </w:p>
    <w:p w:rsidR="00147748" w:rsidRPr="0013327C" w:rsidRDefault="00147748" w:rsidP="00AE0264">
      <w:pPr>
        <w:pStyle w:val="Heading2"/>
        <w:jc w:val="both"/>
      </w:pPr>
      <w:bookmarkStart w:id="55" w:name="_Toc348423307"/>
      <w:r w:rsidRPr="0013327C">
        <w:lastRenderedPageBreak/>
        <w:t>Preparation of culture media</w:t>
      </w:r>
      <w:bookmarkEnd w:id="55"/>
    </w:p>
    <w:tbl>
      <w:tblPr>
        <w:tblW w:w="8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85"/>
        <w:gridCol w:w="5771"/>
      </w:tblGrid>
      <w:tr w:rsidR="00147748" w:rsidRPr="0013327C" w:rsidTr="00597427">
        <w:tc>
          <w:tcPr>
            <w:tcW w:w="3085" w:type="dxa"/>
          </w:tcPr>
          <w:p w:rsidR="00147748" w:rsidRPr="0013327C" w:rsidRDefault="00147748" w:rsidP="00AE0264">
            <w:pPr>
              <w:pStyle w:val="Footer"/>
              <w:tabs>
                <w:tab w:val="clear" w:pos="4153"/>
                <w:tab w:val="clear" w:pos="8306"/>
              </w:tabs>
              <w:spacing w:line="360" w:lineRule="auto"/>
              <w:jc w:val="both"/>
              <w:rPr>
                <w:rFonts w:asciiTheme="majorHAnsi" w:hAnsiTheme="majorHAnsi"/>
                <w:b/>
                <w:lang w:val="en-US"/>
              </w:rPr>
            </w:pPr>
            <w:r w:rsidRPr="0013327C">
              <w:rPr>
                <w:rFonts w:asciiTheme="majorHAnsi" w:hAnsiTheme="majorHAnsi"/>
                <w:b/>
                <w:lang w:val="en-US"/>
              </w:rPr>
              <w:t>Culture Media</w:t>
            </w:r>
          </w:p>
        </w:tc>
        <w:tc>
          <w:tcPr>
            <w:tcW w:w="5771" w:type="dxa"/>
          </w:tcPr>
          <w:p w:rsidR="00147748" w:rsidRPr="0013327C" w:rsidRDefault="00147748" w:rsidP="00AE0264">
            <w:pPr>
              <w:jc w:val="both"/>
              <w:rPr>
                <w:rFonts w:asciiTheme="majorHAnsi" w:hAnsiTheme="majorHAnsi"/>
                <w:b/>
              </w:rPr>
            </w:pPr>
            <w:r w:rsidRPr="0013327C">
              <w:rPr>
                <w:rFonts w:asciiTheme="majorHAnsi" w:hAnsiTheme="majorHAnsi"/>
                <w:b/>
              </w:rPr>
              <w:t>Description</w:t>
            </w:r>
          </w:p>
        </w:tc>
      </w:tr>
      <w:tr w:rsidR="00147748" w:rsidRPr="0013327C" w:rsidTr="00597427">
        <w:tc>
          <w:tcPr>
            <w:tcW w:w="3085" w:type="dxa"/>
          </w:tcPr>
          <w:p w:rsidR="00147748" w:rsidRPr="0013327C" w:rsidRDefault="00147748" w:rsidP="00AE0264">
            <w:pPr>
              <w:pStyle w:val="Footer"/>
              <w:tabs>
                <w:tab w:val="clear" w:pos="4153"/>
                <w:tab w:val="clear" w:pos="8306"/>
              </w:tabs>
              <w:spacing w:line="360" w:lineRule="auto"/>
              <w:jc w:val="both"/>
              <w:rPr>
                <w:rFonts w:asciiTheme="majorHAnsi" w:hAnsiTheme="majorHAnsi"/>
                <w:lang w:val="en-US"/>
              </w:rPr>
            </w:pPr>
            <w:r w:rsidRPr="0013327C">
              <w:rPr>
                <w:rFonts w:asciiTheme="majorHAnsi" w:hAnsiTheme="majorHAnsi"/>
                <w:lang w:val="en-US"/>
              </w:rPr>
              <w:t>2TY</w:t>
            </w:r>
          </w:p>
        </w:tc>
        <w:tc>
          <w:tcPr>
            <w:tcW w:w="5771" w:type="dxa"/>
          </w:tcPr>
          <w:p w:rsidR="00147748" w:rsidRPr="0013327C" w:rsidRDefault="00147748" w:rsidP="00AE0264">
            <w:pPr>
              <w:jc w:val="both"/>
              <w:rPr>
                <w:rFonts w:asciiTheme="majorHAnsi" w:hAnsiTheme="majorHAnsi"/>
              </w:rPr>
            </w:pPr>
            <w:r w:rsidRPr="0013327C">
              <w:rPr>
                <w:rFonts w:asciiTheme="majorHAnsi" w:hAnsiTheme="majorHAnsi"/>
              </w:rPr>
              <w:t>1.6% Bacto tryptone, 1% Yeast extract, 0.5% NaCl. Where antibiotic-resistance selection was required, Ampicillin was added (to autoclaved media) to a final concentration of 75</w:t>
            </w:r>
            <w:r w:rsidRPr="0013327C">
              <w:rPr>
                <w:rFonts w:asciiTheme="majorHAnsi" w:hAnsiTheme="majorHAnsi"/>
              </w:rPr>
              <w:sym w:font="Symbol" w:char="F06D"/>
            </w:r>
            <w:r w:rsidRPr="0013327C">
              <w:rPr>
                <w:rFonts w:asciiTheme="majorHAnsi" w:hAnsiTheme="majorHAnsi"/>
              </w:rPr>
              <w:t>g/ml when the media temperature had fallen to approx. 50°C.</w:t>
            </w:r>
          </w:p>
        </w:tc>
      </w:tr>
      <w:tr w:rsidR="00147748" w:rsidRPr="0013327C" w:rsidTr="00597427">
        <w:tc>
          <w:tcPr>
            <w:tcW w:w="3085" w:type="dxa"/>
          </w:tcPr>
          <w:p w:rsidR="00147748" w:rsidRPr="0013327C" w:rsidRDefault="00147748" w:rsidP="00AE0264">
            <w:pPr>
              <w:jc w:val="both"/>
              <w:rPr>
                <w:rFonts w:asciiTheme="majorHAnsi" w:hAnsiTheme="majorHAnsi"/>
              </w:rPr>
            </w:pPr>
            <w:r w:rsidRPr="0013327C">
              <w:rPr>
                <w:rFonts w:asciiTheme="majorHAnsi" w:hAnsiTheme="majorHAnsi"/>
              </w:rPr>
              <w:t>YPD</w:t>
            </w:r>
          </w:p>
        </w:tc>
        <w:tc>
          <w:tcPr>
            <w:tcW w:w="5771" w:type="dxa"/>
          </w:tcPr>
          <w:p w:rsidR="00147748" w:rsidRPr="0013327C" w:rsidRDefault="008E451A" w:rsidP="00AE0264">
            <w:pPr>
              <w:jc w:val="both"/>
              <w:rPr>
                <w:rFonts w:asciiTheme="majorHAnsi" w:hAnsiTheme="majorHAnsi"/>
              </w:rPr>
            </w:pPr>
            <w:r>
              <w:rPr>
                <w:rFonts w:asciiTheme="majorHAnsi" w:hAnsiTheme="majorHAnsi"/>
              </w:rPr>
              <w:t>2</w:t>
            </w:r>
            <w:r w:rsidR="00147748" w:rsidRPr="0013327C">
              <w:rPr>
                <w:rFonts w:asciiTheme="majorHAnsi" w:hAnsiTheme="majorHAnsi"/>
              </w:rPr>
              <w:t>% peptone, 1% yeast extract and 2% glucose.</w:t>
            </w:r>
          </w:p>
        </w:tc>
      </w:tr>
      <w:tr w:rsidR="00147748" w:rsidRPr="0013327C" w:rsidTr="00597427">
        <w:tc>
          <w:tcPr>
            <w:tcW w:w="3085" w:type="dxa"/>
          </w:tcPr>
          <w:p w:rsidR="00147748" w:rsidRPr="0013327C" w:rsidRDefault="00147748" w:rsidP="00AE0264">
            <w:pPr>
              <w:jc w:val="both"/>
              <w:rPr>
                <w:rFonts w:asciiTheme="majorHAnsi" w:hAnsiTheme="majorHAnsi"/>
              </w:rPr>
            </w:pPr>
            <w:r w:rsidRPr="0013327C">
              <w:rPr>
                <w:rFonts w:asciiTheme="majorHAnsi" w:hAnsiTheme="majorHAnsi"/>
              </w:rPr>
              <w:t>Yeast Minimal Media 2</w:t>
            </w:r>
          </w:p>
          <w:p w:rsidR="00147748" w:rsidRPr="0013327C" w:rsidRDefault="00147748" w:rsidP="00AE0264">
            <w:pPr>
              <w:jc w:val="both"/>
              <w:rPr>
                <w:rFonts w:asciiTheme="majorHAnsi" w:hAnsiTheme="majorHAnsi"/>
              </w:rPr>
            </w:pPr>
            <w:r w:rsidRPr="0013327C">
              <w:rPr>
                <w:rFonts w:asciiTheme="majorHAnsi" w:hAnsiTheme="majorHAnsi"/>
              </w:rPr>
              <w:t>(for uracil and leucine selection)</w:t>
            </w:r>
          </w:p>
          <w:p w:rsidR="00147748" w:rsidRPr="0013327C" w:rsidRDefault="00147748" w:rsidP="00AE0264">
            <w:pPr>
              <w:jc w:val="both"/>
              <w:rPr>
                <w:rFonts w:asciiTheme="majorHAnsi" w:hAnsiTheme="majorHAnsi"/>
              </w:rPr>
            </w:pPr>
          </w:p>
        </w:tc>
        <w:tc>
          <w:tcPr>
            <w:tcW w:w="5771" w:type="dxa"/>
          </w:tcPr>
          <w:p w:rsidR="00147748" w:rsidRPr="0013327C" w:rsidRDefault="00147748" w:rsidP="00AE0264">
            <w:pPr>
              <w:jc w:val="both"/>
              <w:rPr>
                <w:rFonts w:asciiTheme="majorHAnsi" w:hAnsiTheme="majorHAnsi"/>
              </w:rPr>
            </w:pPr>
            <w:r w:rsidRPr="0013327C">
              <w:rPr>
                <w:rFonts w:asciiTheme="majorHAnsi" w:hAnsiTheme="majorHAnsi"/>
              </w:rPr>
              <w:t>0.17% yeast nitrogen base (without amino acids and ammonium sulphate), 0.5% ammonium sulphate, 1% casamino acids, 2% glucose (or galactose, as required). Adjusted to pH 7.5. Leucine was added to the autoclaved media and either uracil or tryptophan, as required.</w:t>
            </w:r>
          </w:p>
        </w:tc>
      </w:tr>
      <w:tr w:rsidR="00147748" w:rsidRPr="0013327C" w:rsidTr="00597427">
        <w:tc>
          <w:tcPr>
            <w:tcW w:w="3085" w:type="dxa"/>
          </w:tcPr>
          <w:p w:rsidR="00147748" w:rsidRPr="0013327C" w:rsidRDefault="00147748" w:rsidP="00AE0264">
            <w:pPr>
              <w:pStyle w:val="Footer"/>
              <w:tabs>
                <w:tab w:val="clear" w:pos="4153"/>
                <w:tab w:val="clear" w:pos="8306"/>
              </w:tabs>
              <w:spacing w:line="360" w:lineRule="auto"/>
              <w:jc w:val="both"/>
              <w:rPr>
                <w:rFonts w:asciiTheme="majorHAnsi" w:hAnsiTheme="majorHAnsi"/>
                <w:lang w:val="en-US"/>
              </w:rPr>
            </w:pPr>
            <w:r w:rsidRPr="0013327C">
              <w:rPr>
                <w:rFonts w:asciiTheme="majorHAnsi" w:hAnsiTheme="majorHAnsi"/>
                <w:lang w:val="en-US"/>
              </w:rPr>
              <w:t>Solid Media</w:t>
            </w:r>
          </w:p>
        </w:tc>
        <w:tc>
          <w:tcPr>
            <w:tcW w:w="5771" w:type="dxa"/>
          </w:tcPr>
          <w:p w:rsidR="00147748" w:rsidRPr="0013327C" w:rsidRDefault="00147748" w:rsidP="00AE0264">
            <w:pPr>
              <w:jc w:val="both"/>
              <w:rPr>
                <w:rFonts w:asciiTheme="majorHAnsi" w:hAnsiTheme="majorHAnsi"/>
              </w:rPr>
            </w:pPr>
            <w:r w:rsidRPr="0013327C">
              <w:rPr>
                <w:rFonts w:asciiTheme="majorHAnsi" w:hAnsiTheme="majorHAnsi"/>
              </w:rPr>
              <w:t>2% agar was added to the dissolved liquid media, autoclaved and cooled to 50</w:t>
            </w:r>
            <w:r w:rsidRPr="0013327C">
              <w:rPr>
                <w:rFonts w:asciiTheme="majorHAnsi" w:hAnsiTheme="majorHAnsi"/>
                <w:vertAlign w:val="superscript"/>
              </w:rPr>
              <w:t>o</w:t>
            </w:r>
            <w:r w:rsidRPr="0013327C">
              <w:rPr>
                <w:rFonts w:asciiTheme="majorHAnsi" w:hAnsiTheme="majorHAnsi"/>
              </w:rPr>
              <w:t xml:space="preserve">C before anti-biotics were added. The media was poured into sterile </w:t>
            </w:r>
            <w:r w:rsidR="00D24F2C" w:rsidRPr="0013327C">
              <w:rPr>
                <w:rFonts w:asciiTheme="majorHAnsi" w:hAnsiTheme="majorHAnsi"/>
              </w:rPr>
              <w:t>Petri</w:t>
            </w:r>
            <w:r w:rsidRPr="0013327C">
              <w:rPr>
                <w:rFonts w:asciiTheme="majorHAnsi" w:hAnsiTheme="majorHAnsi"/>
              </w:rPr>
              <w:t xml:space="preserve"> dishes (Sterilin) and left to set. Once set, plates were stored at 4</w:t>
            </w:r>
            <w:r w:rsidRPr="0013327C">
              <w:rPr>
                <w:rFonts w:asciiTheme="majorHAnsi" w:hAnsiTheme="majorHAnsi"/>
                <w:vertAlign w:val="superscript"/>
              </w:rPr>
              <w:t>o</w:t>
            </w:r>
            <w:r w:rsidRPr="0013327C">
              <w:rPr>
                <w:rFonts w:asciiTheme="majorHAnsi" w:hAnsiTheme="majorHAnsi"/>
              </w:rPr>
              <w:t>C.</w:t>
            </w:r>
          </w:p>
        </w:tc>
      </w:tr>
      <w:tr w:rsidR="00147748" w:rsidRPr="0013327C" w:rsidTr="00597427">
        <w:tc>
          <w:tcPr>
            <w:tcW w:w="3085" w:type="dxa"/>
          </w:tcPr>
          <w:p w:rsidR="00147748" w:rsidRPr="0013327C" w:rsidRDefault="00147748" w:rsidP="00AE0264">
            <w:pPr>
              <w:pStyle w:val="Footer"/>
              <w:tabs>
                <w:tab w:val="clear" w:pos="4153"/>
                <w:tab w:val="clear" w:pos="8306"/>
              </w:tabs>
              <w:spacing w:line="360" w:lineRule="auto"/>
              <w:jc w:val="both"/>
              <w:rPr>
                <w:rFonts w:asciiTheme="majorHAnsi" w:hAnsiTheme="majorHAnsi"/>
                <w:lang w:val="en-US"/>
              </w:rPr>
            </w:pPr>
            <w:r w:rsidRPr="0013327C">
              <w:rPr>
                <w:rFonts w:asciiTheme="majorHAnsi" w:hAnsiTheme="majorHAnsi"/>
                <w:lang w:val="en-US"/>
              </w:rPr>
              <w:t xml:space="preserve">Schneider’s </w:t>
            </w:r>
            <w:r w:rsidRPr="0013327C">
              <w:rPr>
                <w:rFonts w:asciiTheme="majorHAnsi" w:hAnsiTheme="majorHAnsi"/>
                <w:i/>
                <w:lang w:val="en-US"/>
              </w:rPr>
              <w:t>Drosophila</w:t>
            </w:r>
            <w:r w:rsidRPr="0013327C">
              <w:rPr>
                <w:rFonts w:asciiTheme="majorHAnsi" w:hAnsiTheme="majorHAnsi"/>
                <w:lang w:val="en-US"/>
              </w:rPr>
              <w:t xml:space="preserve"> medium (Gibco)</w:t>
            </w:r>
          </w:p>
        </w:tc>
        <w:tc>
          <w:tcPr>
            <w:tcW w:w="5771" w:type="dxa"/>
          </w:tcPr>
          <w:p w:rsidR="00147748" w:rsidRPr="0013327C" w:rsidRDefault="00147748" w:rsidP="00AE0264">
            <w:pPr>
              <w:jc w:val="both"/>
              <w:rPr>
                <w:rFonts w:asciiTheme="majorHAnsi" w:hAnsiTheme="majorHAnsi"/>
              </w:rPr>
            </w:pPr>
            <w:r w:rsidRPr="0013327C">
              <w:rPr>
                <w:rFonts w:asciiTheme="majorHAnsi" w:hAnsiTheme="majorHAnsi"/>
              </w:rPr>
              <w:t>Bought from Invitrogen and ultrafiltered with 0.22µm Steritops (Millipore). Medium either contained 10% foetal calf serum, 20% foetal calf serum or was serum-free (serum-free medium, SFM).</w:t>
            </w:r>
          </w:p>
        </w:tc>
      </w:tr>
      <w:tr w:rsidR="00147748" w:rsidRPr="0013327C" w:rsidTr="00597427">
        <w:tc>
          <w:tcPr>
            <w:tcW w:w="3085" w:type="dxa"/>
          </w:tcPr>
          <w:p w:rsidR="00147748" w:rsidRPr="0013327C" w:rsidRDefault="00147748" w:rsidP="00AE0264">
            <w:pPr>
              <w:pStyle w:val="Footer"/>
              <w:tabs>
                <w:tab w:val="clear" w:pos="4153"/>
                <w:tab w:val="clear" w:pos="8306"/>
              </w:tabs>
              <w:spacing w:line="360" w:lineRule="auto"/>
              <w:jc w:val="both"/>
              <w:rPr>
                <w:rFonts w:asciiTheme="majorHAnsi" w:hAnsiTheme="majorHAnsi"/>
                <w:lang w:val="en-US"/>
              </w:rPr>
            </w:pPr>
            <w:r w:rsidRPr="0013327C">
              <w:rPr>
                <w:rFonts w:asciiTheme="majorHAnsi" w:hAnsiTheme="majorHAnsi"/>
                <w:lang w:val="en-US"/>
              </w:rPr>
              <w:t>Foetal Calf serum (Sigma)</w:t>
            </w:r>
          </w:p>
        </w:tc>
        <w:tc>
          <w:tcPr>
            <w:tcW w:w="5771" w:type="dxa"/>
          </w:tcPr>
          <w:p w:rsidR="00147748" w:rsidRPr="0013327C" w:rsidRDefault="00147748" w:rsidP="00AE0264">
            <w:pPr>
              <w:jc w:val="both"/>
              <w:rPr>
                <w:rFonts w:asciiTheme="majorHAnsi" w:hAnsiTheme="majorHAnsi"/>
              </w:rPr>
            </w:pPr>
            <w:r w:rsidRPr="0013327C">
              <w:rPr>
                <w:rFonts w:asciiTheme="majorHAnsi" w:hAnsiTheme="majorHAnsi"/>
              </w:rPr>
              <w:t xml:space="preserve">Ultrafiltered and added to Schneider’s </w:t>
            </w:r>
            <w:r w:rsidRPr="0013327C">
              <w:rPr>
                <w:rFonts w:asciiTheme="majorHAnsi" w:hAnsiTheme="majorHAnsi"/>
                <w:i/>
              </w:rPr>
              <w:t>Drosophila</w:t>
            </w:r>
            <w:r w:rsidRPr="0013327C">
              <w:rPr>
                <w:rFonts w:asciiTheme="majorHAnsi" w:hAnsiTheme="majorHAnsi"/>
              </w:rPr>
              <w:t xml:space="preserve"> medium (see above).</w:t>
            </w:r>
          </w:p>
        </w:tc>
      </w:tr>
    </w:tbl>
    <w:p w:rsidR="00147748" w:rsidRPr="0013327C" w:rsidRDefault="00147748" w:rsidP="00AE0264">
      <w:pPr>
        <w:pStyle w:val="Heading2"/>
        <w:jc w:val="both"/>
      </w:pPr>
      <w:bookmarkStart w:id="56" w:name="_Toc348423308"/>
      <w:r w:rsidRPr="0013327C">
        <w:rPr>
          <w:i/>
        </w:rPr>
        <w:t xml:space="preserve">E. </w:t>
      </w:r>
      <w:r w:rsidR="00D24F2C" w:rsidRPr="0013327C">
        <w:rPr>
          <w:i/>
        </w:rPr>
        <w:t>coli protocols</w:t>
      </w:r>
      <w:bookmarkEnd w:id="56"/>
    </w:p>
    <w:p w:rsidR="00147748" w:rsidRPr="0013327C" w:rsidRDefault="00147748" w:rsidP="00AE0264">
      <w:pPr>
        <w:pStyle w:val="Heading3"/>
        <w:ind w:left="862"/>
        <w:jc w:val="both"/>
      </w:pPr>
      <w:bookmarkStart w:id="57" w:name="_Toc348423309"/>
      <w:r w:rsidRPr="0013327C">
        <w:rPr>
          <w:i/>
        </w:rPr>
        <w:t>E. coli</w:t>
      </w:r>
      <w:r w:rsidRPr="0013327C">
        <w:t xml:space="preserve"> growth and maintenance</w:t>
      </w:r>
      <w:bookmarkEnd w:id="57"/>
    </w:p>
    <w:p w:rsidR="00147748" w:rsidRPr="0013327C" w:rsidRDefault="00147748" w:rsidP="00AE0264">
      <w:pPr>
        <w:jc w:val="both"/>
        <w:rPr>
          <w:rFonts w:asciiTheme="majorHAnsi" w:hAnsiTheme="majorHAnsi"/>
        </w:rPr>
      </w:pPr>
      <w:r w:rsidRPr="0013327C">
        <w:rPr>
          <w:rFonts w:asciiTheme="majorHAnsi" w:hAnsiTheme="majorHAnsi"/>
          <w:i/>
        </w:rPr>
        <w:t>E.coli</w:t>
      </w:r>
      <w:r w:rsidRPr="0013327C">
        <w:rPr>
          <w:rFonts w:asciiTheme="majorHAnsi" w:hAnsiTheme="majorHAnsi"/>
        </w:rPr>
        <w:t xml:space="preserve"> were streaked from a frozen stock at -80°C onto a 2TY agar plate and then grown overnight at 37°C. The plate was removed the following morning for use before being wrapped in “Parafilm” (</w:t>
      </w:r>
      <w:r w:rsidR="00D24F2C">
        <w:rPr>
          <w:rFonts w:asciiTheme="majorHAnsi" w:hAnsiTheme="majorHAnsi"/>
        </w:rPr>
        <w:t>Pechiney, Chicago</w:t>
      </w:r>
      <w:r w:rsidRPr="0013327C">
        <w:rPr>
          <w:rFonts w:asciiTheme="majorHAnsi" w:hAnsiTheme="majorHAnsi"/>
        </w:rPr>
        <w:t xml:space="preserve">) and placed in a container at 5°C for use of up to a week. After a week, a single colony was </w:t>
      </w:r>
      <w:r w:rsidR="00D24F2C" w:rsidRPr="0013327C">
        <w:rPr>
          <w:rFonts w:asciiTheme="majorHAnsi" w:hAnsiTheme="majorHAnsi"/>
        </w:rPr>
        <w:t>re</w:t>
      </w:r>
      <w:r w:rsidR="00D24F2C">
        <w:rPr>
          <w:rFonts w:asciiTheme="majorHAnsi" w:hAnsiTheme="majorHAnsi"/>
        </w:rPr>
        <w:t>-</w:t>
      </w:r>
      <w:r w:rsidR="00D24F2C" w:rsidRPr="0013327C">
        <w:rPr>
          <w:rFonts w:asciiTheme="majorHAnsi" w:hAnsiTheme="majorHAnsi"/>
        </w:rPr>
        <w:t>streaked</w:t>
      </w:r>
      <w:r w:rsidRPr="0013327C">
        <w:rPr>
          <w:rFonts w:asciiTheme="majorHAnsi" w:hAnsiTheme="majorHAnsi"/>
        </w:rPr>
        <w:t xml:space="preserve"> onto a fresh 2TY agar plate. For preserving frozen stocks of transformed </w:t>
      </w:r>
      <w:r w:rsidRPr="0013327C">
        <w:rPr>
          <w:rFonts w:asciiTheme="majorHAnsi" w:hAnsiTheme="majorHAnsi"/>
          <w:i/>
        </w:rPr>
        <w:t>E. coli</w:t>
      </w:r>
      <w:r w:rsidRPr="0013327C">
        <w:rPr>
          <w:rFonts w:asciiTheme="majorHAnsi" w:hAnsiTheme="majorHAnsi"/>
        </w:rPr>
        <w:t xml:space="preserve"> a single colony was inoculated in 3ml 2TY liquid medium and incubated overnight at 37°C in an oscillating shaker at </w:t>
      </w:r>
      <w:r w:rsidRPr="0013327C">
        <w:rPr>
          <w:rFonts w:asciiTheme="majorHAnsi" w:hAnsiTheme="majorHAnsi"/>
        </w:rPr>
        <w:lastRenderedPageBreak/>
        <w:t>180rpm. The next morning 0.9ml of the culture was removed to a 1.8ml cryotube (Nunc) containing 0.9ml autoclaved 30% (v/v) glycerol and placed in the -80°C freezer.</w:t>
      </w:r>
    </w:p>
    <w:p w:rsidR="00147748" w:rsidRPr="0013327C" w:rsidRDefault="00147748" w:rsidP="00AE0264">
      <w:pPr>
        <w:pStyle w:val="Heading3"/>
        <w:ind w:left="862"/>
        <w:jc w:val="both"/>
      </w:pPr>
      <w:bookmarkStart w:id="58" w:name="_Toc348423310"/>
      <w:r w:rsidRPr="0013327C">
        <w:t>Making chemically competent DH5α cells</w:t>
      </w:r>
      <w:bookmarkEnd w:id="58"/>
    </w:p>
    <w:p w:rsidR="00147748" w:rsidRPr="0013327C" w:rsidRDefault="00147748" w:rsidP="00AE0264">
      <w:pPr>
        <w:jc w:val="both"/>
        <w:rPr>
          <w:rFonts w:asciiTheme="majorHAnsi" w:hAnsiTheme="majorHAnsi"/>
        </w:rPr>
      </w:pPr>
      <w:r w:rsidRPr="0013327C">
        <w:rPr>
          <w:rFonts w:asciiTheme="majorHAnsi" w:hAnsiTheme="majorHAnsi"/>
        </w:rPr>
        <w:t xml:space="preserve">A single colony of DH5α E. </w:t>
      </w:r>
      <w:r w:rsidRPr="0013327C">
        <w:rPr>
          <w:rFonts w:asciiTheme="majorHAnsi" w:hAnsiTheme="majorHAnsi"/>
          <w:i/>
        </w:rPr>
        <w:t xml:space="preserve">coli </w:t>
      </w:r>
      <w:r w:rsidRPr="0013327C">
        <w:rPr>
          <w:rFonts w:asciiTheme="majorHAnsi" w:hAnsiTheme="majorHAnsi"/>
        </w:rPr>
        <w:t>was inoculated into 50ml autoclaved 2TY liquid for an overnight incubation. The following morning optical density (O.D.</w:t>
      </w:r>
      <w:r w:rsidRPr="0013327C">
        <w:rPr>
          <w:rFonts w:asciiTheme="majorHAnsi" w:hAnsiTheme="majorHAnsi"/>
          <w:vertAlign w:val="subscript"/>
        </w:rPr>
        <w:t>λ600</w:t>
      </w:r>
      <w:r w:rsidRPr="0013327C">
        <w:rPr>
          <w:rFonts w:asciiTheme="majorHAnsi" w:hAnsiTheme="majorHAnsi"/>
        </w:rPr>
        <w:t>) was measured in a Jenway 6300 spectrophotometer at 600nm wavelength. 50µl of the culture were added to a 1ml cuvette (?) containing 950µ</w:t>
      </w:r>
      <w:r w:rsidR="00D24F2C" w:rsidRPr="0013327C">
        <w:rPr>
          <w:rFonts w:asciiTheme="majorHAnsi" w:hAnsiTheme="majorHAnsi"/>
        </w:rPr>
        <w:t>l 2TY</w:t>
      </w:r>
      <w:r w:rsidRPr="0013327C">
        <w:rPr>
          <w:rFonts w:asciiTheme="majorHAnsi" w:hAnsiTheme="majorHAnsi"/>
        </w:rPr>
        <w:t xml:space="preserve"> liquid (a 20-fold dilution). The spectrophotometer was zeroed using 1ml 2TY liquid in a cuvette before the diluted culture was measured. The density reading given was then multiplied by 20 to give the density of the original culture. Enough of the culture was then added to 200ml 2TY to produce a starting culture of O.D.</w:t>
      </w:r>
      <w:r w:rsidRPr="0013327C">
        <w:rPr>
          <w:rFonts w:asciiTheme="majorHAnsi" w:hAnsiTheme="majorHAnsi"/>
          <w:vertAlign w:val="subscript"/>
        </w:rPr>
        <w:t xml:space="preserve">λ600 </w:t>
      </w:r>
      <w:r w:rsidRPr="0013327C">
        <w:rPr>
          <w:rFonts w:asciiTheme="majorHAnsi" w:hAnsiTheme="majorHAnsi"/>
        </w:rPr>
        <w:t>of 0.1; it was then incubated at 37°C. Once the culture had reached O.D.</w:t>
      </w:r>
      <w:r w:rsidRPr="0013327C">
        <w:rPr>
          <w:rFonts w:asciiTheme="majorHAnsi" w:hAnsiTheme="majorHAnsi"/>
          <w:vertAlign w:val="subscript"/>
        </w:rPr>
        <w:t xml:space="preserve">λ600 </w:t>
      </w:r>
      <w:r w:rsidRPr="0013327C">
        <w:rPr>
          <w:rFonts w:asciiTheme="majorHAnsi" w:hAnsiTheme="majorHAnsi"/>
        </w:rPr>
        <w:t>of 0.5-0.6 the culture was immediately removed and placed “on ice” in an ice-water slurry. The culture was aseptically transferred equally to two alcohol-sterilised 250ml centrifuge tubes and centrifuged at 5,000 RCF for 10 minutes at 5°C in a Sigma 4-16K centrifuge using the 11150 rotor. The supernatant was poured away and any remainder then aspirated; the pellet was very gently resuspended in 50ml of ice-cold, sterile 0.1M MgCl</w:t>
      </w:r>
      <w:r w:rsidRPr="0013327C">
        <w:rPr>
          <w:rFonts w:asciiTheme="majorHAnsi" w:hAnsiTheme="majorHAnsi"/>
          <w:vertAlign w:val="subscript"/>
        </w:rPr>
        <w:t>2</w:t>
      </w:r>
      <w:r w:rsidRPr="0013327C">
        <w:rPr>
          <w:rFonts w:asciiTheme="majorHAnsi" w:hAnsiTheme="majorHAnsi"/>
        </w:rPr>
        <w:t xml:space="preserve"> by pumping the liquid over the pellet with a Gilson P200 at full volume with a sterile tip, then left on ice for 10 minutes. The suspended cells were again centrifuged and the supernatant removed as previously described before the cells were again carefully resuspended, this time in ice-cold, sterile 0.1M CaCl</w:t>
      </w:r>
      <w:r w:rsidRPr="0013327C">
        <w:rPr>
          <w:rFonts w:asciiTheme="majorHAnsi" w:hAnsiTheme="majorHAnsi"/>
          <w:vertAlign w:val="subscript"/>
        </w:rPr>
        <w:t>2</w:t>
      </w:r>
      <w:r w:rsidRPr="0013327C">
        <w:rPr>
          <w:rFonts w:asciiTheme="majorHAnsi" w:hAnsiTheme="majorHAnsi"/>
        </w:rPr>
        <w:t xml:space="preserve"> and left on ice. After 10 minutes the cells were centrifuged and the supernatant removed as previously described before being carefully resuspended in 10ml ice-cold, sterile 0.1M CaCl</w:t>
      </w:r>
      <w:r w:rsidRPr="0013327C">
        <w:rPr>
          <w:rFonts w:asciiTheme="majorHAnsi" w:hAnsiTheme="majorHAnsi"/>
          <w:vertAlign w:val="subscript"/>
        </w:rPr>
        <w:t>2</w:t>
      </w:r>
      <w:r w:rsidRPr="0013327C">
        <w:rPr>
          <w:rFonts w:asciiTheme="majorHAnsi" w:hAnsiTheme="majorHAnsi"/>
        </w:rPr>
        <w:t>/</w:t>
      </w:r>
      <w:proofErr w:type="gramStart"/>
      <w:r w:rsidRPr="0013327C">
        <w:rPr>
          <w:rFonts w:asciiTheme="majorHAnsi" w:hAnsiTheme="majorHAnsi"/>
        </w:rPr>
        <w:t>15%</w:t>
      </w:r>
      <w:proofErr w:type="gramEnd"/>
      <w:r w:rsidRPr="0013327C">
        <w:rPr>
          <w:rFonts w:asciiTheme="majorHAnsi" w:hAnsiTheme="majorHAnsi"/>
        </w:rPr>
        <w:t>(v/v) glycerol and then placed on ice. The suspension was then dispensed into aliquots of 200µl in 1.5ml centrifuge tubes and immediately snap-frozen in liquid nitrogen. The tubes were labelled and transferred to -80°C storage.</w:t>
      </w:r>
    </w:p>
    <w:p w:rsidR="00147748" w:rsidRPr="0013327C" w:rsidRDefault="00147748" w:rsidP="00AE0264">
      <w:pPr>
        <w:pStyle w:val="Heading3"/>
        <w:ind w:left="862"/>
        <w:jc w:val="both"/>
        <w:rPr>
          <w:i/>
        </w:rPr>
      </w:pPr>
      <w:bookmarkStart w:id="59" w:name="_Toc348423311"/>
      <w:r w:rsidRPr="0013327C">
        <w:t>Transformation of chemically competent DH5α</w:t>
      </w:r>
      <w:bookmarkEnd w:id="59"/>
      <w:r w:rsidRPr="0013327C">
        <w:rPr>
          <w:i/>
        </w:rPr>
        <w:t xml:space="preserve"> </w:t>
      </w:r>
    </w:p>
    <w:p w:rsidR="00147748" w:rsidRPr="0013327C" w:rsidRDefault="00147748" w:rsidP="00AE0264">
      <w:pPr>
        <w:jc w:val="both"/>
        <w:rPr>
          <w:rFonts w:asciiTheme="majorHAnsi" w:hAnsiTheme="majorHAnsi"/>
        </w:rPr>
      </w:pPr>
      <w:r w:rsidRPr="0013327C">
        <w:rPr>
          <w:rFonts w:asciiTheme="majorHAnsi" w:hAnsiTheme="majorHAnsi"/>
        </w:rPr>
        <w:t xml:space="preserve">A single 50µl aliquot of chemically competent DH5α cells per required transformation was removed from -80°C storage and immediately placed on ice to thaw. 1µl plasmid DNA from a mini-prep reaction (1-2µg DNA) or 20µl from a ligation reaction were then added to the cells, still on ice and gently mixed by stirring with the pipette tip; they were left on ice for 20 minutes. Each tube was kept on ice but transferred to a float. The cells were heat-shocked in 42°C water for 120 seconds before being returned to ice for 5 minutes. Each sample had 0.9ml 2TY added to it before </w:t>
      </w:r>
      <w:proofErr w:type="gramStart"/>
      <w:r w:rsidRPr="0013327C">
        <w:rPr>
          <w:rFonts w:asciiTheme="majorHAnsi" w:hAnsiTheme="majorHAnsi"/>
        </w:rPr>
        <w:t>a 40min</w:t>
      </w:r>
      <w:proofErr w:type="gramEnd"/>
      <w:r w:rsidRPr="0013327C">
        <w:rPr>
          <w:rFonts w:asciiTheme="majorHAnsi" w:hAnsiTheme="majorHAnsi"/>
        </w:rPr>
        <w:t xml:space="preserve"> incubation at </w:t>
      </w:r>
      <w:r w:rsidRPr="0013327C">
        <w:rPr>
          <w:rFonts w:asciiTheme="majorHAnsi" w:hAnsiTheme="majorHAnsi"/>
        </w:rPr>
        <w:lastRenderedPageBreak/>
        <w:t xml:space="preserve">37°C. The tubes were subsequently centrifuged at 15,000 RCF in an Eppendorf 5415D tabletop centrifuge and the supernatant poured away leaving approximately 50-100µl total of 2TY media and cells. The cells were resuspended in the residual media and streaked onto a 2TY-ampicillin (2TY-Amp) agar plate until the media had dried. The plates were stored overnight (approx. 16h) in a 37°C constant temperature room. The following morning the plates were sealed in </w:t>
      </w:r>
      <w:r w:rsidR="00D24F2C">
        <w:rPr>
          <w:rFonts w:asciiTheme="majorHAnsi" w:hAnsiTheme="majorHAnsi"/>
        </w:rPr>
        <w:t>P</w:t>
      </w:r>
      <w:r w:rsidR="00D24F2C" w:rsidRPr="0013327C">
        <w:rPr>
          <w:rFonts w:asciiTheme="majorHAnsi" w:hAnsiTheme="majorHAnsi"/>
        </w:rPr>
        <w:t>arafilm</w:t>
      </w:r>
      <w:r w:rsidRPr="0013327C">
        <w:rPr>
          <w:rFonts w:asciiTheme="majorHAnsi" w:hAnsiTheme="majorHAnsi"/>
        </w:rPr>
        <w:t xml:space="preserve"> and removed to a 4°C room for storage or used for culture growth.</w:t>
      </w:r>
    </w:p>
    <w:p w:rsidR="00147748" w:rsidRPr="0013327C" w:rsidRDefault="00147748" w:rsidP="00AE0264">
      <w:pPr>
        <w:pStyle w:val="Heading3"/>
        <w:ind w:left="862"/>
        <w:jc w:val="both"/>
      </w:pPr>
      <w:bookmarkStart w:id="60" w:name="_Toc348423312"/>
      <w:r w:rsidRPr="0013327C">
        <w:t xml:space="preserve">Preparation of electroporation-competent </w:t>
      </w:r>
      <w:r w:rsidRPr="0013327C">
        <w:rPr>
          <w:i/>
        </w:rPr>
        <w:t>E. coli</w:t>
      </w:r>
      <w:bookmarkEnd w:id="60"/>
    </w:p>
    <w:p w:rsidR="00147748" w:rsidRPr="0013327C" w:rsidRDefault="00147748" w:rsidP="00AE0264">
      <w:pPr>
        <w:jc w:val="both"/>
        <w:rPr>
          <w:rFonts w:asciiTheme="majorHAnsi" w:hAnsiTheme="majorHAnsi"/>
        </w:rPr>
      </w:pPr>
      <w:r w:rsidRPr="0013327C">
        <w:rPr>
          <w:rFonts w:asciiTheme="majorHAnsi" w:hAnsiTheme="majorHAnsi"/>
        </w:rPr>
        <w:t xml:space="preserve">On day one </w:t>
      </w:r>
      <w:r w:rsidR="00D24F2C" w:rsidRPr="0013327C">
        <w:rPr>
          <w:rFonts w:asciiTheme="majorHAnsi" w:hAnsiTheme="majorHAnsi"/>
        </w:rPr>
        <w:t>DH</w:t>
      </w:r>
      <w:r w:rsidR="00D24F2C">
        <w:rPr>
          <w:rFonts w:asciiTheme="majorHAnsi" w:hAnsiTheme="majorHAnsi"/>
        </w:rPr>
        <w:t>5</w:t>
      </w:r>
      <w:r w:rsidR="00D24F2C" w:rsidRPr="0013327C">
        <w:rPr>
          <w:rFonts w:asciiTheme="majorHAnsi" w:hAnsiTheme="majorHAnsi"/>
        </w:rPr>
        <w:t>α</w:t>
      </w:r>
      <w:r w:rsidRPr="0013327C">
        <w:rPr>
          <w:rFonts w:asciiTheme="majorHAnsi" w:hAnsiTheme="majorHAnsi"/>
        </w:rPr>
        <w:t xml:space="preserve"> cells were streaked from -80°C onto a 2TY agar plate containing no antibiotics. The plate was incubated overnight at 37°C. On day two a single colony of </w:t>
      </w:r>
      <w:r w:rsidRPr="0013327C">
        <w:rPr>
          <w:rFonts w:asciiTheme="majorHAnsi" w:hAnsiTheme="majorHAnsi"/>
          <w:i/>
        </w:rPr>
        <w:t>E. coli</w:t>
      </w:r>
      <w:r w:rsidRPr="0013327C">
        <w:rPr>
          <w:rFonts w:asciiTheme="majorHAnsi" w:hAnsiTheme="majorHAnsi"/>
        </w:rPr>
        <w:t xml:space="preserve"> was inoculated in 10ml of sterile 2TY containing no antibiotics and incubated overnight. A 5 litre flask containing 1 litre of 2TY was autoclaved for inoculation the next day and 2 x 0.5 litre centrifuge buckets for a Sigma 4-series centrifuge were rinsed with 70% ethanol and incubated in a 65°C oven. 1L of 10% glycerol (v/v) diluted in Millipore was mixed and stored in a 2 litre conical flask, sealed with </w:t>
      </w:r>
      <w:r w:rsidR="00D24F2C" w:rsidRPr="0013327C">
        <w:rPr>
          <w:rFonts w:asciiTheme="majorHAnsi" w:hAnsiTheme="majorHAnsi"/>
        </w:rPr>
        <w:t>Parafilm</w:t>
      </w:r>
      <w:r w:rsidRPr="0013327C">
        <w:rPr>
          <w:rFonts w:asciiTheme="majorHAnsi" w:hAnsiTheme="majorHAnsi"/>
        </w:rPr>
        <w:t xml:space="preserve"> and stored at 4°C. On day three the centrifuge (Sigma 4-16K) was set to cool to 4°C and overnight culture (10ml) was measured for optical density. The 1 litre of 2TY was inoculated at OD</w:t>
      </w:r>
      <w:r w:rsidRPr="0013327C">
        <w:rPr>
          <w:rFonts w:asciiTheme="majorHAnsi" w:hAnsiTheme="majorHAnsi"/>
          <w:vertAlign w:val="subscript"/>
        </w:rPr>
        <w:t>600</w:t>
      </w:r>
      <w:r w:rsidRPr="0013327C">
        <w:rPr>
          <w:rFonts w:asciiTheme="majorHAnsi" w:hAnsiTheme="majorHAnsi"/>
        </w:rPr>
        <w:t xml:space="preserve"> = 0.05 with the required volume of the overnight culture. The cells were then incubated for approximately 2 hours and then tested for optical density before the incubation was halted at OD</w:t>
      </w:r>
      <w:r w:rsidRPr="0013327C">
        <w:rPr>
          <w:rFonts w:asciiTheme="majorHAnsi" w:hAnsiTheme="majorHAnsi"/>
          <w:vertAlign w:val="subscript"/>
        </w:rPr>
        <w:t xml:space="preserve">600 </w:t>
      </w:r>
      <w:r w:rsidRPr="0013327C">
        <w:rPr>
          <w:rFonts w:asciiTheme="majorHAnsi" w:hAnsiTheme="majorHAnsi"/>
        </w:rPr>
        <w:t xml:space="preserve">= 0.5-0.6 (mid-logarithmic growth phase). The culture was then divided into two 0.5 litre centrifuge buckets and placed on iced water to cool for ten minutes. The buckets had excess ice-water removed and were then centrifuged in a Sigma 4-16K at 5000 RCF for 15 minutes at 4°C and the glycerol removed from 4°C and then placed on ice. The supernatants were poured and aspirated away before the pellets were each resuspended in 250ml ice-cold 10% glycerol (v/v). The buckets were then immediately spun down again for 15 minutes at 5000RCF. The supernatants were again poured and then aspirated away and then resuspended each in 125ml ice-cold 10% glycerol (v/v). The buckets were again centrifuged at 5000RCF for 15 minutes. The supernatant was again removed by pouring and aspiration and the pellets resuspended in 50ml each of 10% glycerol (v/v) and moved to 50ml Falcon tubes. They were again centrifuged at 5000RCF, again in a Sigma 4-16K. The supernatant was aspirated and then the pellets resuspended and combined </w:t>
      </w:r>
      <w:proofErr w:type="gramStart"/>
      <w:r w:rsidRPr="0013327C">
        <w:rPr>
          <w:rFonts w:asciiTheme="majorHAnsi" w:hAnsiTheme="majorHAnsi"/>
        </w:rPr>
        <w:t>into one 0.7ml slurry</w:t>
      </w:r>
      <w:proofErr w:type="gramEnd"/>
      <w:r w:rsidRPr="0013327C">
        <w:rPr>
          <w:rFonts w:asciiTheme="majorHAnsi" w:hAnsiTheme="majorHAnsi"/>
        </w:rPr>
        <w:t>. The Slurry was kept on ice while it was divided into 40µl aliquots and snap-frozen in liquid nitrogen prior to storage in a freezer at -80°C.</w:t>
      </w:r>
    </w:p>
    <w:p w:rsidR="00147748" w:rsidRPr="0013327C" w:rsidRDefault="00147748" w:rsidP="00AE0264">
      <w:pPr>
        <w:pStyle w:val="Heading3"/>
        <w:ind w:left="862"/>
        <w:jc w:val="both"/>
      </w:pPr>
      <w:bookmarkStart w:id="61" w:name="_Toc348423313"/>
      <w:r w:rsidRPr="0013327C">
        <w:lastRenderedPageBreak/>
        <w:t xml:space="preserve">Transformation of electro-competent </w:t>
      </w:r>
      <w:r w:rsidRPr="0013327C">
        <w:rPr>
          <w:i/>
        </w:rPr>
        <w:t>E. coli</w:t>
      </w:r>
      <w:r w:rsidRPr="0013327C">
        <w:t xml:space="preserve"> </w:t>
      </w:r>
      <w:r w:rsidR="00900639">
        <w:t xml:space="preserve">with ycplac33 plasmid </w:t>
      </w:r>
      <w:r w:rsidRPr="0013327C">
        <w:t>by electroporation</w:t>
      </w:r>
      <w:bookmarkEnd w:id="61"/>
    </w:p>
    <w:p w:rsidR="00147748" w:rsidRPr="0013327C" w:rsidRDefault="00147748" w:rsidP="00AE0264">
      <w:pPr>
        <w:jc w:val="both"/>
        <w:rPr>
          <w:rFonts w:asciiTheme="majorHAnsi" w:hAnsiTheme="majorHAnsi"/>
        </w:rPr>
      </w:pPr>
      <w:r w:rsidRPr="0013327C">
        <w:rPr>
          <w:rFonts w:asciiTheme="majorHAnsi" w:hAnsiTheme="majorHAnsi"/>
        </w:rPr>
        <w:t xml:space="preserve">A 2mm electroporation cuvette was placed unopened on ice. A 40µl aliquot of electro-competent cells were removed from -80°C and placed on ice. 1µl of </w:t>
      </w:r>
      <w:r w:rsidRPr="0013327C">
        <w:rPr>
          <w:rFonts w:asciiTheme="majorHAnsi" w:hAnsiTheme="majorHAnsi"/>
          <w:i/>
        </w:rPr>
        <w:t>S. cerevisiae</w:t>
      </w:r>
      <w:r w:rsidRPr="0013327C">
        <w:rPr>
          <w:rFonts w:asciiTheme="majorHAnsi" w:hAnsiTheme="majorHAnsi"/>
        </w:rPr>
        <w:t xml:space="preserve"> genomic DNA (gDNA) </w:t>
      </w:r>
      <w:r w:rsidR="00900639">
        <w:rPr>
          <w:rFonts w:asciiTheme="majorHAnsi" w:hAnsiTheme="majorHAnsi"/>
        </w:rPr>
        <w:t xml:space="preserve">containing the recombined plasmid </w:t>
      </w:r>
      <w:r w:rsidRPr="0013327C">
        <w:rPr>
          <w:rFonts w:asciiTheme="majorHAnsi" w:hAnsiTheme="majorHAnsi"/>
        </w:rPr>
        <w:t>was diluted with 9µl of dH</w:t>
      </w:r>
      <w:r w:rsidRPr="0013327C">
        <w:rPr>
          <w:rFonts w:asciiTheme="majorHAnsi" w:hAnsiTheme="majorHAnsi"/>
          <w:vertAlign w:val="subscript"/>
        </w:rPr>
        <w:t>2</w:t>
      </w:r>
      <w:r w:rsidRPr="0013327C">
        <w:rPr>
          <w:rFonts w:asciiTheme="majorHAnsi" w:hAnsiTheme="majorHAnsi"/>
        </w:rPr>
        <w:t xml:space="preserve">O, vortexed and then added to the electro-competent cells on ice. The cuvette was then removed from its packaging and the cell/gDNA mixture added to the cuvette, carefully placed between the two metal plates. The </w:t>
      </w:r>
      <w:r w:rsidR="00D24F2C" w:rsidRPr="0013327C">
        <w:rPr>
          <w:rFonts w:asciiTheme="majorHAnsi" w:hAnsiTheme="majorHAnsi"/>
        </w:rPr>
        <w:t>cuvette</w:t>
      </w:r>
      <w:r w:rsidR="00D24F2C">
        <w:rPr>
          <w:rFonts w:asciiTheme="majorHAnsi" w:hAnsiTheme="majorHAnsi"/>
        </w:rPr>
        <w:t xml:space="preserve"> </w:t>
      </w:r>
      <w:r w:rsidR="00D24F2C" w:rsidRPr="0013327C">
        <w:rPr>
          <w:rFonts w:asciiTheme="majorHAnsi" w:hAnsiTheme="majorHAnsi"/>
        </w:rPr>
        <w:t>was</w:t>
      </w:r>
      <w:r w:rsidRPr="0013327C">
        <w:rPr>
          <w:rFonts w:asciiTheme="majorHAnsi" w:hAnsiTheme="majorHAnsi"/>
        </w:rPr>
        <w:t xml:space="preserve"> loaded into the cassette of a Biorad Micropulser and pulsed using the settings Ec2 (1 pulse, 2.5kV)</w:t>
      </w:r>
      <w:r w:rsidR="00900639">
        <w:rPr>
          <w:rFonts w:asciiTheme="majorHAnsi" w:hAnsiTheme="majorHAnsi"/>
        </w:rPr>
        <w:t xml:space="preserve">. </w:t>
      </w:r>
      <w:r w:rsidR="008B5C99">
        <w:rPr>
          <w:rFonts w:asciiTheme="majorHAnsi" w:hAnsiTheme="majorHAnsi"/>
        </w:rPr>
        <w:t>1ml of 2TY medium was added to the cuvette and the c</w:t>
      </w:r>
      <w:r w:rsidR="00900639">
        <w:rPr>
          <w:rFonts w:asciiTheme="majorHAnsi" w:hAnsiTheme="majorHAnsi"/>
        </w:rPr>
        <w:t>ells were transferred to</w:t>
      </w:r>
      <w:r w:rsidR="008B5C99">
        <w:rPr>
          <w:rFonts w:asciiTheme="majorHAnsi" w:hAnsiTheme="majorHAnsi"/>
        </w:rPr>
        <w:t xml:space="preserve"> 37°C for a 40 minute rescue-incubation. After the incubation cells were move to a 1.5ml spin tube, spun for 1 minute at 15000</w:t>
      </w:r>
      <w:r w:rsidR="00E62BE5">
        <w:rPr>
          <w:rFonts w:asciiTheme="majorHAnsi" w:hAnsiTheme="majorHAnsi"/>
        </w:rPr>
        <w:t>g and then the pellet removed and streaked onto an ampicillin 2TY agar plate.</w:t>
      </w:r>
    </w:p>
    <w:p w:rsidR="00147748" w:rsidRPr="0013327C" w:rsidRDefault="00147748" w:rsidP="00AE0264">
      <w:pPr>
        <w:pStyle w:val="Heading2"/>
        <w:jc w:val="both"/>
      </w:pPr>
      <w:bookmarkStart w:id="62" w:name="_Toc348423314"/>
      <w:r w:rsidRPr="0013327C">
        <w:t>DNA and RNA protocols</w:t>
      </w:r>
      <w:bookmarkEnd w:id="62"/>
    </w:p>
    <w:p w:rsidR="00147748" w:rsidRPr="0013327C" w:rsidRDefault="00147748" w:rsidP="00AE0264">
      <w:pPr>
        <w:pStyle w:val="Heading3"/>
        <w:ind w:left="862"/>
        <w:jc w:val="both"/>
      </w:pPr>
      <w:bookmarkStart w:id="63" w:name="_Toc348423315"/>
      <w:proofErr w:type="gramStart"/>
      <w:r w:rsidRPr="0013327C">
        <w:t>Plasmid restriction.</w:t>
      </w:r>
      <w:bookmarkEnd w:id="63"/>
      <w:proofErr w:type="gramEnd"/>
    </w:p>
    <w:p w:rsidR="00147748" w:rsidRPr="0013327C" w:rsidRDefault="00147748" w:rsidP="00AE0264">
      <w:pPr>
        <w:jc w:val="both"/>
        <w:rPr>
          <w:rFonts w:asciiTheme="majorHAnsi" w:hAnsiTheme="majorHAnsi"/>
        </w:rPr>
      </w:pPr>
      <w:r w:rsidRPr="0013327C">
        <w:rPr>
          <w:rFonts w:asciiTheme="majorHAnsi" w:hAnsiTheme="majorHAnsi"/>
        </w:rPr>
        <w:t xml:space="preserve">1-2 µg of plasmid DNA either pMt/V5-HisA, pAc5.1/V5-HisA or pMK33-pMt/Hy was restricted with typically 5 units of each required restriction enzyme per 1µg of DNA in a 20µl reaction containing 2µl of 10X restriction buffer specific to the restriction enzyme being used. The reaction was assembled on ice and its volume was made up to 20µl using ultra-filtered water. Usually two enzymes were required for restriction; if possible both enzymes were used simultaneously in a restriction reaction. In the one case where two separate restriction reactions were required due to insufficient restriction by either enzyme in any buffer the double restriction was carried out in two stages. Positive control ligation reactions required plasmid restrictions using only one enzyme (see Ch. 2.6.5). BamHI required medium salt buffer (100mM NaCl, 50mM TrisHCl, pH 7.5) and a reaction was set up as described above. After two hours the reaction was made up to 40µl containing 500mM NaCl, 100mM TrisHCl, pH 7.5 (high salt buffer) with 5 units of SpeI. Again the difference in volume was made up to 40µl using ultra-filtered water. All reactions were allowed 2 hours at the required temperature, in all reactions in this project this was at 37°C. The reactions were removed to room temperature and mixed in a 5:1 ratio with NEB 5X loading buffer. The reaction mixture was loaded onto a 1% agarose gel alongside 5µl of NEB Hyperladder I and run at 70V for 40 minutes. The DNA fragments were visualised in a UV-camera chamber (GeneSnap). </w:t>
      </w:r>
    </w:p>
    <w:p w:rsidR="00147748" w:rsidRPr="0013327C" w:rsidRDefault="00147748" w:rsidP="00AE0264">
      <w:pPr>
        <w:pStyle w:val="Heading3"/>
        <w:ind w:left="862"/>
        <w:jc w:val="both"/>
      </w:pPr>
      <w:bookmarkStart w:id="64" w:name="_Toc348423316"/>
      <w:proofErr w:type="gramStart"/>
      <w:r w:rsidRPr="0013327C">
        <w:lastRenderedPageBreak/>
        <w:t>A Polymerase Chain Reaction to amplify and modify an ORF for subsequent restriction and ligation.</w:t>
      </w:r>
      <w:bookmarkEnd w:id="64"/>
      <w:proofErr w:type="gramEnd"/>
    </w:p>
    <w:p w:rsidR="00147748" w:rsidRPr="0013327C" w:rsidRDefault="00147748" w:rsidP="00AE0264">
      <w:pPr>
        <w:jc w:val="both"/>
        <w:rPr>
          <w:rFonts w:asciiTheme="majorHAnsi" w:hAnsiTheme="majorHAnsi"/>
        </w:rPr>
      </w:pPr>
      <w:r w:rsidRPr="0013327C">
        <w:rPr>
          <w:rFonts w:asciiTheme="majorHAnsi" w:hAnsiTheme="majorHAnsi"/>
        </w:rPr>
        <w:t xml:space="preserve">Two plasmids pMt and pBluescript (containing the ORF for eGFP) were provided to us from the Zeidler lab in the Department of Biomedical Science, University of Sheffield. The former contained an ORF of enhanced Green Fluorescent Protein (eGFP) which would be amplified with an addition of six codons to the C-terminus. The first three would encode the residues </w:t>
      </w:r>
      <w:r w:rsidR="005A2856" w:rsidRPr="0013327C">
        <w:rPr>
          <w:rFonts w:asciiTheme="majorHAnsi" w:hAnsiTheme="majorHAnsi"/>
        </w:rPr>
        <w:t>proline (</w:t>
      </w:r>
      <w:r w:rsidRPr="0013327C">
        <w:rPr>
          <w:rFonts w:asciiTheme="majorHAnsi" w:hAnsiTheme="majorHAnsi"/>
        </w:rPr>
        <w:t xml:space="preserve">P), </w:t>
      </w:r>
      <w:r w:rsidR="005A2856" w:rsidRPr="0013327C">
        <w:rPr>
          <w:rFonts w:asciiTheme="majorHAnsi" w:hAnsiTheme="majorHAnsi"/>
        </w:rPr>
        <w:t>leucine (</w:t>
      </w:r>
      <w:r w:rsidRPr="0013327C">
        <w:rPr>
          <w:rFonts w:asciiTheme="majorHAnsi" w:hAnsiTheme="majorHAnsi"/>
        </w:rPr>
        <w:t xml:space="preserve">L) and </w:t>
      </w:r>
      <w:r w:rsidR="005A2856" w:rsidRPr="0013327C">
        <w:rPr>
          <w:rFonts w:asciiTheme="majorHAnsi" w:hAnsiTheme="majorHAnsi"/>
        </w:rPr>
        <w:t>histidine (</w:t>
      </w:r>
      <w:r w:rsidRPr="0013327C">
        <w:rPr>
          <w:rFonts w:asciiTheme="majorHAnsi" w:hAnsiTheme="majorHAnsi"/>
        </w:rPr>
        <w:t xml:space="preserve">H); the three act as a buffering “linker” tripeptide to prevent functional interference of either peptide (eGFP or the SKL tripeptide terminus) by the structural presence of the other. The final three codons would encode the PTS1 sequence described in the introduction, serine(S) </w:t>
      </w:r>
      <w:r w:rsidR="005A2856" w:rsidRPr="0013327C">
        <w:rPr>
          <w:rFonts w:asciiTheme="majorHAnsi" w:hAnsiTheme="majorHAnsi"/>
        </w:rPr>
        <w:t>lysine (</w:t>
      </w:r>
      <w:r w:rsidRPr="0013327C">
        <w:rPr>
          <w:rFonts w:asciiTheme="majorHAnsi" w:hAnsiTheme="majorHAnsi"/>
        </w:rPr>
        <w:t xml:space="preserve">K) and </w:t>
      </w:r>
      <w:r w:rsidR="005A2856" w:rsidRPr="0013327C">
        <w:rPr>
          <w:rFonts w:asciiTheme="majorHAnsi" w:hAnsiTheme="majorHAnsi"/>
        </w:rPr>
        <w:t>leucine (</w:t>
      </w:r>
      <w:r w:rsidRPr="0013327C">
        <w:rPr>
          <w:rFonts w:asciiTheme="majorHAnsi" w:hAnsiTheme="majorHAnsi"/>
        </w:rPr>
        <w:t xml:space="preserve">L). The terminal stop codon TAA was added thus giving the functional protein eGFP-PTS1 or “Peroxisomal eGFP”. The ORF was flanked by a 5’ EcoRI site and a 3’ XbaI site. The primers were ordered from Sigma Aldrich and their online order form was used to make sure that the melting temperatures of the annealing portions of the primers lay in the region of 58-62°C; trying where possible to make the 3’ terminal nucleotide either a cytosine or guanine residue so to maximise annealing at the point where the polymerase would bind and begin </w:t>
      </w:r>
      <w:r w:rsidR="005E30BA">
        <w:rPr>
          <w:rFonts w:asciiTheme="majorHAnsi" w:hAnsiTheme="majorHAnsi"/>
        </w:rPr>
        <w:t>extending</w:t>
      </w:r>
      <w:r w:rsidRPr="0013327C">
        <w:rPr>
          <w:rFonts w:asciiTheme="majorHAnsi" w:hAnsiTheme="majorHAnsi"/>
        </w:rPr>
        <w:t xml:space="preserve"> the primer. The additions of the six codons to the 5’ end of the reverse primer and then the respective restriction sites to both primers at the 5’ end of each primer were made. A final two additional nucleotides were added to the 5’ end of each primer to facilitate restriction enzyme-DNA interaction and subsequent restriction (New England Biolabs Technical Reference, 2011). </w:t>
      </w:r>
    </w:p>
    <w:p w:rsidR="00147748" w:rsidRPr="0013327C" w:rsidRDefault="00147748" w:rsidP="00AE0264">
      <w:pPr>
        <w:jc w:val="both"/>
        <w:rPr>
          <w:rFonts w:asciiTheme="majorHAnsi" w:hAnsiTheme="majorHAnsi"/>
        </w:rPr>
      </w:pPr>
      <w:r w:rsidRPr="0013327C">
        <w:rPr>
          <w:rFonts w:asciiTheme="majorHAnsi" w:hAnsiTheme="majorHAnsi"/>
        </w:rPr>
        <w:tab/>
        <w:t xml:space="preserve">The reaction itself was made in a PCR tube. A 50µl reaction contained </w:t>
      </w:r>
      <w:r w:rsidR="00255483">
        <w:rPr>
          <w:rFonts w:asciiTheme="majorHAnsi" w:hAnsiTheme="majorHAnsi"/>
        </w:rPr>
        <w:t>25</w:t>
      </w:r>
      <w:r w:rsidR="00255483" w:rsidRPr="0013327C">
        <w:rPr>
          <w:rFonts w:asciiTheme="majorHAnsi" w:hAnsiTheme="majorHAnsi"/>
        </w:rPr>
        <w:t>mM</w:t>
      </w:r>
      <w:r w:rsidRPr="0013327C">
        <w:rPr>
          <w:rFonts w:asciiTheme="majorHAnsi" w:hAnsiTheme="majorHAnsi"/>
        </w:rPr>
        <w:t xml:space="preserve"> MgCl</w:t>
      </w:r>
      <w:r w:rsidRPr="0013327C">
        <w:rPr>
          <w:rFonts w:asciiTheme="majorHAnsi" w:hAnsiTheme="majorHAnsi"/>
          <w:vertAlign w:val="subscript"/>
        </w:rPr>
        <w:t>2</w:t>
      </w:r>
      <w:r w:rsidRPr="0013327C">
        <w:rPr>
          <w:rFonts w:asciiTheme="majorHAnsi" w:hAnsiTheme="majorHAnsi"/>
        </w:rPr>
        <w:t>, 1mM of each primer</w:t>
      </w:r>
      <w:r w:rsidR="00255483">
        <w:rPr>
          <w:rFonts w:asciiTheme="majorHAnsi" w:hAnsiTheme="majorHAnsi"/>
        </w:rPr>
        <w:t>, 2ng of the template plasmid, 1.5</w:t>
      </w:r>
      <w:r w:rsidRPr="0013327C">
        <w:rPr>
          <w:rFonts w:asciiTheme="majorHAnsi" w:hAnsiTheme="majorHAnsi"/>
        </w:rPr>
        <w:t xml:space="preserve">u of Accuzyme </w:t>
      </w:r>
      <w:r w:rsidR="00255483">
        <w:rPr>
          <w:rFonts w:asciiTheme="majorHAnsi" w:hAnsiTheme="majorHAnsi"/>
        </w:rPr>
        <w:t xml:space="preserve">DNA </w:t>
      </w:r>
      <w:r w:rsidRPr="0013327C">
        <w:rPr>
          <w:rFonts w:asciiTheme="majorHAnsi" w:hAnsiTheme="majorHAnsi"/>
        </w:rPr>
        <w:t xml:space="preserve">Polymerase, 5µl of 10x Accuzyme buffer and was made up to 50µl with sterile Millipore water. The reaction was run in a thermocycler (Biometra TGradient). The “lid” of the thermocycler was set to 100°C to prevent condensation forming on the lid of the tube. The reaction then ran at 95°C for 10 minutes to separate the DNA strands. The full cycle which was repeated consisted of three steps; firstly a 30 second step of 95°C which would separate the strands as just described after the subsequent two steps. </w:t>
      </w:r>
      <w:r w:rsidR="00255483" w:rsidRPr="0013327C">
        <w:rPr>
          <w:rFonts w:asciiTheme="majorHAnsi" w:hAnsiTheme="majorHAnsi"/>
        </w:rPr>
        <w:t>The second of these three steps was a drop</w:t>
      </w:r>
      <w:r w:rsidR="00255483">
        <w:rPr>
          <w:rFonts w:asciiTheme="majorHAnsi" w:hAnsiTheme="majorHAnsi"/>
        </w:rPr>
        <w:t xml:space="preserve"> to 55-57°C depending on each Tm</w:t>
      </w:r>
      <w:r w:rsidR="00255483" w:rsidRPr="0013327C">
        <w:rPr>
          <w:rFonts w:asciiTheme="majorHAnsi" w:hAnsiTheme="majorHAnsi"/>
        </w:rPr>
        <w:t xml:space="preserve"> of the primers lasting for 30 seconds. </w:t>
      </w:r>
      <w:r w:rsidRPr="0013327C">
        <w:rPr>
          <w:rFonts w:asciiTheme="majorHAnsi" w:hAnsiTheme="majorHAnsi"/>
        </w:rPr>
        <w:t>This step permits annealing of the primers to the template at their specific locations. Once annealed step three is the extension step which is proportional in duration to the length of DNA being copied. With Accuzyme this meant two minutes for every kilobase (Kb) being copied. The e</w:t>
      </w:r>
      <w:r w:rsidR="005E30BA">
        <w:rPr>
          <w:rFonts w:asciiTheme="majorHAnsi" w:hAnsiTheme="majorHAnsi"/>
        </w:rPr>
        <w:t xml:space="preserve">GFP-PTS1 amplicon </w:t>
      </w:r>
      <w:r w:rsidR="005E30BA">
        <w:rPr>
          <w:rFonts w:asciiTheme="majorHAnsi" w:hAnsiTheme="majorHAnsi"/>
        </w:rPr>
        <w:lastRenderedPageBreak/>
        <w:t xml:space="preserve">was 720bp so 1 minute 30 </w:t>
      </w:r>
      <w:r w:rsidRPr="0013327C">
        <w:rPr>
          <w:rFonts w:asciiTheme="majorHAnsi" w:hAnsiTheme="majorHAnsi"/>
        </w:rPr>
        <w:t>s</w:t>
      </w:r>
      <w:r w:rsidR="005E30BA">
        <w:rPr>
          <w:rFonts w:asciiTheme="majorHAnsi" w:hAnsiTheme="majorHAnsi"/>
        </w:rPr>
        <w:t>econds</w:t>
      </w:r>
      <w:r w:rsidRPr="0013327C">
        <w:rPr>
          <w:rFonts w:asciiTheme="majorHAnsi" w:hAnsiTheme="majorHAnsi"/>
        </w:rPr>
        <w:t xml:space="preserve"> would have sufficed, the reaction</w:t>
      </w:r>
      <w:r w:rsidR="00541A27">
        <w:rPr>
          <w:rFonts w:asciiTheme="majorHAnsi" w:hAnsiTheme="majorHAnsi"/>
        </w:rPr>
        <w:t xml:space="preserve"> actually ran at 1 minute 40 </w:t>
      </w:r>
      <w:r w:rsidRPr="0013327C">
        <w:rPr>
          <w:rFonts w:asciiTheme="majorHAnsi" w:hAnsiTheme="majorHAnsi"/>
        </w:rPr>
        <w:t>s</w:t>
      </w:r>
      <w:r w:rsidR="00541A27">
        <w:rPr>
          <w:rFonts w:asciiTheme="majorHAnsi" w:hAnsiTheme="majorHAnsi"/>
        </w:rPr>
        <w:t>econds</w:t>
      </w:r>
      <w:r w:rsidRPr="0013327C">
        <w:rPr>
          <w:rFonts w:asciiTheme="majorHAnsi" w:hAnsiTheme="majorHAnsi"/>
        </w:rPr>
        <w:t xml:space="preserve"> to be certain it would complete on each cycle. The reaction was repeated (“cycled”) thirty times, theoretically to give 2</w:t>
      </w:r>
      <w:r w:rsidRPr="0013327C">
        <w:rPr>
          <w:rFonts w:asciiTheme="majorHAnsi" w:hAnsiTheme="majorHAnsi"/>
          <w:vertAlign w:val="superscript"/>
        </w:rPr>
        <w:t>30</w:t>
      </w:r>
      <w:r w:rsidRPr="0013327C">
        <w:rPr>
          <w:rFonts w:asciiTheme="majorHAnsi" w:hAnsiTheme="majorHAnsi"/>
        </w:rPr>
        <w:t xml:space="preserve"> copies of the amplicon. This is then visualised on a 1% gel as described above.</w:t>
      </w:r>
    </w:p>
    <w:p w:rsidR="00147748" w:rsidRPr="0013327C" w:rsidRDefault="00147748" w:rsidP="00AE0264">
      <w:pPr>
        <w:pStyle w:val="Heading3"/>
        <w:ind w:left="862"/>
        <w:jc w:val="both"/>
      </w:pPr>
      <w:bookmarkStart w:id="65" w:name="_Toc348423317"/>
      <w:r w:rsidRPr="0013327C">
        <w:t>Extracting DNA amplicons and plasmids from PCR or restriction mixtures using agarose gel electrophoresis</w:t>
      </w:r>
      <w:bookmarkEnd w:id="65"/>
    </w:p>
    <w:p w:rsidR="00147748" w:rsidRPr="0013327C" w:rsidRDefault="00147748" w:rsidP="00AE0264">
      <w:pPr>
        <w:jc w:val="both"/>
        <w:rPr>
          <w:rFonts w:asciiTheme="majorHAnsi" w:hAnsiTheme="majorHAnsi"/>
        </w:rPr>
      </w:pPr>
      <w:r w:rsidRPr="0013327C">
        <w:rPr>
          <w:rFonts w:asciiTheme="majorHAnsi" w:hAnsiTheme="majorHAnsi"/>
        </w:rPr>
        <w:t xml:space="preserve">A 50µl PCR (or 100 µl restricted PCR, see Ch. 2.6.4) or 20µl plasmid restriction reaction (see Ch. 2.6.5) was added to 12 µl or 4 µl of 6X loading buffer (NEB) and then run on a 1% agarose gel (Bio-Rad Ultra Pure DNA Grade Agarose) made with 0.5X TBE buffer solution (0.04M Tris-acetate/ 0.04M boric acid/ 0.001M EDTA) and 0.5 µg/ml ethidium bromide for 40 minutes at 80V. </w:t>
      </w:r>
      <w:proofErr w:type="gramStart"/>
      <w:r w:rsidRPr="0013327C">
        <w:rPr>
          <w:rFonts w:asciiTheme="majorHAnsi" w:hAnsiTheme="majorHAnsi"/>
        </w:rPr>
        <w:t>Alongside the samples was run 5µl NEB Hyperladder I.</w:t>
      </w:r>
      <w:proofErr w:type="gramEnd"/>
      <w:r w:rsidRPr="0013327C">
        <w:rPr>
          <w:rFonts w:asciiTheme="majorHAnsi" w:hAnsiTheme="majorHAnsi"/>
        </w:rPr>
        <w:t xml:space="preserve"> The gel was visualised on a UV transilluminator and the sections of the gel containing the amplicons cut from the rest of the gel and placed in a 2ml centrifugation tube. The mass of the gel/DNA was weighed and the DNA extracted from it using the protocol described in the QIAquick Gel-extraction Kit (</w:t>
      </w:r>
      <w:r w:rsidR="00541A27">
        <w:rPr>
          <w:rFonts w:asciiTheme="majorHAnsi" w:hAnsiTheme="majorHAnsi"/>
        </w:rPr>
        <w:t xml:space="preserve">Qiagen </w:t>
      </w:r>
      <w:r w:rsidRPr="0013327C">
        <w:rPr>
          <w:rFonts w:asciiTheme="majorHAnsi" w:hAnsiTheme="majorHAnsi"/>
        </w:rPr>
        <w:t>Cat. 28704). This resulted in 50µl of TE containing the amplicon for subsequent restriction or 50 µl of linearised plasmid.</w:t>
      </w:r>
    </w:p>
    <w:p w:rsidR="00147748" w:rsidRPr="0013327C" w:rsidRDefault="00147748" w:rsidP="00AE0264">
      <w:pPr>
        <w:pStyle w:val="Heading3"/>
        <w:ind w:left="862"/>
        <w:jc w:val="both"/>
      </w:pPr>
      <w:bookmarkStart w:id="66" w:name="_Toc348423318"/>
      <w:proofErr w:type="gramStart"/>
      <w:r w:rsidRPr="0013327C">
        <w:t>Restriction of DNA amplicon for cloning.</w:t>
      </w:r>
      <w:bookmarkEnd w:id="66"/>
      <w:proofErr w:type="gramEnd"/>
    </w:p>
    <w:p w:rsidR="00147748" w:rsidRPr="0013327C" w:rsidRDefault="00147748" w:rsidP="00AE0264">
      <w:pPr>
        <w:jc w:val="both"/>
        <w:rPr>
          <w:rFonts w:asciiTheme="majorHAnsi" w:hAnsiTheme="majorHAnsi"/>
        </w:rPr>
      </w:pPr>
      <w:r w:rsidRPr="0013327C">
        <w:rPr>
          <w:rFonts w:asciiTheme="majorHAnsi" w:hAnsiTheme="majorHAnsi"/>
        </w:rPr>
        <w:t xml:space="preserve">A 50 µl DNA amplicon purified by agarose gel extraction (see Ch.2.6.3) had added to it 10 µl restriction buffer. The buffer was specifically selected to facilitate optimal restriction with two enzymes or if not possible one enzyme to be followed by the second after the digested amplicon had been purified by gel-extraction. 10 units of each restriction enzyme </w:t>
      </w:r>
      <w:r w:rsidR="00255483" w:rsidRPr="0013327C">
        <w:rPr>
          <w:rFonts w:asciiTheme="majorHAnsi" w:hAnsiTheme="majorHAnsi"/>
        </w:rPr>
        <w:t>were</w:t>
      </w:r>
      <w:r w:rsidRPr="0013327C">
        <w:rPr>
          <w:rFonts w:asciiTheme="majorHAnsi" w:hAnsiTheme="majorHAnsi"/>
        </w:rPr>
        <w:t xml:space="preserve"> added to the mixture and the final concentration made up to 100 µl with ultra-filtered water. The reaction was allowed overnight to digest the amplicon before it was purified by gel-electrophoresis.</w:t>
      </w:r>
    </w:p>
    <w:p w:rsidR="00147748" w:rsidRPr="0013327C" w:rsidRDefault="00147748" w:rsidP="00AE0264">
      <w:pPr>
        <w:pStyle w:val="Heading3"/>
        <w:ind w:left="862"/>
        <w:jc w:val="both"/>
      </w:pPr>
      <w:bookmarkStart w:id="67" w:name="_Toc348423319"/>
      <w:proofErr w:type="gramStart"/>
      <w:r w:rsidRPr="0013327C">
        <w:t>Ligation of restricted plasmid and amplicon.</w:t>
      </w:r>
      <w:bookmarkEnd w:id="67"/>
      <w:proofErr w:type="gramEnd"/>
    </w:p>
    <w:p w:rsidR="00147748" w:rsidRPr="0013327C" w:rsidRDefault="00147748" w:rsidP="00AE0264">
      <w:pPr>
        <w:jc w:val="both"/>
        <w:rPr>
          <w:rFonts w:asciiTheme="majorHAnsi" w:hAnsiTheme="majorHAnsi"/>
        </w:rPr>
      </w:pPr>
      <w:r w:rsidRPr="0013327C">
        <w:rPr>
          <w:rFonts w:asciiTheme="majorHAnsi" w:hAnsiTheme="majorHAnsi"/>
        </w:rPr>
        <w:t xml:space="preserve">Ligation reactions were assembled on ice. The mixture consisted of 50ng of restricted plasmid, 1 µg of restricted amplicon, both purified by gel-electrophoresis, 2 µl 10X ligation buffer and 5 units of T4 ligase. The volume was made up to 20 µl with ultra-filtered water. For a negative control the same procedure was assembled in parallel but without the restricted amplicon. For a positive control the plasmid digested with a single enzyme was substituted for the double-restricted one and again no restricted amplicon was added. The reaction was placed in ice-cold water and allowed to warm overnight to 25°C, crucially passing through the 16°C optimum functional temperature </w:t>
      </w:r>
      <w:r w:rsidRPr="0013327C">
        <w:rPr>
          <w:rFonts w:asciiTheme="majorHAnsi" w:hAnsiTheme="majorHAnsi"/>
        </w:rPr>
        <w:lastRenderedPageBreak/>
        <w:t xml:space="preserve">of the ligase. The following day 25ng of the reaction was transformed into chemically competent </w:t>
      </w:r>
      <w:r w:rsidRPr="0013327C">
        <w:rPr>
          <w:rFonts w:asciiTheme="majorHAnsi" w:hAnsiTheme="majorHAnsi"/>
          <w:i/>
        </w:rPr>
        <w:t>E. coli</w:t>
      </w:r>
      <w:r w:rsidRPr="0013327C">
        <w:rPr>
          <w:rFonts w:asciiTheme="majorHAnsi" w:hAnsiTheme="majorHAnsi"/>
        </w:rPr>
        <w:t>. Colonies transformed from the ligation reaction were selected for inoculation of 2TY media to produce minipreps for sequencing. Minipreps were performed according to the Qiagen miniprep protocol.</w:t>
      </w:r>
    </w:p>
    <w:p w:rsidR="00147748" w:rsidRPr="0013327C" w:rsidRDefault="00147748" w:rsidP="00AE0264">
      <w:pPr>
        <w:pStyle w:val="Heading3"/>
        <w:ind w:left="862"/>
        <w:jc w:val="both"/>
      </w:pPr>
      <w:bookmarkStart w:id="68" w:name="_Toc348423320"/>
      <w:r w:rsidRPr="0013327C">
        <w:t>Long dsRNA design on E-RNAi webservice</w:t>
      </w:r>
      <w:bookmarkEnd w:id="68"/>
    </w:p>
    <w:p w:rsidR="00147748" w:rsidRPr="0013327C" w:rsidRDefault="00147748" w:rsidP="00AE0264">
      <w:pPr>
        <w:jc w:val="both"/>
        <w:rPr>
          <w:rFonts w:asciiTheme="majorHAnsi" w:hAnsiTheme="majorHAnsi"/>
        </w:rPr>
      </w:pPr>
      <w:r w:rsidRPr="0013327C">
        <w:rPr>
          <w:rFonts w:asciiTheme="majorHAnsi" w:hAnsiTheme="majorHAnsi"/>
        </w:rPr>
        <w:t>Long dsRNA probes were designed on the E-RNAi website (E http://www.dkfz.de/signaling/e-rnai3//) hosted by the German Cancer Research Centre.</w:t>
      </w:r>
      <w:r w:rsidR="00FF4596">
        <w:rPr>
          <w:rFonts w:asciiTheme="majorHAnsi" w:hAnsiTheme="majorHAnsi"/>
        </w:rPr>
        <w:t xml:space="preserve"> The following figures (Fig. 2.6-11) show stepwise design of dsRNA for </w:t>
      </w:r>
      <w:r w:rsidR="00D93535" w:rsidRPr="00D93535">
        <w:rPr>
          <w:rFonts w:asciiTheme="majorHAnsi" w:hAnsiTheme="majorHAnsi"/>
          <w:i/>
        </w:rPr>
        <w:t>PEX</w:t>
      </w:r>
      <w:r w:rsidR="00FF4596">
        <w:rPr>
          <w:rFonts w:asciiTheme="majorHAnsi" w:hAnsiTheme="majorHAnsi"/>
        </w:rPr>
        <w:t>1.</w:t>
      </w:r>
    </w:p>
    <w:p w:rsidR="00147748" w:rsidRPr="0013327C" w:rsidRDefault="00147748" w:rsidP="00AE0264">
      <w:pPr>
        <w:jc w:val="both"/>
        <w:rPr>
          <w:rFonts w:asciiTheme="majorHAnsi" w:hAnsiTheme="majorHAnsi"/>
        </w:rPr>
      </w:pPr>
      <w:r w:rsidRPr="0013327C">
        <w:rPr>
          <w:rFonts w:asciiTheme="majorHAnsi" w:hAnsiTheme="majorHAnsi"/>
          <w:noProof/>
          <w:lang w:eastAsia="en-GB"/>
        </w:rPr>
        <w:drawing>
          <wp:inline distT="0" distB="0" distL="0" distR="0">
            <wp:extent cx="5731510" cy="2998633"/>
            <wp:effectExtent l="19050" t="0" r="2540" b="0"/>
            <wp:docPr id="4" name="Picture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1" cstate="print"/>
                    <a:srcRect/>
                    <a:stretch>
                      <a:fillRect/>
                    </a:stretch>
                  </pic:blipFill>
                  <pic:spPr bwMode="auto">
                    <a:xfrm>
                      <a:off x="0" y="0"/>
                      <a:ext cx="5731510" cy="2998633"/>
                    </a:xfrm>
                    <a:prstGeom prst="rect">
                      <a:avLst/>
                    </a:prstGeom>
                    <a:noFill/>
                    <a:ln w="9525">
                      <a:noFill/>
                      <a:miter lim="800000"/>
                      <a:headEnd/>
                      <a:tailEnd/>
                    </a:ln>
                  </pic:spPr>
                </pic:pic>
              </a:graphicData>
            </a:graphic>
          </wp:inline>
        </w:drawing>
      </w:r>
    </w:p>
    <w:p w:rsidR="00147748" w:rsidRPr="0013327C" w:rsidRDefault="00742DE4" w:rsidP="00AE0264">
      <w:pPr>
        <w:jc w:val="both"/>
        <w:rPr>
          <w:rFonts w:asciiTheme="majorHAnsi" w:hAnsiTheme="majorHAnsi"/>
        </w:rPr>
      </w:pPr>
      <w:proofErr w:type="gramStart"/>
      <w:r w:rsidRPr="0013327C">
        <w:rPr>
          <w:rFonts w:asciiTheme="majorHAnsi" w:hAnsiTheme="majorHAnsi"/>
          <w:b/>
        </w:rPr>
        <w:t>Figure 2.</w:t>
      </w:r>
      <w:r w:rsidR="00280D02">
        <w:rPr>
          <w:rFonts w:asciiTheme="majorHAnsi" w:hAnsiTheme="majorHAnsi"/>
          <w:b/>
        </w:rPr>
        <w:t>6</w:t>
      </w:r>
      <w:r w:rsidR="00147748" w:rsidRPr="0013327C">
        <w:rPr>
          <w:rFonts w:asciiTheme="majorHAnsi" w:hAnsiTheme="majorHAnsi"/>
          <w:b/>
        </w:rPr>
        <w:t>.</w:t>
      </w:r>
      <w:proofErr w:type="gramEnd"/>
      <w:r w:rsidR="00147748" w:rsidRPr="0013327C">
        <w:rPr>
          <w:rFonts w:asciiTheme="majorHAnsi" w:hAnsiTheme="majorHAnsi"/>
          <w:b/>
        </w:rPr>
        <w:t xml:space="preserve"> </w:t>
      </w:r>
      <w:r w:rsidR="00255483" w:rsidRPr="00703E2C">
        <w:rPr>
          <w:rFonts w:asciiTheme="majorHAnsi" w:hAnsiTheme="majorHAnsi"/>
          <w:b/>
        </w:rPr>
        <w:t>E-RNAi target-g</w:t>
      </w:r>
      <w:r w:rsidR="005F46E6" w:rsidRPr="00703E2C">
        <w:rPr>
          <w:rFonts w:asciiTheme="majorHAnsi" w:hAnsiTheme="majorHAnsi"/>
          <w:b/>
        </w:rPr>
        <w:t>ene</w:t>
      </w:r>
      <w:r w:rsidR="00255483" w:rsidRPr="00703E2C">
        <w:rPr>
          <w:rFonts w:asciiTheme="majorHAnsi" w:hAnsiTheme="majorHAnsi"/>
          <w:b/>
        </w:rPr>
        <w:t xml:space="preserve"> </w:t>
      </w:r>
      <w:r w:rsidR="005F46E6" w:rsidRPr="00703E2C">
        <w:rPr>
          <w:rFonts w:asciiTheme="majorHAnsi" w:hAnsiTheme="majorHAnsi"/>
          <w:b/>
        </w:rPr>
        <w:t>input</w:t>
      </w:r>
      <w:r w:rsidR="005F46E6" w:rsidRPr="0013327C">
        <w:rPr>
          <w:rFonts w:asciiTheme="majorHAnsi" w:hAnsiTheme="majorHAnsi"/>
        </w:rPr>
        <w:t>.</w:t>
      </w:r>
      <w:r w:rsidR="005F46E6" w:rsidRPr="0013327C">
        <w:rPr>
          <w:rFonts w:asciiTheme="majorHAnsi" w:hAnsiTheme="majorHAnsi"/>
          <w:b/>
        </w:rPr>
        <w:t xml:space="preserve"> </w:t>
      </w:r>
      <w:r w:rsidR="00147748" w:rsidRPr="0013327C">
        <w:rPr>
          <w:rFonts w:asciiTheme="majorHAnsi" w:hAnsiTheme="majorHAnsi"/>
        </w:rPr>
        <w:t xml:space="preserve">The IDSeq link provides a page where the user can put in the target gene of choice. The GeneID for </w:t>
      </w:r>
      <w:r w:rsidR="000C26B2" w:rsidRPr="000C26B2">
        <w:rPr>
          <w:rFonts w:asciiTheme="majorHAnsi" w:hAnsiTheme="majorHAnsi"/>
          <w:i/>
        </w:rPr>
        <w:t>PEX</w:t>
      </w:r>
      <w:r w:rsidR="00147748" w:rsidRPr="0013327C">
        <w:rPr>
          <w:rFonts w:asciiTheme="majorHAnsi" w:hAnsiTheme="majorHAnsi"/>
        </w:rPr>
        <w:t>1 is shown in box 3 (CG6760).</w:t>
      </w:r>
    </w:p>
    <w:p w:rsidR="00147748" w:rsidRPr="0013327C" w:rsidRDefault="00147748"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731510" cy="3491567"/>
            <wp:effectExtent l="19050" t="0" r="2540" b="0"/>
            <wp:docPr id="6" name="Picture 4"/>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2" cstate="print"/>
                    <a:srcRect/>
                    <a:stretch>
                      <a:fillRect/>
                    </a:stretch>
                  </pic:blipFill>
                  <pic:spPr bwMode="auto">
                    <a:xfrm>
                      <a:off x="0" y="0"/>
                      <a:ext cx="5731510" cy="3491567"/>
                    </a:xfrm>
                    <a:prstGeom prst="rect">
                      <a:avLst/>
                    </a:prstGeom>
                    <a:noFill/>
                    <a:ln w="9525">
                      <a:noFill/>
                      <a:miter lim="800000"/>
                      <a:headEnd/>
                      <a:tailEnd/>
                    </a:ln>
                  </pic:spPr>
                </pic:pic>
              </a:graphicData>
            </a:graphic>
          </wp:inline>
        </w:drawing>
      </w:r>
    </w:p>
    <w:p w:rsidR="00147748" w:rsidRPr="0013327C" w:rsidRDefault="00742DE4" w:rsidP="00AE0264">
      <w:pPr>
        <w:jc w:val="both"/>
        <w:rPr>
          <w:rFonts w:asciiTheme="majorHAnsi" w:hAnsiTheme="majorHAnsi"/>
        </w:rPr>
      </w:pPr>
      <w:proofErr w:type="gramStart"/>
      <w:r w:rsidRPr="0013327C">
        <w:rPr>
          <w:rFonts w:asciiTheme="majorHAnsi" w:hAnsiTheme="majorHAnsi"/>
          <w:b/>
        </w:rPr>
        <w:t>Figure 2.</w:t>
      </w:r>
      <w:r w:rsidR="00280D02">
        <w:rPr>
          <w:rFonts w:asciiTheme="majorHAnsi" w:hAnsiTheme="majorHAnsi"/>
          <w:b/>
        </w:rPr>
        <w:t>7</w:t>
      </w:r>
      <w:r w:rsidR="00147748" w:rsidRPr="0013327C">
        <w:rPr>
          <w:rFonts w:asciiTheme="majorHAnsi" w:hAnsiTheme="majorHAnsi"/>
          <w:b/>
        </w:rPr>
        <w:t>.</w:t>
      </w:r>
      <w:proofErr w:type="gramEnd"/>
      <w:r w:rsidR="00147748" w:rsidRPr="0013327C">
        <w:rPr>
          <w:rFonts w:asciiTheme="majorHAnsi" w:hAnsiTheme="majorHAnsi"/>
        </w:rPr>
        <w:t xml:space="preserve"> </w:t>
      </w:r>
      <w:r w:rsidR="007B55DE" w:rsidRPr="00280D02">
        <w:rPr>
          <w:rFonts w:asciiTheme="majorHAnsi" w:hAnsiTheme="majorHAnsi"/>
          <w:b/>
        </w:rPr>
        <w:t>E-RNAi GeneBrowse target selection</w:t>
      </w:r>
      <w:r w:rsidR="007B55DE" w:rsidRPr="0013327C">
        <w:rPr>
          <w:rFonts w:asciiTheme="majorHAnsi" w:hAnsiTheme="majorHAnsi"/>
        </w:rPr>
        <w:t xml:space="preserve">. </w:t>
      </w:r>
      <w:r w:rsidR="000C26B2" w:rsidRPr="000C26B2">
        <w:rPr>
          <w:rFonts w:asciiTheme="majorHAnsi" w:hAnsiTheme="majorHAnsi"/>
          <w:i/>
        </w:rPr>
        <w:t>PEX</w:t>
      </w:r>
      <w:r w:rsidR="00147748" w:rsidRPr="0013327C">
        <w:rPr>
          <w:rFonts w:asciiTheme="majorHAnsi" w:hAnsiTheme="majorHAnsi"/>
        </w:rPr>
        <w:t>1 is located in Gene Browse and the gene</w:t>
      </w:r>
      <w:r w:rsidR="00FF4596">
        <w:rPr>
          <w:rFonts w:asciiTheme="majorHAnsi" w:hAnsiTheme="majorHAnsi"/>
        </w:rPr>
        <w:t xml:space="preserve"> (green)</w:t>
      </w:r>
      <w:r w:rsidR="00147748" w:rsidRPr="0013327C">
        <w:rPr>
          <w:rFonts w:asciiTheme="majorHAnsi" w:hAnsiTheme="majorHAnsi"/>
        </w:rPr>
        <w:t xml:space="preserve">, transcript </w:t>
      </w:r>
      <w:r w:rsidR="00FF4596">
        <w:rPr>
          <w:rFonts w:asciiTheme="majorHAnsi" w:hAnsiTheme="majorHAnsi"/>
        </w:rPr>
        <w:t xml:space="preserve">(yellow) </w:t>
      </w:r>
      <w:r w:rsidR="00147748" w:rsidRPr="0013327C">
        <w:rPr>
          <w:rFonts w:asciiTheme="majorHAnsi" w:hAnsiTheme="majorHAnsi"/>
        </w:rPr>
        <w:t xml:space="preserve">and exons </w:t>
      </w:r>
      <w:r w:rsidR="00FF4596">
        <w:rPr>
          <w:rFonts w:asciiTheme="majorHAnsi" w:hAnsiTheme="majorHAnsi"/>
        </w:rPr>
        <w:t xml:space="preserve">(pink) </w:t>
      </w:r>
      <w:r w:rsidR="00147748" w:rsidRPr="0013327C">
        <w:rPr>
          <w:rFonts w:asciiTheme="majorHAnsi" w:hAnsiTheme="majorHAnsi"/>
        </w:rPr>
        <w:t>are displayed as target sequences. The fifth Exon is chosen as part of an attempt to target mature mRNAs only</w:t>
      </w:r>
      <w:r w:rsidR="0030683B">
        <w:rPr>
          <w:rFonts w:asciiTheme="majorHAnsi" w:hAnsiTheme="majorHAnsi"/>
        </w:rPr>
        <w:t xml:space="preserve"> and to avoid targeting introns which may contain low complexity sequence</w:t>
      </w:r>
      <w:r w:rsidR="00147748" w:rsidRPr="0013327C">
        <w:rPr>
          <w:rFonts w:asciiTheme="majorHAnsi" w:hAnsiTheme="majorHAnsi"/>
        </w:rPr>
        <w:t>.</w:t>
      </w:r>
    </w:p>
    <w:p w:rsidR="00147748" w:rsidRPr="0013327C" w:rsidRDefault="00147748" w:rsidP="00AE0264">
      <w:pPr>
        <w:jc w:val="both"/>
        <w:rPr>
          <w:rFonts w:asciiTheme="majorHAnsi" w:hAnsiTheme="majorHAnsi"/>
        </w:rPr>
      </w:pPr>
      <w:r w:rsidRPr="0013327C">
        <w:rPr>
          <w:rFonts w:asciiTheme="majorHAnsi" w:hAnsiTheme="majorHAnsi"/>
          <w:noProof/>
          <w:lang w:eastAsia="en-GB"/>
        </w:rPr>
        <w:drawing>
          <wp:inline distT="0" distB="0" distL="0" distR="0">
            <wp:extent cx="5731510" cy="2207489"/>
            <wp:effectExtent l="19050" t="0" r="2540" b="0"/>
            <wp:docPr id="12" name="Picture 7"/>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23" cstate="print"/>
                    <a:srcRect b="26711"/>
                    <a:stretch>
                      <a:fillRect/>
                    </a:stretch>
                  </pic:blipFill>
                  <pic:spPr bwMode="auto">
                    <a:xfrm>
                      <a:off x="0" y="0"/>
                      <a:ext cx="5731510" cy="2207489"/>
                    </a:xfrm>
                    <a:prstGeom prst="rect">
                      <a:avLst/>
                    </a:prstGeom>
                    <a:noFill/>
                    <a:ln w="9525">
                      <a:noFill/>
                      <a:miter lim="800000"/>
                      <a:headEnd/>
                      <a:tailEnd/>
                    </a:ln>
                  </pic:spPr>
                </pic:pic>
              </a:graphicData>
            </a:graphic>
          </wp:inline>
        </w:drawing>
      </w:r>
    </w:p>
    <w:p w:rsidR="00147748" w:rsidRPr="0013327C" w:rsidRDefault="00742DE4" w:rsidP="00AE0264">
      <w:pPr>
        <w:jc w:val="both"/>
        <w:rPr>
          <w:rFonts w:asciiTheme="majorHAnsi" w:hAnsiTheme="majorHAnsi"/>
          <w:b/>
        </w:rPr>
      </w:pPr>
      <w:proofErr w:type="gramStart"/>
      <w:r w:rsidRPr="0013327C">
        <w:rPr>
          <w:rFonts w:asciiTheme="majorHAnsi" w:hAnsiTheme="majorHAnsi"/>
          <w:b/>
        </w:rPr>
        <w:t>Figure 2.</w:t>
      </w:r>
      <w:r w:rsidR="00280D02">
        <w:rPr>
          <w:rFonts w:asciiTheme="majorHAnsi" w:hAnsiTheme="majorHAnsi"/>
          <w:b/>
        </w:rPr>
        <w:t>8</w:t>
      </w:r>
      <w:r w:rsidR="00147748" w:rsidRPr="0013327C">
        <w:rPr>
          <w:rFonts w:asciiTheme="majorHAnsi" w:hAnsiTheme="majorHAnsi"/>
          <w:b/>
        </w:rPr>
        <w:t>.</w:t>
      </w:r>
      <w:proofErr w:type="gramEnd"/>
      <w:r w:rsidR="00147748" w:rsidRPr="0013327C">
        <w:rPr>
          <w:rFonts w:asciiTheme="majorHAnsi" w:hAnsiTheme="majorHAnsi"/>
          <w:b/>
        </w:rPr>
        <w:t xml:space="preserve"> </w:t>
      </w:r>
      <w:proofErr w:type="gramStart"/>
      <w:r w:rsidR="007B55DE" w:rsidRPr="00703E2C">
        <w:rPr>
          <w:rFonts w:asciiTheme="majorHAnsi" w:hAnsiTheme="majorHAnsi"/>
          <w:b/>
        </w:rPr>
        <w:t>E-RNAi r</w:t>
      </w:r>
      <w:r w:rsidRPr="00703E2C">
        <w:rPr>
          <w:rFonts w:asciiTheme="majorHAnsi" w:hAnsiTheme="majorHAnsi"/>
          <w:b/>
        </w:rPr>
        <w:t>e</w:t>
      </w:r>
      <w:r w:rsidR="007B55DE" w:rsidRPr="00703E2C">
        <w:rPr>
          <w:rFonts w:asciiTheme="majorHAnsi" w:hAnsiTheme="majorHAnsi"/>
          <w:b/>
        </w:rPr>
        <w:t>agent design.</w:t>
      </w:r>
      <w:proofErr w:type="gramEnd"/>
      <w:r w:rsidR="007B55DE" w:rsidRPr="00703E2C">
        <w:rPr>
          <w:rFonts w:asciiTheme="majorHAnsi" w:hAnsiTheme="majorHAnsi"/>
          <w:b/>
        </w:rPr>
        <w:t xml:space="preserve"> </w:t>
      </w:r>
      <w:r w:rsidR="00147748" w:rsidRPr="0013327C">
        <w:rPr>
          <w:rFonts w:asciiTheme="majorHAnsi" w:hAnsiTheme="majorHAnsi"/>
        </w:rPr>
        <w:t xml:space="preserve">Criteria for primer design are presented. 21bp is chosen as a siRNA length known to occur in </w:t>
      </w:r>
      <w:r w:rsidR="00147748" w:rsidRPr="0013327C">
        <w:rPr>
          <w:rFonts w:asciiTheme="majorHAnsi" w:hAnsiTheme="majorHAnsi"/>
          <w:i/>
        </w:rPr>
        <w:t>D. melanogaster</w:t>
      </w:r>
      <w:r w:rsidR="00147748" w:rsidRPr="0013327C">
        <w:rPr>
          <w:rFonts w:asciiTheme="majorHAnsi" w:hAnsiTheme="majorHAnsi"/>
        </w:rPr>
        <w:t xml:space="preserv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"10.1016/S0092-8674(00)80620-0", "abstract" : "Double-stranded RNA (dsRNA) directs the sequence-specific degradation of mRNA through a process known as RNA interference (RNAi). Using a recently developed Drosophila in vitro system, we examined the molecular mechanism underlying RNAi. We find that RNAi is ATP dependent yet uncoupled from mRNA translation. During the RNAi reaction, both strands of the dsRNA are processed to RNA segments 21-23 nucleotides in length. Processing of the dsRNA to the small RNA fragments does not require the targeted mRNA. The mRNA is cleaved only within the region of identity with the dsRNA. Cleavage occurs at sites 21-23 nucleotides apart, the same interval observed for the dsRNA itself, suggesting that the 21-23 nucleotide fragments from the dsRNA are guiding mRNA cleavage.", "author" : [ { "dropping-particle" : "", "family" : "Zamore", "given" : "P D", "non-dropping-particle" : "", "parse-names" : false, "suffix" : "" }, { "dropping-particle" : "", "family" : "Tuschl", "given" : "T", "non-dropping-particle" : "", "parse-names" : false, "suffix" : "" }, { "dropping-particle" : "", "family" : "Sharp", "given" : "P a", "non-dropping-particle" : "", "parse-names" : false, "suffix" : "" }, { "dropping-particle" : "", "family" : "Bartel", "given" : "D P", "non-dropping-particle" : "", "parse-names" : false, "suffix" : "" } ], "container-title" : "Cell", "id" : "ITEM-1", "issue" : "1", "issued" : { "date-parts" : [ [ "2000", "3", "31" ] ] }, "page" : "25-33", "title" : "RNAi: double-stranded RNA directs the ATP-dependent cleavage of mRNA at 21 to 23 nucleotide intervals.", "type" : "article-journal", "volume" : "101" }, "uris" : [ "http://www.mendeley.com/documents/?uuid=6a3e97c6-ace6-4885-a4cb-3b4693452ff1" ] } ], "mendeley" : { "manualFormatting" : "(Zamore et al., 2000)", "previouslyFormattedCitation" : "(Zamore et al. 2000)" }, "properties" : { "noteIndex" : 0 }, "schema" : "https://github.com/citation-style-language/schema/raw/master/csl-citation.json" }</w:instrText>
      </w:r>
      <w:r w:rsidR="009A1FEC" w:rsidRPr="0013327C">
        <w:rPr>
          <w:rFonts w:asciiTheme="majorHAnsi" w:hAnsiTheme="majorHAnsi"/>
        </w:rPr>
        <w:fldChar w:fldCharType="separate"/>
      </w:r>
      <w:r w:rsidR="00147748" w:rsidRPr="0013327C">
        <w:rPr>
          <w:rFonts w:asciiTheme="majorHAnsi" w:hAnsiTheme="majorHAnsi"/>
          <w:noProof/>
        </w:rPr>
        <w:t xml:space="preserve">(Zamore </w:t>
      </w:r>
      <w:r w:rsidR="00466108" w:rsidRPr="00466108">
        <w:rPr>
          <w:rFonts w:asciiTheme="majorHAnsi" w:hAnsiTheme="majorHAnsi"/>
          <w:i/>
          <w:noProof/>
        </w:rPr>
        <w:t>et al</w:t>
      </w:r>
      <w:r w:rsidR="00147748" w:rsidRPr="0013327C">
        <w:rPr>
          <w:rFonts w:asciiTheme="majorHAnsi" w:hAnsiTheme="majorHAnsi"/>
          <w:i/>
          <w:noProof/>
        </w:rPr>
        <w:t>.,</w:t>
      </w:r>
      <w:r w:rsidR="00147748" w:rsidRPr="0013327C">
        <w:rPr>
          <w:rFonts w:asciiTheme="majorHAnsi" w:hAnsiTheme="majorHAnsi"/>
          <w:noProof/>
        </w:rPr>
        <w:t xml:space="preserve"> 2000)</w:t>
      </w:r>
      <w:r w:rsidR="009A1FEC" w:rsidRPr="0013327C">
        <w:rPr>
          <w:rFonts w:asciiTheme="majorHAnsi" w:hAnsiTheme="majorHAnsi"/>
        </w:rPr>
        <w:fldChar w:fldCharType="end"/>
      </w:r>
      <w:r w:rsidR="00147748" w:rsidRPr="0013327C">
        <w:rPr>
          <w:rFonts w:asciiTheme="majorHAnsi" w:hAnsiTheme="majorHAnsi"/>
        </w:rPr>
        <w:t>. The next two choices are default selected to avoid low complexity regions and CA</w:t>
      </w:r>
      <w:r w:rsidR="00147748" w:rsidRPr="0013327C">
        <w:rPr>
          <w:rFonts w:asciiTheme="majorHAnsi" w:hAnsiTheme="majorHAnsi"/>
          <w:i/>
        </w:rPr>
        <w:t>N</w:t>
      </w:r>
      <w:r w:rsidR="00147748" w:rsidRPr="0013327C">
        <w:rPr>
          <w:rFonts w:asciiTheme="majorHAnsi" w:hAnsiTheme="majorHAnsi"/>
        </w:rPr>
        <w:t xml:space="preserve"> repeated arrays. O% overlap with introns ensures mature mRNA is targeted and reduces the likelihood of off-target RNAi. </w:t>
      </w:r>
    </w:p>
    <w:p w:rsidR="00147748" w:rsidRPr="0013327C" w:rsidRDefault="00147748"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731510" cy="3544841"/>
            <wp:effectExtent l="19050" t="0" r="2540" b="0"/>
            <wp:docPr id="17" name="Picture 8"/>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24" cstate="print"/>
                    <a:srcRect t="2285"/>
                    <a:stretch>
                      <a:fillRect/>
                    </a:stretch>
                  </pic:blipFill>
                  <pic:spPr bwMode="auto">
                    <a:xfrm>
                      <a:off x="0" y="0"/>
                      <a:ext cx="5731510" cy="3544841"/>
                    </a:xfrm>
                    <a:prstGeom prst="rect">
                      <a:avLst/>
                    </a:prstGeom>
                    <a:noFill/>
                    <a:ln w="9525">
                      <a:noFill/>
                      <a:miter lim="800000"/>
                      <a:headEnd/>
                      <a:tailEnd/>
                    </a:ln>
                  </pic:spPr>
                </pic:pic>
              </a:graphicData>
            </a:graphic>
          </wp:inline>
        </w:drawing>
      </w:r>
    </w:p>
    <w:p w:rsidR="00147748" w:rsidRDefault="00147748" w:rsidP="00AE0264">
      <w:pPr>
        <w:jc w:val="both"/>
        <w:rPr>
          <w:rFonts w:asciiTheme="majorHAnsi" w:hAnsiTheme="majorHAnsi"/>
        </w:rPr>
      </w:pPr>
      <w:proofErr w:type="gramStart"/>
      <w:r w:rsidRPr="0013327C">
        <w:rPr>
          <w:rFonts w:asciiTheme="majorHAnsi" w:hAnsiTheme="majorHAnsi"/>
          <w:b/>
        </w:rPr>
        <w:t>Figure 2.</w:t>
      </w:r>
      <w:r w:rsidR="00280D02">
        <w:rPr>
          <w:rFonts w:asciiTheme="majorHAnsi" w:hAnsiTheme="majorHAnsi"/>
          <w:b/>
        </w:rPr>
        <w:t>9</w:t>
      </w:r>
      <w:r w:rsidRPr="0013327C">
        <w:rPr>
          <w:rFonts w:asciiTheme="majorHAnsi" w:hAnsiTheme="majorHAnsi"/>
          <w:b/>
        </w:rPr>
        <w:t>.</w:t>
      </w:r>
      <w:proofErr w:type="gramEnd"/>
      <w:r w:rsidRPr="0013327C">
        <w:rPr>
          <w:rFonts w:asciiTheme="majorHAnsi" w:hAnsiTheme="majorHAnsi"/>
        </w:rPr>
        <w:t xml:space="preserve"> </w:t>
      </w:r>
      <w:proofErr w:type="gramStart"/>
      <w:r w:rsidR="007B55DE" w:rsidRPr="00703E2C">
        <w:rPr>
          <w:rFonts w:asciiTheme="majorHAnsi" w:hAnsiTheme="majorHAnsi"/>
          <w:b/>
        </w:rPr>
        <w:t>E-RNAi primer design</w:t>
      </w:r>
      <w:r w:rsidR="007B55DE" w:rsidRPr="0013327C">
        <w:rPr>
          <w:rFonts w:asciiTheme="majorHAnsi" w:hAnsiTheme="majorHAnsi"/>
        </w:rPr>
        <w:t>.</w:t>
      </w:r>
      <w:proofErr w:type="gramEnd"/>
      <w:r w:rsidR="007B55DE" w:rsidRPr="0013327C">
        <w:rPr>
          <w:rFonts w:asciiTheme="majorHAnsi" w:hAnsiTheme="majorHAnsi"/>
        </w:rPr>
        <w:t xml:space="preserve"> </w:t>
      </w:r>
      <w:r w:rsidRPr="0013327C">
        <w:rPr>
          <w:rFonts w:asciiTheme="majorHAnsi" w:hAnsiTheme="majorHAnsi"/>
        </w:rPr>
        <w:t xml:space="preserve">The page displayed in Figure 2.6.4 continues with the primer-specific options. </w:t>
      </w:r>
      <w:r w:rsidR="00703E2C" w:rsidRPr="0013327C">
        <w:rPr>
          <w:rFonts w:asciiTheme="majorHAnsi" w:hAnsiTheme="majorHAnsi"/>
        </w:rPr>
        <w:t xml:space="preserve">The only option edited from default was the size range </w:t>
      </w:r>
      <w:r w:rsidR="00703E2C">
        <w:rPr>
          <w:rFonts w:asciiTheme="majorHAnsi" w:hAnsiTheme="majorHAnsi"/>
        </w:rPr>
        <w:t>lower cut-off from 150bp to 250</w:t>
      </w:r>
      <w:r w:rsidR="00703E2C" w:rsidRPr="0013327C">
        <w:rPr>
          <w:rFonts w:asciiTheme="majorHAnsi" w:hAnsiTheme="majorHAnsi"/>
        </w:rPr>
        <w:t xml:space="preserve">bp, facilitating observation of bands on agarose gel. </w:t>
      </w:r>
      <w:r w:rsidRPr="0013327C">
        <w:rPr>
          <w:rFonts w:asciiTheme="majorHAnsi" w:hAnsiTheme="majorHAnsi"/>
        </w:rPr>
        <w:t>The T7 RNA polymerase promoter is added to the 5’ end of each primer</w:t>
      </w:r>
    </w:p>
    <w:p w:rsidR="00EF7819" w:rsidRPr="0013327C" w:rsidRDefault="00EF7819" w:rsidP="00AE0264">
      <w:pPr>
        <w:jc w:val="both"/>
        <w:rPr>
          <w:rFonts w:asciiTheme="majorHAnsi" w:hAnsiTheme="majorHAnsi"/>
        </w:rPr>
      </w:pPr>
    </w:p>
    <w:p w:rsidR="00147748" w:rsidRPr="0013327C" w:rsidRDefault="00147748"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731510" cy="3804473"/>
            <wp:effectExtent l="19050" t="0" r="2540" b="0"/>
            <wp:docPr id="1"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5" cstate="print"/>
                    <a:srcRect/>
                    <a:stretch>
                      <a:fillRect/>
                    </a:stretch>
                  </pic:blipFill>
                  <pic:spPr bwMode="auto">
                    <a:xfrm>
                      <a:off x="0" y="0"/>
                      <a:ext cx="5731510" cy="3804473"/>
                    </a:xfrm>
                    <a:prstGeom prst="rect">
                      <a:avLst/>
                    </a:prstGeom>
                    <a:noFill/>
                    <a:ln w="9525">
                      <a:noFill/>
                      <a:miter lim="800000"/>
                      <a:headEnd/>
                      <a:tailEnd/>
                    </a:ln>
                  </pic:spPr>
                </pic:pic>
              </a:graphicData>
            </a:graphic>
          </wp:inline>
        </w:drawing>
      </w:r>
    </w:p>
    <w:p w:rsidR="00147748" w:rsidRPr="0013327C" w:rsidRDefault="00742DE4" w:rsidP="00AE0264">
      <w:pPr>
        <w:jc w:val="both"/>
        <w:rPr>
          <w:rFonts w:asciiTheme="majorHAnsi" w:hAnsiTheme="majorHAnsi"/>
        </w:rPr>
      </w:pPr>
      <w:proofErr w:type="gramStart"/>
      <w:r w:rsidRPr="0013327C">
        <w:rPr>
          <w:rFonts w:asciiTheme="majorHAnsi" w:hAnsiTheme="majorHAnsi"/>
          <w:b/>
        </w:rPr>
        <w:t>Figure 2.</w:t>
      </w:r>
      <w:r w:rsidR="00A47DBA">
        <w:rPr>
          <w:rFonts w:asciiTheme="majorHAnsi" w:hAnsiTheme="majorHAnsi"/>
          <w:b/>
        </w:rPr>
        <w:t>10</w:t>
      </w:r>
      <w:r w:rsidR="00147748" w:rsidRPr="0013327C">
        <w:rPr>
          <w:rFonts w:asciiTheme="majorHAnsi" w:hAnsiTheme="majorHAnsi"/>
          <w:b/>
        </w:rPr>
        <w:t>.</w:t>
      </w:r>
      <w:proofErr w:type="gramEnd"/>
      <w:r w:rsidR="00147748" w:rsidRPr="0013327C">
        <w:rPr>
          <w:rFonts w:asciiTheme="majorHAnsi" w:hAnsiTheme="majorHAnsi"/>
          <w:b/>
        </w:rPr>
        <w:t xml:space="preserve"> </w:t>
      </w:r>
      <w:r w:rsidR="007B55DE" w:rsidRPr="00A47DBA">
        <w:rPr>
          <w:rFonts w:asciiTheme="majorHAnsi" w:hAnsiTheme="majorHAnsi"/>
          <w:b/>
        </w:rPr>
        <w:t>E-RNAi reagent output page</w:t>
      </w:r>
      <w:r w:rsidR="007B55DE" w:rsidRPr="0013327C">
        <w:rPr>
          <w:rFonts w:asciiTheme="majorHAnsi" w:hAnsiTheme="majorHAnsi"/>
        </w:rPr>
        <w:t>.</w:t>
      </w:r>
      <w:r w:rsidR="007B55DE" w:rsidRPr="0013327C">
        <w:rPr>
          <w:rFonts w:asciiTheme="majorHAnsi" w:hAnsiTheme="majorHAnsi"/>
          <w:b/>
        </w:rPr>
        <w:t xml:space="preserve"> </w:t>
      </w:r>
      <w:r w:rsidR="00147748" w:rsidRPr="0013327C">
        <w:rPr>
          <w:rFonts w:asciiTheme="majorHAnsi" w:hAnsiTheme="majorHAnsi"/>
        </w:rPr>
        <w:t>The output page gives details of all the long dsRNA amplicon designs, their statistics and those of its primers. Primers are shown with their T7 sequence attached</w:t>
      </w:r>
      <w:r w:rsidR="0030683B">
        <w:rPr>
          <w:rFonts w:asciiTheme="majorHAnsi" w:hAnsiTheme="majorHAnsi"/>
        </w:rPr>
        <w:t xml:space="preserve"> (lower case)</w:t>
      </w:r>
      <w:proofErr w:type="gramStart"/>
      <w:r w:rsidR="00147748" w:rsidRPr="0013327C">
        <w:rPr>
          <w:rFonts w:asciiTheme="majorHAnsi" w:hAnsiTheme="majorHAnsi"/>
        </w:rPr>
        <w:t>,</w:t>
      </w:r>
      <w:proofErr w:type="gramEnd"/>
      <w:r w:rsidR="00147748" w:rsidRPr="0013327C">
        <w:rPr>
          <w:rFonts w:asciiTheme="majorHAnsi" w:hAnsiTheme="majorHAnsi"/>
        </w:rPr>
        <w:t xml:space="preserve"> the amplicon is shown without the T7 sequence as the dsRNA would be synthesised. The reagent quality is </w:t>
      </w:r>
      <w:r w:rsidR="00936413">
        <w:rPr>
          <w:rFonts w:asciiTheme="majorHAnsi" w:hAnsiTheme="majorHAnsi"/>
        </w:rPr>
        <w:t>shown below</w:t>
      </w:r>
      <w:r w:rsidR="00147748" w:rsidRPr="0013327C">
        <w:rPr>
          <w:rFonts w:asciiTheme="majorHAnsi" w:hAnsiTheme="majorHAnsi"/>
        </w:rPr>
        <w:t xml:space="preserve">. This details the number of siRNAs that with be generated by the sense strand. These are almost always 100% on target but whether there are off-target effects is the most crucial statistic. </w:t>
      </w:r>
      <w:r w:rsidR="00703E2C">
        <w:rPr>
          <w:rFonts w:asciiTheme="majorHAnsi" w:hAnsiTheme="majorHAnsi"/>
        </w:rPr>
        <w:t>Average</w:t>
      </w:r>
      <w:r w:rsidR="00147748" w:rsidRPr="0013327C">
        <w:rPr>
          <w:rFonts w:asciiTheme="majorHAnsi" w:hAnsiTheme="majorHAnsi"/>
        </w:rPr>
        <w:t xml:space="preserve"> efficiency is determined using a combination of “weighted”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"10.1186/1471-2105-8-178", "abstract" : "RNA interference has revolutionized our ability to study the effects of altering the expression of single genes in mammalian (and other) cells through targeted knockdown of gene expression. In this report we describe a web-based computational tool, siRNA Information Resource (sIR), which consists of a new open source database that contains validation information about published siRNA sequences and also provides a user-friendly interface to design and analyze siRNA sequences against a chosen target sequence.", "author" : [ { "dropping-particle" : "", "family" : "Shah", "given" : "Jyoti K", "non-dropping-particle" : "", "parse-names" : false, "suffix" : "" }, { "dropping-particle" : "", "family" : "Garner", "given" : "Harold R", "non-dropping-particle" : "", "parse-names" : false, "suffix" : "" }, { "dropping-particle" : "", "family" : "White", "given" : "Michael a", "non-dropping-particle" : "", "parse-names" : false, "suffix" : "" }, { "dropping-particle" : "", "family" : "Shames", "given" : "David S", "non-dropping-particle" : "", "parse-names" : false, "suffix" : "" }, { "dropping-particle" : "", "family" : "Minna", "given" : "John D", "non-dropping-particle" : "", "parse-names" : false, "suffix" : "" } ], "container-title" : "BMC bioinformatics", "id" : "ITEM-1", "issued" : { "date-parts" : [ [ "2007", "1" ] ] }, "page" : "178", "title" : "sIR: siRNA Information Resource, a web-based tool for siRNA sequence design and analysis and an open access siRNA database.", "type" : "article-journal", "volume" : "8" }, "uris" : [ "http://www.mendeley.com/documents/?uuid=c14a53be-1239-4337-8782-65e4e6cea5ec" ] } ], "mendeley" : { "manualFormatting" : "(Shah et al., 2007)", "previouslyFormattedCitation" : "(Shah et al. 2007)" }, "properties" : { "noteIndex" : 0 }, "schema" : "https://github.com/citation-style-language/schema/raw/master/csl-citation.json" }</w:instrText>
      </w:r>
      <w:r w:rsidR="009A1FEC" w:rsidRPr="0013327C">
        <w:rPr>
          <w:rFonts w:asciiTheme="majorHAnsi" w:hAnsiTheme="majorHAnsi"/>
        </w:rPr>
        <w:fldChar w:fldCharType="separate"/>
      </w:r>
      <w:r w:rsidR="00147748" w:rsidRPr="0013327C">
        <w:rPr>
          <w:rFonts w:asciiTheme="majorHAnsi" w:hAnsiTheme="majorHAnsi"/>
          <w:i/>
          <w:noProof/>
        </w:rPr>
        <w:t>(</w:t>
      </w:r>
      <w:r w:rsidR="00147748" w:rsidRPr="0013327C">
        <w:rPr>
          <w:rFonts w:asciiTheme="majorHAnsi" w:hAnsiTheme="majorHAnsi"/>
          <w:noProof/>
        </w:rPr>
        <w:t xml:space="preserve">Shah </w:t>
      </w:r>
      <w:r w:rsidR="00466108" w:rsidRPr="00466108">
        <w:rPr>
          <w:rFonts w:asciiTheme="majorHAnsi" w:hAnsiTheme="majorHAnsi"/>
          <w:i/>
          <w:noProof/>
        </w:rPr>
        <w:t>et al</w:t>
      </w:r>
      <w:r w:rsidR="00147748" w:rsidRPr="0013327C">
        <w:rPr>
          <w:rFonts w:asciiTheme="majorHAnsi" w:hAnsiTheme="majorHAnsi"/>
          <w:noProof/>
        </w:rPr>
        <w:t>., 2007)</w:t>
      </w:r>
      <w:r w:rsidR="009A1FEC" w:rsidRPr="0013327C">
        <w:rPr>
          <w:rFonts w:asciiTheme="majorHAnsi" w:hAnsiTheme="majorHAnsi"/>
        </w:rPr>
        <w:fldChar w:fldCharType="end"/>
      </w:r>
      <w:r w:rsidR="00147748" w:rsidRPr="0013327C">
        <w:rPr>
          <w:rFonts w:asciiTheme="majorHAnsi" w:hAnsiTheme="majorHAnsi"/>
        </w:rPr>
        <w:t xml:space="preserve"> and “rational”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"Reynolds", "given" : "Angela", "non-dropping-particle" : "", "parse-names" : false, "suffix" : "" }, { "dropping-particle" : "", "family" : "Leake", "given" : "Devin", "non-dropping-particle" : "", "parse-names" : false, "suffix" : "" }, { "dropping-particle" : "", "family" : "Boese", "given" : "Queta", "non-dropping-particle" : "", "parse-names" : false, "suffix" : "" }, { "dropping-particle" : "", "family" : "Scaringe", "given" : "Stephen", "non-dropping-particle" : "", "parse-names" : false, "suffix" : "" }, { "dropping-particle" : "", "family" : "Marshal", "given" : "William S", "non-dropping-particle" : "", "parse-names" : false, "suffix" : "" }, { "dropping-particle" : "", "family" : "Khvorova", "given" : "Anastasia", "non-dropping-particle" : "", "parse-names" : false, "suffix" : "" } ], "container-title" : "Nature Biotechnology", "id" : "ITEM-1", "issued" : { "date-parts" : [ [ "2004" ] ] }, "page" : "326-330", "title" : "Rational siRNA design for RNA interference", "type" : "article-journal", "volume" : "22" }, "uris" : [ "http://www.mendeley.com/documents/?uuid=448c055d-fe32-47f5-b9ce-c7dc1ea15f83" ] } ], "mendeley" : { "previouslyFormattedCitation" : "(Reynolds et al. 2004)" }, "properties" : { "noteIndex" : 0 }, "schema" : "https://github.com/citation-style-language/schema/raw/master/csl-citation.json" }</w:instrText>
      </w:r>
      <w:r w:rsidR="009A1FEC" w:rsidRPr="0013327C">
        <w:rPr>
          <w:rFonts w:asciiTheme="majorHAnsi" w:hAnsiTheme="majorHAnsi"/>
        </w:rPr>
        <w:fldChar w:fldCharType="separate"/>
      </w:r>
      <w:r w:rsidR="00E5134C" w:rsidRPr="00E5134C">
        <w:rPr>
          <w:rFonts w:asciiTheme="majorHAnsi" w:hAnsiTheme="majorHAnsi"/>
          <w:noProof/>
        </w:rPr>
        <w:t xml:space="preserve">(Reynolds </w:t>
      </w:r>
      <w:r w:rsidR="00466108" w:rsidRPr="00466108">
        <w:rPr>
          <w:rFonts w:asciiTheme="majorHAnsi" w:hAnsiTheme="majorHAnsi"/>
          <w:i/>
          <w:noProof/>
        </w:rPr>
        <w:t>et al</w:t>
      </w:r>
      <w:r w:rsidR="00E5134C" w:rsidRPr="00E5134C">
        <w:rPr>
          <w:rFonts w:asciiTheme="majorHAnsi" w:hAnsiTheme="majorHAnsi"/>
          <w:noProof/>
        </w:rPr>
        <w:t>. 2004)</w:t>
      </w:r>
      <w:r w:rsidR="009A1FEC" w:rsidRPr="0013327C">
        <w:rPr>
          <w:rFonts w:asciiTheme="majorHAnsi" w:hAnsiTheme="majorHAnsi"/>
        </w:rPr>
        <w:fldChar w:fldCharType="end"/>
      </w:r>
      <w:r w:rsidR="00147748" w:rsidRPr="0013327C">
        <w:rPr>
          <w:rFonts w:asciiTheme="majorHAnsi" w:hAnsiTheme="majorHAnsi"/>
        </w:rPr>
        <w:t xml:space="preserve"> efficiency prediction which score siRNAs on which bases occupy which position in the 21mer. The location of the long dsRNA target is highlighted in a final GeneBrowse schematic included in this webpage, shown in Figure 2.6.6.</w:t>
      </w:r>
    </w:p>
    <w:p w:rsidR="00147748" w:rsidRPr="0013327C" w:rsidRDefault="00147748"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731510" cy="2070324"/>
            <wp:effectExtent l="19050" t="0" r="2540" b="0"/>
            <wp:docPr id="5" name="Picture 2"/>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6" cstate="print"/>
                    <a:srcRect/>
                    <a:stretch>
                      <a:fillRect/>
                    </a:stretch>
                  </pic:blipFill>
                  <pic:spPr bwMode="auto">
                    <a:xfrm>
                      <a:off x="0" y="0"/>
                      <a:ext cx="5731510" cy="2070324"/>
                    </a:xfrm>
                    <a:prstGeom prst="rect">
                      <a:avLst/>
                    </a:prstGeom>
                    <a:noFill/>
                    <a:ln w="9525">
                      <a:noFill/>
                      <a:miter lim="800000"/>
                      <a:headEnd/>
                      <a:tailEnd/>
                    </a:ln>
                  </pic:spPr>
                </pic:pic>
              </a:graphicData>
            </a:graphic>
          </wp:inline>
        </w:drawing>
      </w:r>
    </w:p>
    <w:p w:rsidR="00147748" w:rsidRPr="0013327C" w:rsidRDefault="00742DE4" w:rsidP="00AE0264">
      <w:pPr>
        <w:jc w:val="both"/>
        <w:rPr>
          <w:rFonts w:asciiTheme="majorHAnsi" w:hAnsiTheme="majorHAnsi"/>
        </w:rPr>
      </w:pPr>
      <w:proofErr w:type="gramStart"/>
      <w:r w:rsidRPr="0013327C">
        <w:rPr>
          <w:rFonts w:asciiTheme="majorHAnsi" w:hAnsiTheme="majorHAnsi"/>
          <w:b/>
        </w:rPr>
        <w:t>Figure 2.</w:t>
      </w:r>
      <w:r w:rsidR="00A47DBA">
        <w:rPr>
          <w:rFonts w:asciiTheme="majorHAnsi" w:hAnsiTheme="majorHAnsi"/>
          <w:b/>
        </w:rPr>
        <w:t>11</w:t>
      </w:r>
      <w:r w:rsidR="00147748" w:rsidRPr="0013327C">
        <w:rPr>
          <w:rFonts w:asciiTheme="majorHAnsi" w:hAnsiTheme="majorHAnsi"/>
          <w:b/>
        </w:rPr>
        <w:t>.</w:t>
      </w:r>
      <w:proofErr w:type="gramEnd"/>
      <w:r w:rsidR="00147748" w:rsidRPr="0013327C">
        <w:rPr>
          <w:rFonts w:asciiTheme="majorHAnsi" w:hAnsiTheme="majorHAnsi"/>
        </w:rPr>
        <w:t xml:space="preserve"> </w:t>
      </w:r>
      <w:proofErr w:type="gramStart"/>
      <w:r w:rsidR="007B55DE" w:rsidRPr="00703E2C">
        <w:rPr>
          <w:rFonts w:asciiTheme="majorHAnsi" w:hAnsiTheme="majorHAnsi"/>
          <w:b/>
        </w:rPr>
        <w:t>E-RNAi Reagent location in GeneBrowse.</w:t>
      </w:r>
      <w:proofErr w:type="gramEnd"/>
      <w:r w:rsidR="007B55DE" w:rsidRPr="0013327C">
        <w:rPr>
          <w:rFonts w:asciiTheme="majorHAnsi" w:hAnsiTheme="majorHAnsi"/>
        </w:rPr>
        <w:t xml:space="preserve"> </w:t>
      </w:r>
      <w:proofErr w:type="gramStart"/>
      <w:r w:rsidR="00147748" w:rsidRPr="0013327C">
        <w:rPr>
          <w:rFonts w:asciiTheme="majorHAnsi" w:hAnsiTheme="majorHAnsi"/>
        </w:rPr>
        <w:t>GeneBrowse schematic of the length of the long dsRNA shown in parallel with the target mRNA and gene.</w:t>
      </w:r>
      <w:proofErr w:type="gramEnd"/>
    </w:p>
    <w:p w:rsidR="00147748" w:rsidRPr="0013327C" w:rsidRDefault="00147748" w:rsidP="00AE0264">
      <w:pPr>
        <w:pStyle w:val="Heading3"/>
        <w:ind w:left="862"/>
        <w:jc w:val="both"/>
      </w:pPr>
      <w:bookmarkStart w:id="69" w:name="_Toc348423321"/>
      <w:r w:rsidRPr="0013327C">
        <w:t>Synthesis of long dsRNA probes</w:t>
      </w:r>
      <w:bookmarkEnd w:id="69"/>
      <w:r w:rsidRPr="0013327C">
        <w:t xml:space="preserve"> </w:t>
      </w:r>
    </w:p>
    <w:p w:rsidR="00147748" w:rsidRPr="0013327C" w:rsidRDefault="00147748" w:rsidP="00AE0264">
      <w:pPr>
        <w:jc w:val="both"/>
        <w:rPr>
          <w:rFonts w:asciiTheme="majorHAnsi" w:hAnsiTheme="majorHAnsi"/>
        </w:rPr>
      </w:pPr>
      <w:r w:rsidRPr="0013327C">
        <w:rPr>
          <w:rFonts w:asciiTheme="majorHAnsi" w:hAnsiTheme="majorHAnsi"/>
        </w:rPr>
        <w:t xml:space="preserve">The primers designed </w:t>
      </w:r>
      <w:r w:rsidRPr="0013327C">
        <w:rPr>
          <w:rFonts w:asciiTheme="majorHAnsi" w:hAnsiTheme="majorHAnsi"/>
          <w:i/>
        </w:rPr>
        <w:t>in silico</w:t>
      </w:r>
      <w:r w:rsidRPr="0013327C">
        <w:rPr>
          <w:rFonts w:asciiTheme="majorHAnsi" w:hAnsiTheme="majorHAnsi"/>
        </w:rPr>
        <w:t xml:space="preserve"> by the E-RNAi webservice were used in a PCR reaction to make a DNA amplicon with T7 RNA polymerase promoters on the 5’ termini. The PCR was carried out according to the protocol in Chapter 2.6.2. 2µl of the amplicon was loaded onto a 2% agarose gel and run at 100V for 30 minutes. The presence of the amplicon was confirmed. A 5µl </w:t>
      </w:r>
      <w:r w:rsidRPr="0013327C">
        <w:rPr>
          <w:rFonts w:asciiTheme="majorHAnsi" w:hAnsiTheme="majorHAnsi"/>
          <w:i/>
        </w:rPr>
        <w:t xml:space="preserve">in vitro </w:t>
      </w:r>
      <w:r w:rsidRPr="0013327C">
        <w:rPr>
          <w:rFonts w:asciiTheme="majorHAnsi" w:hAnsiTheme="majorHAnsi"/>
        </w:rPr>
        <w:t>transcription reaction was assembled on ice using MEGAScript high-yield transcription kit according to Ambion protocols and given 24 hours to react in 37°C (no thermocycling). The reaction was ethanol-purified according to Ambion protocols and the dry pellet dissolved in 100µl nuclease-free distilled water. 2µl of this was run on a gel alongside its DNA amplicon for size comparison (see Chapter 3.7) and the RNA concentration measured on a Nano-drop ND-1000 (Thermo). Long dsRNA was stored at -20°C.  For KD experiments, dsRNA was dissolved to a working concentration of 50ng.µl</w:t>
      </w:r>
      <w:r w:rsidRPr="0013327C">
        <w:rPr>
          <w:rFonts w:asciiTheme="majorHAnsi" w:hAnsiTheme="majorHAnsi"/>
          <w:vertAlign w:val="superscript"/>
        </w:rPr>
        <w:t>-1</w:t>
      </w:r>
      <w:r w:rsidRPr="0013327C">
        <w:rPr>
          <w:rFonts w:asciiTheme="majorHAnsi" w:hAnsiTheme="majorHAnsi"/>
        </w:rPr>
        <w:t>. Stock concentrations were periodically retested to check breakdown was not occurring in storage.</w:t>
      </w:r>
    </w:p>
    <w:p w:rsidR="00147748" w:rsidRPr="0013327C" w:rsidRDefault="00147748" w:rsidP="00AE0264">
      <w:pPr>
        <w:pStyle w:val="Heading2"/>
        <w:jc w:val="both"/>
      </w:pPr>
      <w:bookmarkStart w:id="70" w:name="_Toc348423322"/>
      <w:r w:rsidRPr="0013327C">
        <w:t>Fly cell protocols</w:t>
      </w:r>
      <w:bookmarkEnd w:id="70"/>
    </w:p>
    <w:p w:rsidR="00147748" w:rsidRPr="0013327C" w:rsidRDefault="00147748" w:rsidP="00AE0264">
      <w:pPr>
        <w:pStyle w:val="Heading3"/>
        <w:ind w:left="862"/>
        <w:jc w:val="both"/>
      </w:pPr>
      <w:bookmarkStart w:id="71" w:name="_Toc348423323"/>
      <w:r w:rsidRPr="0013327C">
        <w:t>Maintaining exponentially growing S2R+ cells</w:t>
      </w:r>
      <w:bookmarkEnd w:id="71"/>
    </w:p>
    <w:p w:rsidR="00147748" w:rsidRPr="0013327C" w:rsidRDefault="00147748" w:rsidP="00AE0264">
      <w:pPr>
        <w:jc w:val="both"/>
        <w:rPr>
          <w:rFonts w:asciiTheme="majorHAnsi" w:hAnsiTheme="majorHAnsi"/>
        </w:rPr>
      </w:pPr>
      <w:r w:rsidRPr="0013327C">
        <w:rPr>
          <w:rFonts w:asciiTheme="majorHAnsi" w:hAnsiTheme="majorHAnsi"/>
        </w:rPr>
        <w:t xml:space="preserve">Cells were grown in 5ml of Schneider’s </w:t>
      </w:r>
      <w:r w:rsidRPr="0013327C">
        <w:rPr>
          <w:rFonts w:asciiTheme="majorHAnsi" w:hAnsiTheme="majorHAnsi"/>
          <w:i/>
        </w:rPr>
        <w:t>Drosophila</w:t>
      </w:r>
      <w:r w:rsidRPr="0013327C">
        <w:rPr>
          <w:rFonts w:asciiTheme="majorHAnsi" w:hAnsiTheme="majorHAnsi"/>
        </w:rPr>
        <w:t xml:space="preserve"> Medium in a T25 flask in a Sanyo MCO-20C </w:t>
      </w:r>
      <w:r w:rsidR="00703E2C" w:rsidRPr="0013327C">
        <w:rPr>
          <w:rFonts w:asciiTheme="majorHAnsi" w:hAnsiTheme="majorHAnsi"/>
        </w:rPr>
        <w:t>incubator</w:t>
      </w:r>
      <w:r w:rsidRPr="0013327C">
        <w:rPr>
          <w:rFonts w:asciiTheme="majorHAnsi" w:hAnsiTheme="majorHAnsi"/>
        </w:rPr>
        <w:t xml:space="preserve"> at 25°C. Cells were maintained at 50-95% confluence (coverage of the growth surface). They were </w:t>
      </w:r>
      <w:r w:rsidR="00703E2C" w:rsidRPr="0013327C">
        <w:rPr>
          <w:rFonts w:asciiTheme="majorHAnsi" w:hAnsiTheme="majorHAnsi"/>
        </w:rPr>
        <w:t>checked</w:t>
      </w:r>
      <w:r w:rsidRPr="0013327C">
        <w:rPr>
          <w:rFonts w:asciiTheme="majorHAnsi" w:hAnsiTheme="majorHAnsi"/>
        </w:rPr>
        <w:t xml:space="preserve"> daily for confluence, upon reaching 90% confluence (2-5 x 10</w:t>
      </w:r>
      <w:r w:rsidRPr="0013327C">
        <w:rPr>
          <w:rFonts w:asciiTheme="majorHAnsi" w:hAnsiTheme="majorHAnsi"/>
          <w:vertAlign w:val="superscript"/>
        </w:rPr>
        <w:t>6</w:t>
      </w:r>
      <w:r w:rsidRPr="0013327C">
        <w:rPr>
          <w:rFonts w:asciiTheme="majorHAnsi" w:hAnsiTheme="majorHAnsi"/>
        </w:rPr>
        <w:t>cells.ml</w:t>
      </w:r>
      <w:r w:rsidRPr="0013327C">
        <w:rPr>
          <w:rFonts w:asciiTheme="majorHAnsi" w:hAnsiTheme="majorHAnsi"/>
          <w:vertAlign w:val="superscript"/>
        </w:rPr>
        <w:t>-1</w:t>
      </w:r>
      <w:r w:rsidRPr="0013327C">
        <w:rPr>
          <w:rFonts w:asciiTheme="majorHAnsi" w:hAnsiTheme="majorHAnsi"/>
        </w:rPr>
        <w:t>), the cells were resuspended in the growth medium and 2.5ml was removed and placed into a fresh T25 flask. The flask was made up to 5ml with fresh medium. This is referred to as “passaging”.</w:t>
      </w:r>
    </w:p>
    <w:p w:rsidR="00147748" w:rsidRPr="0013327C" w:rsidRDefault="00147748" w:rsidP="00AE0264">
      <w:pPr>
        <w:pStyle w:val="Heading3"/>
        <w:ind w:left="862"/>
        <w:jc w:val="both"/>
      </w:pPr>
      <w:bookmarkStart w:id="72" w:name="_Toc348423324"/>
      <w:r w:rsidRPr="0013327C">
        <w:lastRenderedPageBreak/>
        <w:t>Freezing cells for storage</w:t>
      </w:r>
      <w:bookmarkEnd w:id="72"/>
    </w:p>
    <w:p w:rsidR="00147748" w:rsidRPr="0013327C" w:rsidRDefault="00147748" w:rsidP="00AE0264">
      <w:pPr>
        <w:jc w:val="both"/>
        <w:rPr>
          <w:rFonts w:asciiTheme="majorHAnsi" w:hAnsiTheme="majorHAnsi"/>
        </w:rPr>
      </w:pPr>
      <w:r w:rsidRPr="0013327C">
        <w:rPr>
          <w:rFonts w:asciiTheme="majorHAnsi" w:hAnsiTheme="majorHAnsi"/>
        </w:rPr>
        <w:t xml:space="preserve">Cells from a 90% confluent T25 flask at a passage lower than 10 were resuspended and the entire flask contents were transferred to and divided between 2 x T75 flasks each containing 12.5ml fresh medium; 15ml total. The cells were then allowed to reach 90% confluence over the next few days. On the day of near-confluence they were resuspended and a 10µl sample from each flask was mixed 1:1 with </w:t>
      </w:r>
      <w:r w:rsidR="00703E2C">
        <w:rPr>
          <w:rFonts w:asciiTheme="majorHAnsi" w:hAnsiTheme="majorHAnsi"/>
        </w:rPr>
        <w:t>T</w:t>
      </w:r>
      <w:r w:rsidR="00703E2C" w:rsidRPr="0013327C">
        <w:rPr>
          <w:rFonts w:asciiTheme="majorHAnsi" w:hAnsiTheme="majorHAnsi"/>
        </w:rPr>
        <w:t>rypan</w:t>
      </w:r>
      <w:r w:rsidRPr="0013327C">
        <w:rPr>
          <w:rFonts w:asciiTheme="majorHAnsi" w:hAnsiTheme="majorHAnsi"/>
        </w:rPr>
        <w:t xml:space="preserve"> before being counted on a “Countess” automated cell-counter (Thermo). Cell concentration was given per millilitre and multiplied by 15. The suspended cells were centrifuged at 1000 RCF in 15ml Falcon-tubes (Fisher) and the supernatant removed. The cells were resuspended in ultra-</w:t>
      </w:r>
      <w:r w:rsidR="00703E2C" w:rsidRPr="0013327C">
        <w:rPr>
          <w:rFonts w:asciiTheme="majorHAnsi" w:hAnsiTheme="majorHAnsi"/>
        </w:rPr>
        <w:t>filtered Freezing</w:t>
      </w:r>
      <w:r w:rsidRPr="0013327C">
        <w:rPr>
          <w:rFonts w:asciiTheme="majorHAnsi" w:hAnsiTheme="majorHAnsi"/>
        </w:rPr>
        <w:t xml:space="preserve"> media (Schneider’s </w:t>
      </w:r>
      <w:r w:rsidRPr="0013327C">
        <w:rPr>
          <w:rFonts w:asciiTheme="majorHAnsi" w:hAnsiTheme="majorHAnsi"/>
          <w:i/>
        </w:rPr>
        <w:t>Drosophila</w:t>
      </w:r>
      <w:r w:rsidRPr="0013327C">
        <w:rPr>
          <w:rFonts w:asciiTheme="majorHAnsi" w:hAnsiTheme="majorHAnsi"/>
        </w:rPr>
        <w:t xml:space="preserve"> media containing 20% foetal calf serum and 10% DMSO) at 10</w:t>
      </w:r>
      <w:r w:rsidRPr="0013327C">
        <w:rPr>
          <w:rFonts w:asciiTheme="majorHAnsi" w:hAnsiTheme="majorHAnsi"/>
          <w:vertAlign w:val="superscript"/>
        </w:rPr>
        <w:t>7</w:t>
      </w:r>
      <w:r w:rsidRPr="0013327C">
        <w:rPr>
          <w:rFonts w:asciiTheme="majorHAnsi" w:hAnsiTheme="majorHAnsi"/>
        </w:rPr>
        <w:t xml:space="preserve"> cells.ml</w:t>
      </w:r>
      <w:r w:rsidRPr="0013327C">
        <w:rPr>
          <w:rFonts w:asciiTheme="majorHAnsi" w:hAnsiTheme="majorHAnsi"/>
          <w:vertAlign w:val="superscript"/>
        </w:rPr>
        <w:t>-1</w:t>
      </w:r>
      <w:r w:rsidRPr="0013327C">
        <w:rPr>
          <w:rFonts w:asciiTheme="majorHAnsi" w:hAnsiTheme="majorHAnsi"/>
        </w:rPr>
        <w:t>. The cells were transferred 1ml each to cryovials (Nunc) and placed in a “Mr. Frosty” Cryopreservation vessel (Nalgene) containing fresh isopropanol. The Mr. Frosty was placed in -80°C overnight. The following morning the tubes were removed from the Mr. Frosty and transferred to liquid nitrogen storage.</w:t>
      </w:r>
    </w:p>
    <w:p w:rsidR="00147748" w:rsidRPr="0013327C" w:rsidRDefault="00147748" w:rsidP="00AE0264">
      <w:pPr>
        <w:pStyle w:val="Heading3"/>
        <w:ind w:left="862"/>
        <w:jc w:val="both"/>
      </w:pPr>
      <w:bookmarkStart w:id="73" w:name="_Toc348423325"/>
      <w:r w:rsidRPr="0013327C">
        <w:t>Thawing frozen cells</w:t>
      </w:r>
      <w:bookmarkEnd w:id="73"/>
    </w:p>
    <w:p w:rsidR="00147748" w:rsidRPr="0013327C" w:rsidRDefault="00147748" w:rsidP="00AE0264">
      <w:pPr>
        <w:jc w:val="both"/>
        <w:rPr>
          <w:rFonts w:asciiTheme="majorHAnsi" w:hAnsiTheme="majorHAnsi"/>
        </w:rPr>
      </w:pPr>
      <w:r w:rsidRPr="0013327C">
        <w:rPr>
          <w:rFonts w:asciiTheme="majorHAnsi" w:hAnsiTheme="majorHAnsi"/>
        </w:rPr>
        <w:t xml:space="preserve">On the morning of thawing 4ml of Schneider’s </w:t>
      </w:r>
      <w:r w:rsidRPr="0013327C">
        <w:rPr>
          <w:rFonts w:asciiTheme="majorHAnsi" w:hAnsiTheme="majorHAnsi"/>
          <w:i/>
        </w:rPr>
        <w:t>Drosophila</w:t>
      </w:r>
      <w:r w:rsidRPr="0013327C">
        <w:rPr>
          <w:rFonts w:asciiTheme="majorHAnsi" w:hAnsiTheme="majorHAnsi"/>
        </w:rPr>
        <w:t xml:space="preserve"> medium containing 20% foetal calf serum was warmed in a 25°C water bath then added to one well of a 6-well plate. A cryovial of frozen cells from nitrogen storage were placed in a 25°C water bath for 2 minutes then placed in the medium. 6 hours later the media was removed to another well, carefully leaving adherent cells on the growth surface and 2ml 10% serum-containing medium was added. The following day the cells were suspended and divided between 2 wells. The cells were passaged as normal from here. </w:t>
      </w:r>
      <w:proofErr w:type="gramStart"/>
      <w:r w:rsidRPr="0013327C">
        <w:rPr>
          <w:rFonts w:asciiTheme="majorHAnsi" w:hAnsiTheme="majorHAnsi"/>
        </w:rPr>
        <w:t>Cells which looked unhealthy or under confluent were transferred to 1 well of a 12-well microtitre plate before normal passaging continued.</w:t>
      </w:r>
      <w:proofErr w:type="gramEnd"/>
    </w:p>
    <w:p w:rsidR="00147748" w:rsidRPr="0013327C" w:rsidRDefault="00147748" w:rsidP="00AE0264">
      <w:pPr>
        <w:pStyle w:val="Heading3"/>
        <w:ind w:left="862"/>
        <w:jc w:val="both"/>
      </w:pPr>
      <w:bookmarkStart w:id="74" w:name="_Toc348423326"/>
      <w:r w:rsidRPr="0013327C">
        <w:t>Transfection of reporter plasmids</w:t>
      </w:r>
      <w:bookmarkEnd w:id="74"/>
    </w:p>
    <w:p w:rsidR="00147748" w:rsidRPr="0013327C" w:rsidRDefault="00147748" w:rsidP="00AE0264">
      <w:pPr>
        <w:jc w:val="both"/>
        <w:rPr>
          <w:rFonts w:asciiTheme="majorHAnsi" w:hAnsiTheme="majorHAnsi"/>
        </w:rPr>
      </w:pPr>
      <w:r w:rsidRPr="0013327C">
        <w:rPr>
          <w:rFonts w:asciiTheme="majorHAnsi" w:hAnsiTheme="majorHAnsi"/>
        </w:rPr>
        <w:t xml:space="preserve">A detailed account of </w:t>
      </w:r>
      <w:r w:rsidR="00650017">
        <w:rPr>
          <w:rFonts w:asciiTheme="majorHAnsi" w:hAnsiTheme="majorHAnsi"/>
        </w:rPr>
        <w:t xml:space="preserve">the optimisation of </w:t>
      </w:r>
      <w:r w:rsidRPr="0013327C">
        <w:rPr>
          <w:rFonts w:asciiTheme="majorHAnsi" w:hAnsiTheme="majorHAnsi"/>
        </w:rPr>
        <w:t>plasmid DNA transfection is provided in Chapter 3.6.</w:t>
      </w:r>
    </w:p>
    <w:p w:rsidR="00147748" w:rsidRPr="0013327C" w:rsidRDefault="00147748" w:rsidP="00AE0264">
      <w:pPr>
        <w:pStyle w:val="Heading3"/>
        <w:ind w:left="862"/>
        <w:jc w:val="both"/>
      </w:pPr>
      <w:bookmarkStart w:id="75" w:name="_Toc348423327"/>
      <w:r w:rsidRPr="0013327C">
        <w:t>Expression of fluorescent fusion proteins in 6-well plates for microscopic imaging on fixed microscope slides</w:t>
      </w:r>
      <w:bookmarkEnd w:id="75"/>
    </w:p>
    <w:p w:rsidR="00147748" w:rsidRPr="0013327C" w:rsidRDefault="00147748" w:rsidP="00AE0264">
      <w:pPr>
        <w:jc w:val="both"/>
        <w:rPr>
          <w:rFonts w:asciiTheme="majorHAnsi" w:hAnsiTheme="majorHAnsi"/>
        </w:rPr>
      </w:pPr>
      <w:r w:rsidRPr="0013327C">
        <w:rPr>
          <w:rFonts w:asciiTheme="majorHAnsi" w:hAnsiTheme="majorHAnsi"/>
        </w:rPr>
        <w:t xml:space="preserve">For all experiments in </w:t>
      </w:r>
      <w:r w:rsidR="00395924">
        <w:rPr>
          <w:rFonts w:asciiTheme="majorHAnsi" w:hAnsiTheme="majorHAnsi"/>
        </w:rPr>
        <w:t xml:space="preserve">6-well </w:t>
      </w:r>
      <w:r w:rsidRPr="0013327C">
        <w:rPr>
          <w:rFonts w:asciiTheme="majorHAnsi" w:hAnsiTheme="majorHAnsi"/>
        </w:rPr>
        <w:t>microtitre plates reagent volumes and concentrations were scaled up from those used in the 384-well microtitre plates in the SRSF (see Chapter</w:t>
      </w:r>
      <w:r w:rsidR="00395924">
        <w:rPr>
          <w:rFonts w:asciiTheme="majorHAnsi" w:hAnsiTheme="majorHAnsi"/>
        </w:rPr>
        <w:t>s</w:t>
      </w:r>
      <w:r w:rsidRPr="0013327C">
        <w:rPr>
          <w:rFonts w:asciiTheme="majorHAnsi" w:hAnsiTheme="majorHAnsi"/>
        </w:rPr>
        <w:t xml:space="preserve"> </w:t>
      </w:r>
      <w:r w:rsidR="00395924">
        <w:rPr>
          <w:rFonts w:asciiTheme="majorHAnsi" w:hAnsiTheme="majorHAnsi"/>
        </w:rPr>
        <w:t>3.10 to 3.12</w:t>
      </w:r>
      <w:r w:rsidRPr="0013327C">
        <w:rPr>
          <w:rFonts w:asciiTheme="majorHAnsi" w:hAnsiTheme="majorHAnsi"/>
        </w:rPr>
        <w:t>)</w:t>
      </w:r>
      <w:r w:rsidR="00395924">
        <w:rPr>
          <w:rFonts w:asciiTheme="majorHAnsi" w:hAnsiTheme="majorHAnsi"/>
        </w:rPr>
        <w:t>. The 6-well plate protocol is as follows</w:t>
      </w:r>
      <w:r w:rsidRPr="0013327C">
        <w:rPr>
          <w:rFonts w:asciiTheme="majorHAnsi" w:hAnsiTheme="majorHAnsi"/>
        </w:rPr>
        <w:t>:</w:t>
      </w:r>
    </w:p>
    <w:p w:rsidR="00147748" w:rsidRPr="0013327C" w:rsidRDefault="00147748" w:rsidP="00AE0264">
      <w:pPr>
        <w:jc w:val="both"/>
        <w:rPr>
          <w:rFonts w:asciiTheme="majorHAnsi" w:hAnsiTheme="majorHAnsi"/>
        </w:rPr>
      </w:pPr>
      <w:r w:rsidRPr="0013327C">
        <w:rPr>
          <w:rFonts w:asciiTheme="majorHAnsi" w:hAnsiTheme="majorHAnsi"/>
        </w:rPr>
        <w:lastRenderedPageBreak/>
        <w:t xml:space="preserve">S2R+ cells were transfected with the desired plasmid according to Effectene protocols. Transfection medium was removed and cells were resuspended in SFM. 100µl of </w:t>
      </w:r>
      <w:r w:rsidR="00257367">
        <w:rPr>
          <w:rFonts w:asciiTheme="majorHAnsi" w:hAnsiTheme="majorHAnsi"/>
        </w:rPr>
        <w:t>serum-free mediu (</w:t>
      </w:r>
      <w:r w:rsidRPr="0013327C">
        <w:rPr>
          <w:rFonts w:asciiTheme="majorHAnsi" w:hAnsiTheme="majorHAnsi"/>
        </w:rPr>
        <w:t>SFM</w:t>
      </w:r>
      <w:r w:rsidR="00257367">
        <w:rPr>
          <w:rFonts w:asciiTheme="majorHAnsi" w:hAnsiTheme="majorHAnsi"/>
        </w:rPr>
        <w:t>)</w:t>
      </w:r>
      <w:r w:rsidRPr="0013327C">
        <w:rPr>
          <w:rFonts w:asciiTheme="majorHAnsi" w:hAnsiTheme="majorHAnsi"/>
        </w:rPr>
        <w:t xml:space="preserve"> containing 3 x 10</w:t>
      </w:r>
      <w:r w:rsidRPr="0013327C">
        <w:rPr>
          <w:rFonts w:asciiTheme="majorHAnsi" w:hAnsiTheme="majorHAnsi"/>
          <w:vertAlign w:val="superscript"/>
        </w:rPr>
        <w:t>5</w:t>
      </w:r>
      <w:r w:rsidRPr="0013327C">
        <w:rPr>
          <w:rFonts w:asciiTheme="majorHAnsi" w:hAnsiTheme="majorHAnsi"/>
        </w:rPr>
        <w:t xml:space="preserve"> cells were carefully placed onto a sterile </w:t>
      </w:r>
      <w:r w:rsidR="00703E2C" w:rsidRPr="0013327C">
        <w:rPr>
          <w:rFonts w:asciiTheme="majorHAnsi" w:hAnsiTheme="majorHAnsi"/>
        </w:rPr>
        <w:t>coverslip</w:t>
      </w:r>
      <w:r w:rsidRPr="0013327C">
        <w:rPr>
          <w:rFonts w:asciiTheme="majorHAnsi" w:hAnsiTheme="majorHAnsi"/>
        </w:rPr>
        <w:t xml:space="preserve"> in a well of a 6-well plate. For knockdowns 2µg dsRNA dissolved in 25µl nuclease-free water was added to the cells and left for one hour. Experiments not requiring knockdowns added 25µl </w:t>
      </w:r>
      <w:r w:rsidR="00CD1EBB">
        <w:rPr>
          <w:rFonts w:asciiTheme="majorHAnsi" w:hAnsiTheme="majorHAnsi"/>
        </w:rPr>
        <w:t>dH</w:t>
      </w:r>
      <w:r w:rsidR="00CD1EBB">
        <w:rPr>
          <w:rFonts w:asciiTheme="majorHAnsi" w:hAnsiTheme="majorHAnsi"/>
          <w:vertAlign w:val="subscript"/>
        </w:rPr>
        <w:t>2</w:t>
      </w:r>
      <w:r w:rsidR="00CD1EBB">
        <w:rPr>
          <w:rFonts w:asciiTheme="majorHAnsi" w:hAnsiTheme="majorHAnsi"/>
        </w:rPr>
        <w:t>O</w:t>
      </w:r>
      <w:r w:rsidRPr="0013327C">
        <w:rPr>
          <w:rFonts w:asciiTheme="majorHAnsi" w:hAnsiTheme="majorHAnsi"/>
        </w:rPr>
        <w:t xml:space="preserve">. 125µl of 20% serum-containing medium was added </w:t>
      </w:r>
      <w:r w:rsidR="00703E2C" w:rsidRPr="0013327C">
        <w:rPr>
          <w:rFonts w:asciiTheme="majorHAnsi" w:hAnsiTheme="majorHAnsi"/>
        </w:rPr>
        <w:t>drop</w:t>
      </w:r>
      <w:r w:rsidR="00703E2C">
        <w:rPr>
          <w:rFonts w:asciiTheme="majorHAnsi" w:hAnsiTheme="majorHAnsi"/>
        </w:rPr>
        <w:t>-</w:t>
      </w:r>
      <w:r w:rsidR="00703E2C" w:rsidRPr="0013327C">
        <w:rPr>
          <w:rFonts w:asciiTheme="majorHAnsi" w:hAnsiTheme="majorHAnsi"/>
        </w:rPr>
        <w:t>wise</w:t>
      </w:r>
      <w:r w:rsidRPr="0013327C">
        <w:rPr>
          <w:rFonts w:asciiTheme="majorHAnsi" w:hAnsiTheme="majorHAnsi"/>
        </w:rPr>
        <w:t>, evenly over the cells. On the day of induction 50µl 10% serum-containing medium containing 600µM CuSO</w:t>
      </w:r>
      <w:r w:rsidRPr="0013327C">
        <w:rPr>
          <w:rFonts w:asciiTheme="majorHAnsi" w:hAnsiTheme="majorHAnsi"/>
          <w:vertAlign w:val="subscript"/>
        </w:rPr>
        <w:t>4</w:t>
      </w:r>
      <w:r w:rsidRPr="0013327C">
        <w:rPr>
          <w:rFonts w:asciiTheme="majorHAnsi" w:hAnsiTheme="majorHAnsi"/>
        </w:rPr>
        <w:t xml:space="preserve"> was added evenly over the cells and left for 24 hours. On the day of imaging medium was removed and cells were gently washed with 1X PBS three times. Cells were fixed with 3.6% formaldehyde in 1XPBS for 10 minutes. The fixing solution was removed and cells were washed again 3 times in 1X PBS. Cells were then treated with 0.1M NH</w:t>
      </w:r>
      <w:r w:rsidRPr="0013327C">
        <w:rPr>
          <w:rFonts w:asciiTheme="majorHAnsi" w:hAnsiTheme="majorHAnsi"/>
          <w:vertAlign w:val="subscript"/>
        </w:rPr>
        <w:t>4</w:t>
      </w:r>
      <w:r w:rsidRPr="0013327C">
        <w:rPr>
          <w:rFonts w:asciiTheme="majorHAnsi" w:hAnsiTheme="majorHAnsi"/>
        </w:rPr>
        <w:t xml:space="preserve">Cl for 10 minutes to quench autofluorescent signals from the formaldehyde. Cells were washed again 3 times in 1X PBS. Cells were then mounted onto slides using Fluoromount mounting medium (Sigma) according to Fluoromount protocols. </w:t>
      </w:r>
      <w:r w:rsidR="00703E2C" w:rsidRPr="0013327C">
        <w:rPr>
          <w:rFonts w:asciiTheme="majorHAnsi" w:hAnsiTheme="majorHAnsi"/>
        </w:rPr>
        <w:t xml:space="preserve">Slides were allowed </w:t>
      </w:r>
      <w:r w:rsidR="00703E2C">
        <w:rPr>
          <w:rFonts w:asciiTheme="majorHAnsi" w:hAnsiTheme="majorHAnsi"/>
        </w:rPr>
        <w:t xml:space="preserve">to </w:t>
      </w:r>
      <w:r w:rsidR="00703E2C" w:rsidRPr="0013327C">
        <w:rPr>
          <w:rFonts w:asciiTheme="majorHAnsi" w:hAnsiTheme="majorHAnsi"/>
        </w:rPr>
        <w:t>set for one hour before imaging.</w:t>
      </w:r>
    </w:p>
    <w:p w:rsidR="00147748" w:rsidRPr="0013327C" w:rsidRDefault="00147748" w:rsidP="00AE0264">
      <w:pPr>
        <w:pStyle w:val="Heading3"/>
        <w:ind w:left="862"/>
        <w:jc w:val="both"/>
      </w:pPr>
      <w:bookmarkStart w:id="76" w:name="_Toc348423328"/>
      <w:r w:rsidRPr="0013327C">
        <w:t>Expression of fluorescent fusion proteins in Ibidi 8-well slides for microscopic imaging in live cells with MitoTracker</w:t>
      </w:r>
      <w:bookmarkEnd w:id="76"/>
    </w:p>
    <w:p w:rsidR="00147748" w:rsidRPr="0013327C" w:rsidRDefault="00147748" w:rsidP="00AE0264">
      <w:pPr>
        <w:jc w:val="both"/>
        <w:rPr>
          <w:rFonts w:asciiTheme="majorHAnsi" w:hAnsiTheme="majorHAnsi"/>
        </w:rPr>
      </w:pPr>
      <w:r w:rsidRPr="0013327C">
        <w:rPr>
          <w:rFonts w:asciiTheme="majorHAnsi" w:hAnsiTheme="majorHAnsi"/>
        </w:rPr>
        <w:t>S2R+ cells were transfected with the desired plasmid according to Effectene protocols. Transfection medium was removed and cells were resuspended in SFM. 100µl of SFM containing 1 x 10</w:t>
      </w:r>
      <w:r w:rsidRPr="0013327C">
        <w:rPr>
          <w:rFonts w:asciiTheme="majorHAnsi" w:hAnsiTheme="majorHAnsi"/>
          <w:vertAlign w:val="superscript"/>
        </w:rPr>
        <w:t>5</w:t>
      </w:r>
      <w:r w:rsidRPr="0013327C">
        <w:rPr>
          <w:rFonts w:asciiTheme="majorHAnsi" w:hAnsiTheme="majorHAnsi"/>
        </w:rPr>
        <w:t xml:space="preserve"> cells were carefully placed into one well of an 8-well microscope slide (Ibidi). For knockdowns 2µg dsRNA dissolved in 25µl nuclease-free water was added to the cells and left for one hour. Experiments not requiring knockdowns added 25µl SFM. 125µl of 20% serum-containing medium was added </w:t>
      </w:r>
      <w:r w:rsidR="00703E2C" w:rsidRPr="0013327C">
        <w:rPr>
          <w:rFonts w:asciiTheme="majorHAnsi" w:hAnsiTheme="majorHAnsi"/>
        </w:rPr>
        <w:t>drop-wise</w:t>
      </w:r>
      <w:r w:rsidRPr="0013327C">
        <w:rPr>
          <w:rFonts w:asciiTheme="majorHAnsi" w:hAnsiTheme="majorHAnsi"/>
        </w:rPr>
        <w:t>, evenly over the cells. On the day of induction 50µl 10% serum-containing medium containing 600µM CuSO</w:t>
      </w:r>
      <w:r w:rsidRPr="0013327C">
        <w:rPr>
          <w:rFonts w:asciiTheme="majorHAnsi" w:hAnsiTheme="majorHAnsi"/>
          <w:vertAlign w:val="subscript"/>
        </w:rPr>
        <w:t>4</w:t>
      </w:r>
      <w:r w:rsidRPr="0013327C">
        <w:rPr>
          <w:rFonts w:asciiTheme="majorHAnsi" w:hAnsiTheme="majorHAnsi"/>
        </w:rPr>
        <w:t xml:space="preserve"> was added evenly over the cells and left for 24 hours. On the day of imaging medium was removed and cells were gently washed with SFM three times. Cells were immersed in SFM containing 25nM MitoTracker Deep Red M22426 and left for one hour. The MitoTracker-SFM was removed and Cells were washed 3 times in 10% serum-containing medium before being imaged live.</w:t>
      </w:r>
    </w:p>
    <w:p w:rsidR="00147748" w:rsidRPr="0013327C" w:rsidRDefault="00147748" w:rsidP="00AE0264">
      <w:pPr>
        <w:jc w:val="both"/>
        <w:rPr>
          <w:rFonts w:asciiTheme="majorHAnsi" w:hAnsiTheme="majorHAnsi"/>
        </w:rPr>
      </w:pPr>
    </w:p>
    <w:p w:rsidR="00147748" w:rsidRPr="0013327C" w:rsidRDefault="00147748" w:rsidP="00AE0264">
      <w:pPr>
        <w:pStyle w:val="Heading3"/>
        <w:ind w:left="862"/>
        <w:jc w:val="both"/>
      </w:pPr>
      <w:bookmarkStart w:id="77" w:name="_Toc348423329"/>
      <w:r w:rsidRPr="0013327C">
        <w:lastRenderedPageBreak/>
        <w:t>Protocol for seeding S2R+ cells into 384-well microtitre plates</w:t>
      </w:r>
      <w:bookmarkEnd w:id="77"/>
    </w:p>
    <w:p w:rsidR="00147748" w:rsidRPr="0013327C" w:rsidRDefault="00147748" w:rsidP="00AE0264">
      <w:pPr>
        <w:jc w:val="both"/>
        <w:rPr>
          <w:rFonts w:asciiTheme="majorHAnsi" w:hAnsiTheme="majorHAnsi"/>
        </w:rPr>
      </w:pPr>
      <w:r w:rsidRPr="0013327C">
        <w:rPr>
          <w:rFonts w:asciiTheme="majorHAnsi" w:hAnsiTheme="majorHAnsi"/>
          <w:noProof/>
          <w:lang w:eastAsia="en-GB"/>
        </w:rPr>
        <w:drawing>
          <wp:inline distT="0" distB="0" distL="0" distR="0">
            <wp:extent cx="5731510" cy="3191520"/>
            <wp:effectExtent l="0" t="0" r="0" b="0"/>
            <wp:docPr id="7"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28653" cy="4971661"/>
                      <a:chOff x="107504" y="620688"/>
                      <a:chExt cx="8928653" cy="4971661"/>
                    </a:xfrm>
                  </a:grpSpPr>
                  <a:grpSp>
                    <a:nvGrpSpPr>
                      <a:cNvPr id="41" name="Group 40"/>
                      <a:cNvGrpSpPr/>
                    </a:nvGrpSpPr>
                    <a:grpSpPr>
                      <a:xfrm>
                        <a:off x="107504" y="620688"/>
                        <a:ext cx="8928653" cy="4971661"/>
                        <a:chOff x="107504" y="620688"/>
                        <a:chExt cx="8928653" cy="4971661"/>
                      </a:xfrm>
                    </a:grpSpPr>
                    <a:pic>
                      <a:nvPicPr>
                        <a:cNvPr id="4" name="table"/>
                        <a:cNvPicPr>
                          <a:picLocks noChangeAspect="1"/>
                        </a:cNvPicPr>
                      </a:nvPicPr>
                      <a:blipFill>
                        <a:blip r:embed="rId27" cstate="print"/>
                        <a:stretch>
                          <a:fillRect/>
                        </a:stretch>
                      </a:blipFill>
                      <a:spPr>
                        <a:xfrm>
                          <a:off x="1043608" y="1196752"/>
                          <a:ext cx="7992549" cy="4395597"/>
                        </a:xfrm>
                        <a:prstGeom prst="rect">
                          <a:avLst/>
                        </a:prstGeom>
                      </a:spPr>
                    </a:pic>
                    <a:grpSp>
                      <a:nvGrpSpPr>
                        <a:cNvPr id="5" name="Group 4"/>
                        <a:cNvGrpSpPr/>
                      </a:nvGrpSpPr>
                      <a:grpSpPr>
                        <a:xfrm>
                          <a:off x="179512" y="1447220"/>
                          <a:ext cx="8424936" cy="3960440"/>
                          <a:chOff x="143336" y="1268760"/>
                          <a:chExt cx="8424936" cy="3960440"/>
                        </a:xfrm>
                      </a:grpSpPr>
                      <a:grpSp>
                        <a:nvGrpSpPr>
                          <a:cNvPr id="16" name="Group 5"/>
                          <a:cNvGrpSpPr/>
                        </a:nvGrpSpPr>
                        <a:grpSpPr>
                          <a:xfrm>
                            <a:off x="287352" y="1340768"/>
                            <a:ext cx="8280920" cy="3744416"/>
                            <a:chOff x="287352" y="1196752"/>
                            <a:chExt cx="8280920" cy="3744416"/>
                          </a:xfrm>
                        </a:grpSpPr>
                        <a:sp>
                          <a:nvSpPr>
                            <a:cNvPr id="8" name="Isosceles Triangle 7"/>
                            <a:cNvSpPr/>
                          </a:nvSpPr>
                          <a:spPr>
                            <a:xfrm rot="5400000">
                              <a:off x="287352" y="1196752"/>
                              <a:ext cx="288032" cy="288032"/>
                            </a:xfrm>
                            <a:prstGeom prst="triangl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Isosceles Triangle 8"/>
                            <a:cNvSpPr/>
                          </a:nvSpPr>
                          <a:spPr>
                            <a:xfrm rot="5400000">
                              <a:off x="287352" y="1700808"/>
                              <a:ext cx="288032" cy="288032"/>
                            </a:xfrm>
                            <a:prstGeom prst="triangl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Isosceles Triangle 9"/>
                            <a:cNvSpPr/>
                          </a:nvSpPr>
                          <a:spPr>
                            <a:xfrm rot="5400000">
                              <a:off x="287352" y="2204864"/>
                              <a:ext cx="288032" cy="288032"/>
                            </a:xfrm>
                            <a:prstGeom prst="triangl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Isosceles Triangle 10"/>
                            <a:cNvSpPr/>
                          </a:nvSpPr>
                          <a:spPr>
                            <a:xfrm rot="5400000">
                              <a:off x="287352" y="2708920"/>
                              <a:ext cx="288032" cy="288032"/>
                            </a:xfrm>
                            <a:prstGeom prst="triangl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Isosceles Triangle 11"/>
                            <a:cNvSpPr/>
                          </a:nvSpPr>
                          <a:spPr>
                            <a:xfrm rot="5400000">
                              <a:off x="287352" y="3140968"/>
                              <a:ext cx="288032" cy="288032"/>
                            </a:xfrm>
                            <a:prstGeom prst="triangl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Isosceles Triangle 12"/>
                            <a:cNvSpPr/>
                          </a:nvSpPr>
                          <a:spPr>
                            <a:xfrm rot="5400000">
                              <a:off x="287352" y="3645024"/>
                              <a:ext cx="288032" cy="288032"/>
                            </a:xfrm>
                            <a:prstGeom prst="triangl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Isosceles Triangle 13"/>
                            <a:cNvSpPr/>
                          </a:nvSpPr>
                          <a:spPr>
                            <a:xfrm rot="5400000">
                              <a:off x="287352" y="4149080"/>
                              <a:ext cx="288032" cy="288032"/>
                            </a:xfrm>
                            <a:prstGeom prst="triangl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 name="Straight Connector 14"/>
                            <a:cNvCxnSpPr/>
                          </a:nvCxnSpPr>
                          <a:spPr>
                            <a:xfrm>
                              <a:off x="8568272" y="1306324"/>
                              <a:ext cx="0" cy="288032"/>
                            </a:xfrm>
                            <a:prstGeom prst="line">
                              <a:avLst/>
                            </a:prstGeom>
                            <a:ln w="44450">
                              <a:solidFill>
                                <a:srgbClr val="C00000"/>
                              </a:solidFill>
                            </a:ln>
                          </a:spPr>
                          <a:style>
                            <a:lnRef idx="1">
                              <a:schemeClr val="accent1"/>
                            </a:lnRef>
                            <a:fillRef idx="0">
                              <a:schemeClr val="accent1"/>
                            </a:fillRef>
                            <a:effectRef idx="0">
                              <a:schemeClr val="accent1"/>
                            </a:effectRef>
                            <a:fontRef idx="minor">
                              <a:schemeClr val="tx1"/>
                            </a:fontRef>
                          </a:style>
                        </a:cxnSp>
                        <a:sp>
                          <a:nvSpPr>
                            <a:cNvPr id="2" name="Isosceles Triangle 15"/>
                            <a:cNvSpPr/>
                          </a:nvSpPr>
                          <a:spPr>
                            <a:xfrm rot="5400000">
                              <a:off x="287352" y="4653136"/>
                              <a:ext cx="288032" cy="288032"/>
                            </a:xfrm>
                            <a:prstGeom prst="triangl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 name="Straight Arrow Connector 16"/>
                            <a:cNvCxnSpPr/>
                          </a:nvCxnSpPr>
                          <a:spPr>
                            <a:xfrm>
                              <a:off x="1007432" y="1306324"/>
                              <a:ext cx="7560840" cy="0"/>
                            </a:xfrm>
                            <a:prstGeom prst="straightConnector1">
                              <a:avLst/>
                            </a:prstGeom>
                            <a:ln w="50800">
                              <a:solidFill>
                                <a:srgbClr val="00B050"/>
                              </a:solidFill>
                              <a:tailEnd type="arrow"/>
                            </a:ln>
                          </a:spPr>
                          <a:style>
                            <a:lnRef idx="1">
                              <a:schemeClr val="accent1"/>
                            </a:lnRef>
                            <a:fillRef idx="0">
                              <a:schemeClr val="accent1"/>
                            </a:fillRef>
                            <a:effectRef idx="0">
                              <a:schemeClr val="accent1"/>
                            </a:effectRef>
                            <a:fontRef idx="minor">
                              <a:schemeClr val="tx1"/>
                            </a:fontRef>
                          </a:style>
                        </a:cxnSp>
                        <a:cxnSp>
                          <a:nvCxnSpPr>
                            <a:cNvPr id="18" name="Straight Arrow Connector 17"/>
                            <a:cNvCxnSpPr/>
                          </a:nvCxnSpPr>
                          <a:spPr>
                            <a:xfrm flipH="1">
                              <a:off x="1151448" y="1594356"/>
                              <a:ext cx="7416824" cy="0"/>
                            </a:xfrm>
                            <a:prstGeom prst="straightConnector1">
                              <a:avLst/>
                            </a:prstGeom>
                            <a:ln w="50800">
                              <a:solidFill>
                                <a:srgbClr val="C00000"/>
                              </a:solidFill>
                              <a:tailEnd type="arrow"/>
                            </a:ln>
                          </a:spPr>
                          <a:style>
                            <a:lnRef idx="1">
                              <a:schemeClr val="accent1"/>
                            </a:lnRef>
                            <a:fillRef idx="0">
                              <a:schemeClr val="accent1"/>
                            </a:fillRef>
                            <a:effectRef idx="0">
                              <a:schemeClr val="accent1"/>
                            </a:effectRef>
                            <a:fontRef idx="minor">
                              <a:schemeClr val="tx1"/>
                            </a:fontRef>
                          </a:style>
                        </a:cxnSp>
                      </a:grpSp>
                      <a:sp>
                        <a:nvSpPr>
                          <a:cNvPr id="7" name="Rounded Rectangle 6"/>
                          <a:cNvSpPr/>
                        </a:nvSpPr>
                        <a:spPr>
                          <a:xfrm>
                            <a:off x="143336" y="1268760"/>
                            <a:ext cx="216024" cy="3960440"/>
                          </a:xfrm>
                          <a:prstGeom prst="roundRect">
                            <a:avLst/>
                          </a:prstGeom>
                          <a:solidFill>
                            <a:schemeClr val="tx1">
                              <a:lumMod val="85000"/>
                              <a:lumOff val="15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19" name="TextBox 18"/>
                        <a:cNvSpPr txBox="1"/>
                      </a:nvSpPr>
                      <a:spPr>
                        <a:xfrm>
                          <a:off x="1835696" y="836712"/>
                          <a:ext cx="388843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384-well </a:t>
                            </a:r>
                            <a:r>
                              <a:rPr lang="en-GB" dirty="0" err="1" smtClean="0"/>
                              <a:t>microtitre</a:t>
                            </a:r>
                            <a:r>
                              <a:rPr lang="en-GB" dirty="0" smtClean="0"/>
                              <a:t> plate</a:t>
                            </a:r>
                            <a:endParaRPr lang="en-GB" dirty="0"/>
                          </a:p>
                        </a:txBody>
                        <a:useSpRect/>
                      </a:txSp>
                    </a:sp>
                    <a:sp>
                      <a:nvSpPr>
                        <a:cNvPr id="20" name="TextBox 19"/>
                        <a:cNvSpPr txBox="1"/>
                      </a:nvSpPr>
                      <a:spPr>
                        <a:xfrm>
                          <a:off x="107504" y="620688"/>
                          <a:ext cx="108012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8-Nozzle </a:t>
                            </a:r>
                            <a:r>
                              <a:rPr lang="en-GB" dirty="0" smtClean="0"/>
                              <a:t>A</a:t>
                            </a:r>
                            <a:r>
                              <a:rPr lang="en-GB" dirty="0" smtClean="0"/>
                              <a:t>rray</a:t>
                            </a:r>
                            <a:endParaRPr lang="en-GB" dirty="0"/>
                          </a:p>
                        </a:txBody>
                        <a:useSpRect/>
                      </a:txSp>
                    </a:sp>
                    <a:sp>
                      <a:nvSpPr>
                        <a:cNvPr id="21" name="Isosceles Triangle 20"/>
                        <a:cNvSpPr/>
                      </a:nvSpPr>
                      <a:spPr>
                        <a:xfrm rot="5400000">
                          <a:off x="683568" y="1772816"/>
                          <a:ext cx="288032" cy="288032"/>
                        </a:xfrm>
                        <a:prstGeom prst="triangle">
                          <a:avLst/>
                        </a:prstGeom>
                        <a:noFill/>
                        <a:ln>
                          <a:prstDash val="sysDot"/>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Isosceles Triangle 21"/>
                        <a:cNvSpPr/>
                      </a:nvSpPr>
                      <a:spPr>
                        <a:xfrm rot="5400000">
                          <a:off x="683568" y="2276872"/>
                          <a:ext cx="288032" cy="288032"/>
                        </a:xfrm>
                        <a:prstGeom prst="triangle">
                          <a:avLst/>
                        </a:prstGeom>
                        <a:noFill/>
                        <a:ln>
                          <a:prstDash val="sysDot"/>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Isosceles Triangle 22"/>
                        <a:cNvSpPr/>
                      </a:nvSpPr>
                      <a:spPr>
                        <a:xfrm rot="5400000">
                          <a:off x="683568" y="2780928"/>
                          <a:ext cx="288032" cy="288032"/>
                        </a:xfrm>
                        <a:prstGeom prst="triangle">
                          <a:avLst/>
                        </a:prstGeom>
                        <a:noFill/>
                        <a:ln>
                          <a:prstDash val="sysDot"/>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Isosceles Triangle 23"/>
                        <a:cNvSpPr/>
                      </a:nvSpPr>
                      <a:spPr>
                        <a:xfrm rot="5400000">
                          <a:off x="683568" y="3284984"/>
                          <a:ext cx="288032" cy="288032"/>
                        </a:xfrm>
                        <a:prstGeom prst="triangle">
                          <a:avLst/>
                        </a:prstGeom>
                        <a:noFill/>
                        <a:ln>
                          <a:prstDash val="sysDot"/>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Isosceles Triangle 24"/>
                        <a:cNvSpPr/>
                      </a:nvSpPr>
                      <a:spPr>
                        <a:xfrm rot="5400000">
                          <a:off x="683568" y="3717032"/>
                          <a:ext cx="288032" cy="288032"/>
                        </a:xfrm>
                        <a:prstGeom prst="triangle">
                          <a:avLst/>
                        </a:prstGeom>
                        <a:noFill/>
                        <a:ln>
                          <a:prstDash val="sysDot"/>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Isosceles Triangle 25"/>
                        <a:cNvSpPr/>
                      </a:nvSpPr>
                      <a:spPr>
                        <a:xfrm rot="5400000">
                          <a:off x="683568" y="4221088"/>
                          <a:ext cx="288032" cy="288032"/>
                        </a:xfrm>
                        <a:prstGeom prst="triangle">
                          <a:avLst/>
                        </a:prstGeom>
                        <a:noFill/>
                        <a:ln>
                          <a:prstDash val="sysDot"/>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Isosceles Triangle 26"/>
                        <a:cNvSpPr/>
                      </a:nvSpPr>
                      <a:spPr>
                        <a:xfrm rot="5400000">
                          <a:off x="683568" y="4725144"/>
                          <a:ext cx="288032" cy="288032"/>
                        </a:xfrm>
                        <a:prstGeom prst="triangle">
                          <a:avLst/>
                        </a:prstGeom>
                        <a:noFill/>
                        <a:ln>
                          <a:prstDash val="sysDot"/>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Isosceles Triangle 27"/>
                        <a:cNvSpPr/>
                      </a:nvSpPr>
                      <a:spPr>
                        <a:xfrm rot="5400000">
                          <a:off x="683568" y="5229200"/>
                          <a:ext cx="288032" cy="288032"/>
                        </a:xfrm>
                        <a:prstGeom prst="triangle">
                          <a:avLst/>
                        </a:prstGeom>
                        <a:noFill/>
                        <a:ln>
                          <a:prstDash val="sysDot"/>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9" name="Straight Arrow Connector 38"/>
                        <a:cNvCxnSpPr/>
                      </a:nvCxnSpPr>
                      <a:spPr>
                        <a:xfrm>
                          <a:off x="899592" y="1484784"/>
                          <a:ext cx="0" cy="360040"/>
                        </a:xfrm>
                        <a:prstGeom prst="straightConnector1">
                          <a:avLst/>
                        </a:prstGeom>
                        <a:ln w="57150">
                          <a:prstDash val="sysDot"/>
                          <a:headEnd type="none" w="med" len="med"/>
                          <a:tailEnd type="triangle" w="med" len="med"/>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147748" w:rsidRPr="0013327C" w:rsidRDefault="007A3E0B" w:rsidP="00AE0264">
      <w:pPr>
        <w:jc w:val="both"/>
        <w:rPr>
          <w:rFonts w:asciiTheme="majorHAnsi" w:hAnsiTheme="majorHAnsi"/>
        </w:rPr>
      </w:pPr>
      <w:proofErr w:type="gramStart"/>
      <w:r w:rsidRPr="0013327C">
        <w:rPr>
          <w:rFonts w:asciiTheme="majorHAnsi" w:hAnsiTheme="majorHAnsi"/>
          <w:b/>
        </w:rPr>
        <w:t>Figure 2.</w:t>
      </w:r>
      <w:r w:rsidR="004E0FB4">
        <w:rPr>
          <w:rFonts w:asciiTheme="majorHAnsi" w:hAnsiTheme="majorHAnsi"/>
          <w:b/>
        </w:rPr>
        <w:t>12</w:t>
      </w:r>
      <w:r w:rsidR="00147748" w:rsidRPr="0013327C">
        <w:rPr>
          <w:rFonts w:asciiTheme="majorHAnsi" w:hAnsiTheme="majorHAnsi"/>
          <w:b/>
        </w:rPr>
        <w:t>.</w:t>
      </w:r>
      <w:proofErr w:type="gramEnd"/>
      <w:r w:rsidR="00147748" w:rsidRPr="0013327C">
        <w:rPr>
          <w:rFonts w:asciiTheme="majorHAnsi" w:hAnsiTheme="majorHAnsi"/>
        </w:rPr>
        <w:t xml:space="preserve"> </w:t>
      </w:r>
      <w:proofErr w:type="gramStart"/>
      <w:r w:rsidR="007B55DE" w:rsidRPr="00703E2C">
        <w:rPr>
          <w:rFonts w:asciiTheme="majorHAnsi" w:hAnsiTheme="majorHAnsi"/>
          <w:b/>
        </w:rPr>
        <w:t xml:space="preserve">Thermo Multidrop </w:t>
      </w:r>
      <w:r w:rsidR="00703E2C" w:rsidRPr="00703E2C">
        <w:rPr>
          <w:rFonts w:asciiTheme="majorHAnsi" w:hAnsiTheme="majorHAnsi"/>
          <w:b/>
        </w:rPr>
        <w:t>Plate-loader</w:t>
      </w:r>
      <w:r w:rsidR="007B55DE" w:rsidRPr="00703E2C">
        <w:rPr>
          <w:rFonts w:asciiTheme="majorHAnsi" w:hAnsiTheme="majorHAnsi"/>
          <w:b/>
        </w:rPr>
        <w:t xml:space="preserve"> Schematic.</w:t>
      </w:r>
      <w:proofErr w:type="gramEnd"/>
      <w:r w:rsidR="007B55DE" w:rsidRPr="00703E2C">
        <w:rPr>
          <w:rFonts w:asciiTheme="majorHAnsi" w:hAnsiTheme="majorHAnsi"/>
          <w:b/>
        </w:rPr>
        <w:t xml:space="preserve"> </w:t>
      </w:r>
      <w:r w:rsidR="00147748" w:rsidRPr="0013327C">
        <w:rPr>
          <w:rFonts w:asciiTheme="majorHAnsi" w:hAnsiTheme="majorHAnsi"/>
        </w:rPr>
        <w:t xml:space="preserve">Diagram of how the Thermo “Multidrop” plate loader seeds the 384 well </w:t>
      </w:r>
      <w:proofErr w:type="gramStart"/>
      <w:r w:rsidR="00147748" w:rsidRPr="0013327C">
        <w:rPr>
          <w:rFonts w:asciiTheme="majorHAnsi" w:hAnsiTheme="majorHAnsi"/>
        </w:rPr>
        <w:t>plate</w:t>
      </w:r>
      <w:proofErr w:type="gramEnd"/>
      <w:r w:rsidR="00147748" w:rsidRPr="0013327C">
        <w:rPr>
          <w:rFonts w:asciiTheme="majorHAnsi" w:hAnsiTheme="majorHAnsi"/>
        </w:rPr>
        <w:t>. When all columns are selected each jet expels SFM with cells (20µl), 2X serum medium (25µl) or induction medium (10µl) per well. The entire array of eight jets moves along the first row of wells (green) before moving one row “down” and along the adjacent row in the reverse direction; each jet expelling liquid in each well it passes (48 per jet).</w:t>
      </w:r>
    </w:p>
    <w:p w:rsidR="00147748" w:rsidRPr="0013327C" w:rsidRDefault="00147748" w:rsidP="00AE0264">
      <w:pPr>
        <w:jc w:val="both"/>
        <w:rPr>
          <w:rFonts w:asciiTheme="majorHAnsi" w:hAnsiTheme="majorHAnsi"/>
        </w:rPr>
      </w:pPr>
      <w:r w:rsidRPr="0013327C">
        <w:rPr>
          <w:rFonts w:asciiTheme="majorHAnsi" w:hAnsiTheme="majorHAnsi"/>
        </w:rPr>
        <w:t xml:space="preserve">Transfected cells are diluted in SFM to the appropriate concentration for seeding into 384-well microtitre plate. The required volume for seeding </w:t>
      </w:r>
      <w:r w:rsidRPr="0013327C">
        <w:rPr>
          <w:rFonts w:asciiTheme="majorHAnsi" w:hAnsiTheme="majorHAnsi"/>
          <w:i/>
        </w:rPr>
        <w:t>n</w:t>
      </w:r>
      <w:r w:rsidRPr="0013327C">
        <w:rPr>
          <w:rFonts w:asciiTheme="majorHAnsi" w:hAnsiTheme="majorHAnsi"/>
        </w:rPr>
        <w:t xml:space="preserve"> number of plates is 1.5 x </w:t>
      </w:r>
      <w:r w:rsidRPr="0013327C">
        <w:rPr>
          <w:rFonts w:asciiTheme="majorHAnsi" w:hAnsiTheme="majorHAnsi"/>
          <w:i/>
        </w:rPr>
        <w:t>n</w:t>
      </w:r>
      <w:r w:rsidRPr="0013327C">
        <w:rPr>
          <w:rFonts w:asciiTheme="majorHAnsi" w:hAnsiTheme="majorHAnsi"/>
        </w:rPr>
        <w:t xml:space="preserve"> x 384 x20µl. 1.5 is a multiplication factor intended to prevent running out of reagents when priming the plate loader. An intake tube is used to draw liquid into an array of eight nozzles. These eight nozzles each run the length of the plate dispensing volumes into the wells, two rows per nozzle. Volumes are dispensed </w:t>
      </w:r>
      <w:r w:rsidR="00BB35DC" w:rsidRPr="0013327C">
        <w:rPr>
          <w:rFonts w:asciiTheme="majorHAnsi" w:hAnsiTheme="majorHAnsi"/>
        </w:rPr>
        <w:t>in</w:t>
      </w:r>
      <w:r w:rsidR="00BB35DC">
        <w:rPr>
          <w:rFonts w:asciiTheme="majorHAnsi" w:hAnsiTheme="majorHAnsi"/>
        </w:rPr>
        <w:t xml:space="preserve"> </w:t>
      </w:r>
      <w:r w:rsidR="00BB35DC" w:rsidRPr="0013327C">
        <w:rPr>
          <w:rFonts w:asciiTheme="majorHAnsi" w:hAnsiTheme="majorHAnsi"/>
        </w:rPr>
        <w:t>multiples</w:t>
      </w:r>
      <w:r w:rsidRPr="0013327C">
        <w:rPr>
          <w:rFonts w:asciiTheme="majorHAnsi" w:hAnsiTheme="majorHAnsi"/>
        </w:rPr>
        <w:t xml:space="preserve"> of 5µl. 50ml 70% ethanol is primed through the plate loader to sterilise the conduits and nozzles. The ethanol is washed out with 100ml distilled water. The plate loader is primed until empty and then the cell suspension medium is primed through. Plates are loaded using pre-defined settings (volume 5-50µl, number of columns 1-24, </w:t>
      </w:r>
      <w:proofErr w:type="gramStart"/>
      <w:r w:rsidRPr="0013327C">
        <w:rPr>
          <w:rFonts w:asciiTheme="majorHAnsi" w:hAnsiTheme="majorHAnsi"/>
        </w:rPr>
        <w:t>number</w:t>
      </w:r>
      <w:proofErr w:type="gramEnd"/>
      <w:r w:rsidRPr="0013327C">
        <w:rPr>
          <w:rFonts w:asciiTheme="majorHAnsi" w:hAnsiTheme="majorHAnsi"/>
        </w:rPr>
        <w:t xml:space="preserve"> of rows 8 or 16) at the press of a button in less than 10 seconds. The same protocol is used for addition of 20% serum-containing medium and induction medium (see following chapter).</w:t>
      </w:r>
    </w:p>
    <w:p w:rsidR="00147748" w:rsidRPr="0013327C" w:rsidRDefault="00147748" w:rsidP="00AE0264">
      <w:pPr>
        <w:pStyle w:val="Heading3"/>
        <w:ind w:left="862"/>
        <w:jc w:val="both"/>
      </w:pPr>
      <w:bookmarkStart w:id="78" w:name="_Toc348423330"/>
      <w:r w:rsidRPr="0013327C">
        <w:lastRenderedPageBreak/>
        <w:t>Expression of fluorescent fusion proteins in 384-well microtitre plates</w:t>
      </w:r>
      <w:bookmarkEnd w:id="78"/>
    </w:p>
    <w:p w:rsidR="00147748" w:rsidRPr="0013327C" w:rsidRDefault="00147748" w:rsidP="00AE0264">
      <w:pPr>
        <w:jc w:val="both"/>
        <w:rPr>
          <w:rFonts w:asciiTheme="majorHAnsi" w:hAnsiTheme="majorHAnsi"/>
        </w:rPr>
      </w:pPr>
      <w:r w:rsidRPr="0013327C">
        <w:rPr>
          <w:rFonts w:asciiTheme="majorHAnsi" w:hAnsiTheme="majorHAnsi"/>
        </w:rPr>
        <w:t>S2R+ cells were transfected with the desired plasmid according to Effectene protocols. Transfection medium was removed and cells were resuspended in serum-free Schneider’s medium (SFM).  0.2-1 x 10</w:t>
      </w:r>
      <w:r w:rsidRPr="0013327C">
        <w:rPr>
          <w:rFonts w:asciiTheme="majorHAnsi" w:hAnsiTheme="majorHAnsi"/>
          <w:vertAlign w:val="superscript"/>
        </w:rPr>
        <w:t>4</w:t>
      </w:r>
      <w:r w:rsidRPr="0013327C">
        <w:rPr>
          <w:rFonts w:asciiTheme="majorHAnsi" w:hAnsiTheme="majorHAnsi"/>
        </w:rPr>
        <w:t xml:space="preserve"> cells were seeded per well in a 384-well plate, in 20µl SFM. Wells were pre-seeded with 250ng dsRNA, dissolved in 5µl nuclease-free distilled water (Gibco).  After 1 hour 25µl Schneider’s drosophila medium containing 20% foetal calf serum (20% serum-containing medium). On the day of induction, 10µl 10% serum-containing medium was added containing 600µM CuSO</w:t>
      </w:r>
      <w:r w:rsidRPr="0013327C">
        <w:rPr>
          <w:rFonts w:asciiTheme="majorHAnsi" w:hAnsiTheme="majorHAnsi"/>
          <w:vertAlign w:val="subscript"/>
        </w:rPr>
        <w:t>4</w:t>
      </w:r>
      <w:r w:rsidRPr="0013327C">
        <w:rPr>
          <w:rFonts w:asciiTheme="majorHAnsi" w:hAnsiTheme="majorHAnsi"/>
        </w:rPr>
        <w:t>. After 24 hours induction cells were imaged after fixation (</w:t>
      </w:r>
      <w:r w:rsidR="00BB35DC" w:rsidRPr="0013327C">
        <w:rPr>
          <w:rFonts w:asciiTheme="majorHAnsi" w:hAnsiTheme="majorHAnsi"/>
        </w:rPr>
        <w:t>see Chapter</w:t>
      </w:r>
      <w:r w:rsidRPr="0013327C">
        <w:rPr>
          <w:rFonts w:asciiTheme="majorHAnsi" w:hAnsiTheme="majorHAnsi"/>
        </w:rPr>
        <w:t xml:space="preserve"> 2.7.</w:t>
      </w:r>
      <w:r w:rsidR="005F2835">
        <w:rPr>
          <w:rFonts w:asciiTheme="majorHAnsi" w:hAnsiTheme="majorHAnsi"/>
        </w:rPr>
        <w:t>9</w:t>
      </w:r>
      <w:r w:rsidRPr="0013327C">
        <w:rPr>
          <w:rFonts w:asciiTheme="majorHAnsi" w:hAnsiTheme="majorHAnsi"/>
        </w:rPr>
        <w:t>).</w:t>
      </w:r>
    </w:p>
    <w:p w:rsidR="00147748" w:rsidRPr="0013327C" w:rsidRDefault="00147748" w:rsidP="00AE0264">
      <w:pPr>
        <w:pStyle w:val="Heading3"/>
        <w:ind w:left="862"/>
        <w:jc w:val="both"/>
      </w:pPr>
      <w:bookmarkStart w:id="79" w:name="_Toc348423331"/>
      <w:r w:rsidRPr="0013327C">
        <w:t>Cell fixation protocols</w:t>
      </w:r>
      <w:bookmarkEnd w:id="79"/>
    </w:p>
    <w:p w:rsidR="00147748" w:rsidRDefault="00147748" w:rsidP="00AE0264">
      <w:pPr>
        <w:jc w:val="both"/>
        <w:rPr>
          <w:rFonts w:asciiTheme="majorHAnsi" w:hAnsiTheme="majorHAnsi"/>
        </w:rPr>
      </w:pPr>
      <w:r w:rsidRPr="0013327C">
        <w:rPr>
          <w:rFonts w:asciiTheme="majorHAnsi" w:hAnsiTheme="majorHAnsi"/>
        </w:rPr>
        <w:t xml:space="preserve">Medium was removed from the wells in the microtitre plates using </w:t>
      </w:r>
      <w:r w:rsidR="00BB35DC" w:rsidRPr="0013327C">
        <w:rPr>
          <w:rFonts w:asciiTheme="majorHAnsi" w:hAnsiTheme="majorHAnsi"/>
        </w:rPr>
        <w:t>an</w:t>
      </w:r>
      <w:r w:rsidRPr="0013327C">
        <w:rPr>
          <w:rFonts w:asciiTheme="majorHAnsi" w:hAnsiTheme="majorHAnsi"/>
        </w:rPr>
        <w:t xml:space="preserve"> ELx405 Select CW “Plate washer” (Biotek). This is an integrated liquid handling machine capable of dispensing volumes at low velocity and aspirating accurate volumes from each well. Cells in the assay development and the screens required aspiration of growth medium prior to the addition of fixative solution (3.6% formaldehyde with 1ng.µl</w:t>
      </w:r>
      <w:r w:rsidRPr="0013327C">
        <w:rPr>
          <w:rFonts w:asciiTheme="majorHAnsi" w:hAnsiTheme="majorHAnsi"/>
          <w:vertAlign w:val="superscript"/>
        </w:rPr>
        <w:t>-1</w:t>
      </w:r>
      <w:r w:rsidRPr="0013327C">
        <w:rPr>
          <w:rFonts w:asciiTheme="majorHAnsi" w:hAnsiTheme="majorHAnsi"/>
        </w:rPr>
        <w:t xml:space="preserve"> Hoechst 33342). </w:t>
      </w:r>
    </w:p>
    <w:p w:rsidR="006577D5" w:rsidRPr="0013327C" w:rsidRDefault="006577D5" w:rsidP="00AE0264">
      <w:pPr>
        <w:jc w:val="both"/>
        <w:rPr>
          <w:rFonts w:asciiTheme="majorHAnsi" w:hAnsiTheme="majorHAnsi"/>
        </w:rPr>
      </w:pPr>
    </w:p>
    <w:p w:rsidR="00147748" w:rsidRPr="0013327C" w:rsidRDefault="00147748" w:rsidP="00AE0264">
      <w:pPr>
        <w:jc w:val="both"/>
        <w:rPr>
          <w:rFonts w:asciiTheme="majorHAnsi" w:hAnsiTheme="majorHAnsi"/>
        </w:rPr>
      </w:pPr>
      <w:r w:rsidRPr="0013327C">
        <w:rPr>
          <w:rFonts w:asciiTheme="majorHAnsi" w:hAnsiTheme="majorHAnsi"/>
          <w:b/>
          <w:noProof/>
          <w:lang w:eastAsia="en-GB"/>
        </w:rPr>
        <w:lastRenderedPageBreak/>
        <w:drawing>
          <wp:inline distT="0" distB="0" distL="0" distR="0">
            <wp:extent cx="5368594" cy="4448584"/>
            <wp:effectExtent l="0" t="0" r="3506" b="0"/>
            <wp:docPr id="9"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32848" cy="6265023"/>
                      <a:chOff x="1259632" y="296489"/>
                      <a:chExt cx="7632848" cy="6265023"/>
                    </a:xfrm>
                  </a:grpSpPr>
                  <a:grpSp>
                    <a:nvGrpSpPr>
                      <a:cNvPr id="107" name="Group 106"/>
                      <a:cNvGrpSpPr/>
                    </a:nvGrpSpPr>
                    <a:grpSpPr>
                      <a:xfrm>
                        <a:off x="1259632" y="296489"/>
                        <a:ext cx="7632848" cy="6265023"/>
                        <a:chOff x="1259632" y="296489"/>
                        <a:chExt cx="7632848" cy="6265023"/>
                      </a:xfrm>
                    </a:grpSpPr>
                    <a:grpSp>
                      <a:nvGrpSpPr>
                        <a:cNvPr id="3" name="Group 3"/>
                        <a:cNvGrpSpPr/>
                      </a:nvGrpSpPr>
                      <a:grpSpPr>
                        <a:xfrm>
                          <a:off x="1259632" y="296489"/>
                          <a:ext cx="7632848" cy="6265023"/>
                          <a:chOff x="827584" y="341040"/>
                          <a:chExt cx="7632848" cy="6265023"/>
                        </a:xfrm>
                      </a:grpSpPr>
                      <a:sp>
                        <a:nvSpPr>
                          <a:cNvPr id="5" name="Rectangle 4"/>
                          <a:cNvSpPr/>
                        </a:nvSpPr>
                        <a:spPr>
                          <a:xfrm>
                            <a:off x="827584" y="1196752"/>
                            <a:ext cx="1728192" cy="1728192"/>
                          </a:xfrm>
                          <a:prstGeom prst="rect">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1115616" y="1196752"/>
                            <a:ext cx="1152128" cy="144016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1115616" y="1988840"/>
                            <a:ext cx="1152128" cy="648072"/>
                          </a:xfrm>
                          <a:prstGeom prst="rect">
                            <a:avLst/>
                          </a:prstGeom>
                          <a:solidFill>
                            <a:srgbClr val="FFC00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Oval 7"/>
                          <a:cNvSpPr/>
                        </a:nvSpPr>
                        <a:spPr>
                          <a:xfrm>
                            <a:off x="1115616"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Oval 8"/>
                          <a:cNvSpPr/>
                        </a:nvSpPr>
                        <a:spPr>
                          <a:xfrm>
                            <a:off x="1403648"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Oval 9"/>
                          <a:cNvSpPr/>
                        </a:nvSpPr>
                        <a:spPr>
                          <a:xfrm>
                            <a:off x="1691680"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Oval 10"/>
                          <a:cNvSpPr/>
                        </a:nvSpPr>
                        <a:spPr>
                          <a:xfrm>
                            <a:off x="1979712"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1259632" y="620688"/>
                            <a:ext cx="288032" cy="1008112"/>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rot="19104070">
                            <a:off x="1625092" y="427873"/>
                            <a:ext cx="124330" cy="714314"/>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Rectangle 13"/>
                          <a:cNvSpPr/>
                        </a:nvSpPr>
                        <a:spPr>
                          <a:xfrm>
                            <a:off x="2771800" y="1196752"/>
                            <a:ext cx="1728192" cy="1728192"/>
                          </a:xfrm>
                          <a:prstGeom prst="rect">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Rectangle 14"/>
                          <a:cNvSpPr/>
                        </a:nvSpPr>
                        <a:spPr>
                          <a:xfrm>
                            <a:off x="3059832" y="1196752"/>
                            <a:ext cx="1152128" cy="144016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Rectangle 15"/>
                          <a:cNvSpPr/>
                        </a:nvSpPr>
                        <a:spPr>
                          <a:xfrm>
                            <a:off x="3059832" y="2276872"/>
                            <a:ext cx="1152128" cy="360040"/>
                          </a:xfrm>
                          <a:prstGeom prst="rect">
                            <a:avLst/>
                          </a:prstGeom>
                          <a:solidFill>
                            <a:srgbClr val="FFC00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Oval 16"/>
                          <a:cNvSpPr/>
                        </a:nvSpPr>
                        <a:spPr>
                          <a:xfrm>
                            <a:off x="3059832"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Oval 17"/>
                          <a:cNvSpPr/>
                        </a:nvSpPr>
                        <a:spPr>
                          <a:xfrm>
                            <a:off x="3347864"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Oval 18"/>
                          <a:cNvSpPr/>
                        </a:nvSpPr>
                        <a:spPr>
                          <a:xfrm>
                            <a:off x="3635896"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Oval 19"/>
                          <a:cNvSpPr/>
                        </a:nvSpPr>
                        <a:spPr>
                          <a:xfrm>
                            <a:off x="3923928"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Rectangle 20"/>
                          <a:cNvSpPr/>
                        </a:nvSpPr>
                        <a:spPr>
                          <a:xfrm>
                            <a:off x="3203848" y="836712"/>
                            <a:ext cx="288032" cy="1440160"/>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Rectangle 21"/>
                          <a:cNvSpPr/>
                        </a:nvSpPr>
                        <a:spPr>
                          <a:xfrm rot="19104070" flipH="1">
                            <a:off x="3572213" y="435159"/>
                            <a:ext cx="125822" cy="660465"/>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Rectangle 22"/>
                          <a:cNvSpPr/>
                        </a:nvSpPr>
                        <a:spPr>
                          <a:xfrm>
                            <a:off x="827584" y="404664"/>
                            <a:ext cx="1728192" cy="432048"/>
                          </a:xfrm>
                          <a:prstGeom prst="rect">
                            <a:avLst/>
                          </a:prstGeom>
                          <a:solidFill>
                            <a:schemeClr val="tx1">
                              <a:lumMod val="85000"/>
                              <a:lumOff val="15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Rectangle 23"/>
                          <a:cNvSpPr/>
                        </a:nvSpPr>
                        <a:spPr>
                          <a:xfrm>
                            <a:off x="2771800" y="404664"/>
                            <a:ext cx="1728192" cy="432048"/>
                          </a:xfrm>
                          <a:prstGeom prst="rect">
                            <a:avLst/>
                          </a:prstGeom>
                          <a:solidFill>
                            <a:schemeClr val="tx1">
                              <a:lumMod val="85000"/>
                              <a:lumOff val="15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5" name="Straight Arrow Connector 24"/>
                          <a:cNvCxnSpPr>
                            <a:stCxn id="21" idx="2"/>
                          </a:cNvCxnSpPr>
                        </a:nvCxnSpPr>
                        <a:spPr>
                          <a:xfrm flipV="1">
                            <a:off x="3347864" y="980728"/>
                            <a:ext cx="0" cy="1296144"/>
                          </a:xfrm>
                          <a:prstGeom prst="straightConnector1">
                            <a:avLst/>
                          </a:prstGeom>
                          <a:ln w="63500" cmpd="sng">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6" name="Rectangle 25"/>
                          <a:cNvSpPr/>
                        </a:nvSpPr>
                        <a:spPr>
                          <a:xfrm>
                            <a:off x="4716016" y="1196752"/>
                            <a:ext cx="1728192" cy="1728192"/>
                          </a:xfrm>
                          <a:prstGeom prst="rect">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Rectangle 26"/>
                          <a:cNvSpPr/>
                        </a:nvSpPr>
                        <a:spPr>
                          <a:xfrm>
                            <a:off x="5004048" y="1196752"/>
                            <a:ext cx="1152128" cy="144016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Rectangle 27"/>
                          <a:cNvSpPr/>
                        </a:nvSpPr>
                        <a:spPr>
                          <a:xfrm>
                            <a:off x="5004048" y="2276872"/>
                            <a:ext cx="1152128" cy="360040"/>
                          </a:xfrm>
                          <a:prstGeom prst="rect">
                            <a:avLst/>
                          </a:prstGeom>
                          <a:solidFill>
                            <a:srgbClr val="FFC00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9" name="Oval 28"/>
                          <a:cNvSpPr/>
                        </a:nvSpPr>
                        <a:spPr>
                          <a:xfrm>
                            <a:off x="5004048"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0" name="Oval 29"/>
                          <a:cNvSpPr/>
                        </a:nvSpPr>
                        <a:spPr>
                          <a:xfrm>
                            <a:off x="5292080"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1" name="Oval 30"/>
                          <a:cNvSpPr/>
                        </a:nvSpPr>
                        <a:spPr>
                          <a:xfrm>
                            <a:off x="5580112"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Oval 31"/>
                          <a:cNvSpPr/>
                        </a:nvSpPr>
                        <a:spPr>
                          <a:xfrm>
                            <a:off x="5868144"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Rectangle 32"/>
                          <a:cNvSpPr/>
                        </a:nvSpPr>
                        <a:spPr>
                          <a:xfrm>
                            <a:off x="5148064" y="620688"/>
                            <a:ext cx="288032" cy="1008112"/>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4" name="Rectangle 33"/>
                          <a:cNvSpPr/>
                        </a:nvSpPr>
                        <a:spPr>
                          <a:xfrm rot="19104070">
                            <a:off x="5480542" y="341040"/>
                            <a:ext cx="118288" cy="815970"/>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Rectangle 34"/>
                          <a:cNvSpPr/>
                        </a:nvSpPr>
                        <a:spPr>
                          <a:xfrm>
                            <a:off x="4716016" y="404664"/>
                            <a:ext cx="1728192" cy="432048"/>
                          </a:xfrm>
                          <a:prstGeom prst="rect">
                            <a:avLst/>
                          </a:prstGeom>
                          <a:solidFill>
                            <a:schemeClr val="tx1">
                              <a:lumMod val="85000"/>
                              <a:lumOff val="15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Rectangle 35"/>
                          <a:cNvSpPr/>
                        </a:nvSpPr>
                        <a:spPr>
                          <a:xfrm>
                            <a:off x="6732240" y="1196752"/>
                            <a:ext cx="1728192" cy="1728192"/>
                          </a:xfrm>
                          <a:prstGeom prst="rect">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Rectangle 36"/>
                          <a:cNvSpPr/>
                        </a:nvSpPr>
                        <a:spPr>
                          <a:xfrm>
                            <a:off x="7020272" y="1196752"/>
                            <a:ext cx="1152128" cy="144016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8" name="Rectangle 37"/>
                          <a:cNvSpPr/>
                        </a:nvSpPr>
                        <a:spPr>
                          <a:xfrm>
                            <a:off x="8100392" y="1340768"/>
                            <a:ext cx="72008" cy="792088"/>
                          </a:xfrm>
                          <a:prstGeom prst="rect">
                            <a:avLst/>
                          </a:prstGeom>
                          <a:solidFill>
                            <a:srgbClr val="00B05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Rectangle 38"/>
                          <a:cNvSpPr/>
                        </a:nvSpPr>
                        <a:spPr>
                          <a:xfrm>
                            <a:off x="7020272" y="1988840"/>
                            <a:ext cx="1152128" cy="648072"/>
                          </a:xfrm>
                          <a:prstGeom prst="rect">
                            <a:avLst/>
                          </a:prstGeom>
                          <a:solidFill>
                            <a:srgbClr val="92D05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Oval 39"/>
                          <a:cNvSpPr/>
                        </a:nvSpPr>
                        <a:spPr>
                          <a:xfrm>
                            <a:off x="7020272"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Oval 40"/>
                          <a:cNvSpPr/>
                        </a:nvSpPr>
                        <a:spPr>
                          <a:xfrm>
                            <a:off x="7308304"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Oval 41"/>
                          <a:cNvSpPr/>
                        </a:nvSpPr>
                        <a:spPr>
                          <a:xfrm>
                            <a:off x="7596336"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Oval 42"/>
                          <a:cNvSpPr/>
                        </a:nvSpPr>
                        <a:spPr>
                          <a:xfrm>
                            <a:off x="7884368" y="2420888"/>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4" name="Rectangle 43"/>
                          <a:cNvSpPr/>
                        </a:nvSpPr>
                        <a:spPr>
                          <a:xfrm>
                            <a:off x="7164288" y="620688"/>
                            <a:ext cx="288032" cy="1008112"/>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5" name="Rectangle 44"/>
                          <a:cNvSpPr/>
                        </a:nvSpPr>
                        <a:spPr>
                          <a:xfrm rot="19104070">
                            <a:off x="7695329" y="363849"/>
                            <a:ext cx="105985" cy="1158136"/>
                          </a:xfrm>
                          <a:prstGeom prst="rect">
                            <a:avLst/>
                          </a:prstGeom>
                          <a:solidFill>
                            <a:srgbClr val="00B05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6" name="Rectangle 45"/>
                          <a:cNvSpPr/>
                        </a:nvSpPr>
                        <a:spPr>
                          <a:xfrm rot="19104070">
                            <a:off x="7529749" y="427873"/>
                            <a:ext cx="124329" cy="714314"/>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7" name="Rectangle 46"/>
                          <a:cNvSpPr/>
                        </a:nvSpPr>
                        <a:spPr>
                          <a:xfrm>
                            <a:off x="6732240" y="404664"/>
                            <a:ext cx="1728192" cy="432048"/>
                          </a:xfrm>
                          <a:prstGeom prst="rect">
                            <a:avLst/>
                          </a:prstGeom>
                          <a:solidFill>
                            <a:schemeClr val="tx1">
                              <a:lumMod val="85000"/>
                              <a:lumOff val="15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8" name="Straight Arrow Connector 47"/>
                          <a:cNvCxnSpPr/>
                        </a:nvCxnSpPr>
                        <a:spPr>
                          <a:xfrm>
                            <a:off x="7401281" y="620688"/>
                            <a:ext cx="360040" cy="360041"/>
                          </a:xfrm>
                          <a:prstGeom prst="straightConnector1">
                            <a:avLst/>
                          </a:prstGeom>
                          <a:ln w="63500" cmpd="sng">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9" name="Rectangle 48"/>
                          <a:cNvSpPr/>
                        </a:nvSpPr>
                        <a:spPr>
                          <a:xfrm>
                            <a:off x="827584" y="4365104"/>
                            <a:ext cx="1728192" cy="1728192"/>
                          </a:xfrm>
                          <a:prstGeom prst="rect">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0" name="Rectangle 49"/>
                          <a:cNvSpPr/>
                        </a:nvSpPr>
                        <a:spPr>
                          <a:xfrm>
                            <a:off x="1115616" y="4365104"/>
                            <a:ext cx="1152128" cy="144016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1" name="Rectangle 50"/>
                          <a:cNvSpPr/>
                        </a:nvSpPr>
                        <a:spPr>
                          <a:xfrm>
                            <a:off x="2195736" y="4509120"/>
                            <a:ext cx="72008" cy="792088"/>
                          </a:xfrm>
                          <a:prstGeom prst="rect">
                            <a:avLst/>
                          </a:prstGeom>
                          <a:solidFill>
                            <a:srgbClr val="00B05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2" name="Rectangle 51"/>
                          <a:cNvSpPr/>
                        </a:nvSpPr>
                        <a:spPr>
                          <a:xfrm rot="19104070">
                            <a:off x="1759927" y="3547066"/>
                            <a:ext cx="81655" cy="1104288"/>
                          </a:xfrm>
                          <a:prstGeom prst="rect">
                            <a:avLst/>
                          </a:prstGeom>
                          <a:solidFill>
                            <a:srgbClr val="00B05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3" name="Rectangle 52"/>
                          <a:cNvSpPr/>
                        </a:nvSpPr>
                        <a:spPr>
                          <a:xfrm>
                            <a:off x="1115616" y="4365104"/>
                            <a:ext cx="1152128" cy="1440160"/>
                          </a:xfrm>
                          <a:prstGeom prst="rect">
                            <a:avLst/>
                          </a:prstGeom>
                          <a:solidFill>
                            <a:srgbClr val="53CD73"/>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4" name="Oval 53"/>
                          <a:cNvSpPr/>
                        </a:nvSpPr>
                        <a:spPr>
                          <a:xfrm>
                            <a:off x="1115616"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Oval 54"/>
                          <a:cNvSpPr/>
                        </a:nvSpPr>
                        <a:spPr>
                          <a:xfrm>
                            <a:off x="1403648"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6" name="Oval 55"/>
                          <a:cNvSpPr/>
                        </a:nvSpPr>
                        <a:spPr>
                          <a:xfrm>
                            <a:off x="1691680"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7" name="Oval 56"/>
                          <a:cNvSpPr/>
                        </a:nvSpPr>
                        <a:spPr>
                          <a:xfrm>
                            <a:off x="1979712"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 name="Rectangle 57"/>
                          <a:cNvSpPr/>
                        </a:nvSpPr>
                        <a:spPr>
                          <a:xfrm>
                            <a:off x="1259632" y="3861048"/>
                            <a:ext cx="288032" cy="1008112"/>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9" name="Rectangle 58"/>
                          <a:cNvSpPr/>
                        </a:nvSpPr>
                        <a:spPr>
                          <a:xfrm rot="19104070">
                            <a:off x="1625092" y="3596225"/>
                            <a:ext cx="124329" cy="714314"/>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 name="Rectangle 59"/>
                          <a:cNvSpPr/>
                        </a:nvSpPr>
                        <a:spPr>
                          <a:xfrm>
                            <a:off x="827584" y="3573016"/>
                            <a:ext cx="1728192" cy="432048"/>
                          </a:xfrm>
                          <a:prstGeom prst="rect">
                            <a:avLst/>
                          </a:prstGeom>
                          <a:solidFill>
                            <a:schemeClr val="tx1">
                              <a:lumMod val="85000"/>
                              <a:lumOff val="15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1" name="Straight Arrow Connector 60"/>
                          <a:cNvCxnSpPr/>
                        </a:nvCxnSpPr>
                        <a:spPr>
                          <a:xfrm>
                            <a:off x="1496624" y="3789040"/>
                            <a:ext cx="360040" cy="360041"/>
                          </a:xfrm>
                          <a:prstGeom prst="straightConnector1">
                            <a:avLst/>
                          </a:prstGeom>
                          <a:ln w="63500" cmpd="sng">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2" name="Straight Arrow Connector 61"/>
                          <a:cNvCxnSpPr/>
                        </a:nvCxnSpPr>
                        <a:spPr>
                          <a:xfrm flipV="1">
                            <a:off x="1403648" y="3789040"/>
                            <a:ext cx="0" cy="1296144"/>
                          </a:xfrm>
                          <a:prstGeom prst="straightConnector1">
                            <a:avLst/>
                          </a:prstGeom>
                          <a:ln w="63500" cmpd="sng">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63" name="Rectangle 62"/>
                          <a:cNvSpPr/>
                        </a:nvSpPr>
                        <a:spPr>
                          <a:xfrm>
                            <a:off x="2771800" y="4365104"/>
                            <a:ext cx="1728192" cy="1728192"/>
                          </a:xfrm>
                          <a:prstGeom prst="rect">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4" name="Rectangle 63"/>
                          <a:cNvSpPr/>
                        </a:nvSpPr>
                        <a:spPr>
                          <a:xfrm>
                            <a:off x="3059832" y="4365104"/>
                            <a:ext cx="1152128" cy="144016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5" name="Rectangle 64"/>
                          <a:cNvSpPr/>
                        </a:nvSpPr>
                        <a:spPr>
                          <a:xfrm>
                            <a:off x="4139952" y="4509120"/>
                            <a:ext cx="72008" cy="792088"/>
                          </a:xfrm>
                          <a:prstGeom prst="rect">
                            <a:avLst/>
                          </a:prstGeom>
                          <a:solidFill>
                            <a:srgbClr val="00B05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6" name="Rectangle 65"/>
                          <a:cNvSpPr/>
                        </a:nvSpPr>
                        <a:spPr>
                          <a:xfrm rot="19104070">
                            <a:off x="3734889" y="3532200"/>
                            <a:ext cx="105986" cy="1158136"/>
                          </a:xfrm>
                          <a:prstGeom prst="rect">
                            <a:avLst/>
                          </a:prstGeom>
                          <a:solidFill>
                            <a:srgbClr val="00B05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7" name="Rectangle 66"/>
                          <a:cNvSpPr/>
                        </a:nvSpPr>
                        <a:spPr>
                          <a:xfrm>
                            <a:off x="3059832" y="5013176"/>
                            <a:ext cx="1152128" cy="792088"/>
                          </a:xfrm>
                          <a:prstGeom prst="rect">
                            <a:avLst/>
                          </a:prstGeom>
                          <a:solidFill>
                            <a:srgbClr val="00B05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8" name="Oval 67"/>
                          <a:cNvSpPr/>
                        </a:nvSpPr>
                        <a:spPr>
                          <a:xfrm>
                            <a:off x="3059832"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9" name="Oval 68"/>
                          <a:cNvSpPr/>
                        </a:nvSpPr>
                        <a:spPr>
                          <a:xfrm>
                            <a:off x="3347864"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0" name="Oval 69"/>
                          <a:cNvSpPr/>
                        </a:nvSpPr>
                        <a:spPr>
                          <a:xfrm>
                            <a:off x="3635896"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1" name="Oval 70"/>
                          <a:cNvSpPr/>
                        </a:nvSpPr>
                        <a:spPr>
                          <a:xfrm>
                            <a:off x="3923928"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2" name="Rectangle 71"/>
                          <a:cNvSpPr/>
                        </a:nvSpPr>
                        <a:spPr>
                          <a:xfrm>
                            <a:off x="3203848" y="3861048"/>
                            <a:ext cx="288032" cy="1152128"/>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 name="Rectangle 72"/>
                          <a:cNvSpPr/>
                        </a:nvSpPr>
                        <a:spPr>
                          <a:xfrm rot="19104070">
                            <a:off x="3569308" y="3596225"/>
                            <a:ext cx="124329" cy="714314"/>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4" name="Rectangle 73"/>
                          <a:cNvSpPr/>
                        </a:nvSpPr>
                        <a:spPr>
                          <a:xfrm>
                            <a:off x="2771800" y="3573016"/>
                            <a:ext cx="1728192" cy="432048"/>
                          </a:xfrm>
                          <a:prstGeom prst="rect">
                            <a:avLst/>
                          </a:prstGeom>
                          <a:solidFill>
                            <a:schemeClr val="tx1">
                              <a:lumMod val="85000"/>
                              <a:lumOff val="15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5" name="Straight Arrow Connector 74"/>
                          <a:cNvCxnSpPr/>
                        </a:nvCxnSpPr>
                        <a:spPr>
                          <a:xfrm>
                            <a:off x="3440840" y="3789040"/>
                            <a:ext cx="360040" cy="360041"/>
                          </a:xfrm>
                          <a:prstGeom prst="straightConnector1">
                            <a:avLst/>
                          </a:prstGeom>
                          <a:ln w="63500" cmpd="sng">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6" name="Straight Arrow Connector 75"/>
                          <a:cNvCxnSpPr/>
                        </a:nvCxnSpPr>
                        <a:spPr>
                          <a:xfrm flipV="1">
                            <a:off x="3347864" y="3789040"/>
                            <a:ext cx="0" cy="1296144"/>
                          </a:xfrm>
                          <a:prstGeom prst="straightConnector1">
                            <a:avLst/>
                          </a:prstGeom>
                          <a:ln w="63500" cmpd="sng">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77" name="Rectangle 76"/>
                          <a:cNvSpPr/>
                        </a:nvSpPr>
                        <a:spPr>
                          <a:xfrm>
                            <a:off x="4716016" y="4365104"/>
                            <a:ext cx="1728192" cy="1728192"/>
                          </a:xfrm>
                          <a:prstGeom prst="rect">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8" name="Rectangle 77"/>
                          <a:cNvSpPr/>
                        </a:nvSpPr>
                        <a:spPr>
                          <a:xfrm>
                            <a:off x="5004048" y="4365104"/>
                            <a:ext cx="1152128" cy="144016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9" name="Rectangle 78"/>
                          <a:cNvSpPr/>
                        </a:nvSpPr>
                        <a:spPr>
                          <a:xfrm>
                            <a:off x="5004048" y="5085184"/>
                            <a:ext cx="1152128" cy="720080"/>
                          </a:xfrm>
                          <a:prstGeom prst="rect">
                            <a:avLst/>
                          </a:prstGeom>
                          <a:solidFill>
                            <a:srgbClr val="00B05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0" name="Oval 79"/>
                          <a:cNvSpPr/>
                        </a:nvSpPr>
                        <a:spPr>
                          <a:xfrm>
                            <a:off x="5004048"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1" name="Oval 80"/>
                          <a:cNvSpPr/>
                        </a:nvSpPr>
                        <a:spPr>
                          <a:xfrm>
                            <a:off x="5292080"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2" name="Oval 81"/>
                          <a:cNvSpPr/>
                        </a:nvSpPr>
                        <a:spPr>
                          <a:xfrm>
                            <a:off x="5580112"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3" name="Oval 82"/>
                          <a:cNvSpPr/>
                        </a:nvSpPr>
                        <a:spPr>
                          <a:xfrm>
                            <a:off x="5868144"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4" name="Rectangle 83"/>
                          <a:cNvSpPr/>
                        </a:nvSpPr>
                        <a:spPr>
                          <a:xfrm>
                            <a:off x="5148064" y="3861048"/>
                            <a:ext cx="288032" cy="1224136"/>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5" name="Rectangle 84"/>
                          <a:cNvSpPr/>
                        </a:nvSpPr>
                        <a:spPr>
                          <a:xfrm rot="19104070">
                            <a:off x="5513524" y="3596225"/>
                            <a:ext cx="124329" cy="714314"/>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6" name="Rectangle 85"/>
                          <a:cNvSpPr/>
                        </a:nvSpPr>
                        <a:spPr>
                          <a:xfrm>
                            <a:off x="4716016" y="3573016"/>
                            <a:ext cx="1728192" cy="432048"/>
                          </a:xfrm>
                          <a:prstGeom prst="rect">
                            <a:avLst/>
                          </a:prstGeom>
                          <a:solidFill>
                            <a:schemeClr val="tx1">
                              <a:lumMod val="85000"/>
                              <a:lumOff val="15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7" name="Straight Arrow Connector 86"/>
                          <a:cNvCxnSpPr/>
                        </a:nvCxnSpPr>
                        <a:spPr>
                          <a:xfrm flipV="1">
                            <a:off x="5292080" y="3789040"/>
                            <a:ext cx="0" cy="1296144"/>
                          </a:xfrm>
                          <a:prstGeom prst="straightConnector1">
                            <a:avLst/>
                          </a:prstGeom>
                          <a:ln w="63500" cmpd="sng">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88" name="Rectangle 87"/>
                          <a:cNvSpPr/>
                        </a:nvSpPr>
                        <a:spPr>
                          <a:xfrm>
                            <a:off x="6732240" y="4365104"/>
                            <a:ext cx="1728192" cy="1728192"/>
                          </a:xfrm>
                          <a:prstGeom prst="rect">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9" name="Rectangle 88"/>
                          <a:cNvSpPr/>
                        </a:nvSpPr>
                        <a:spPr>
                          <a:xfrm>
                            <a:off x="7020272" y="4365104"/>
                            <a:ext cx="1152128" cy="1440160"/>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0" name="Rectangle 89"/>
                          <a:cNvSpPr/>
                        </a:nvSpPr>
                        <a:spPr>
                          <a:xfrm>
                            <a:off x="7020272" y="5085184"/>
                            <a:ext cx="1152128" cy="720080"/>
                          </a:xfrm>
                          <a:prstGeom prst="rect">
                            <a:avLst/>
                          </a:prstGeom>
                          <a:solidFill>
                            <a:srgbClr val="00B050"/>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1" name="Oval 90"/>
                          <a:cNvSpPr/>
                        </a:nvSpPr>
                        <a:spPr>
                          <a:xfrm>
                            <a:off x="7020272"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2" name="Oval 91"/>
                          <a:cNvSpPr/>
                        </a:nvSpPr>
                        <a:spPr>
                          <a:xfrm>
                            <a:off x="7308304"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3" name="Oval 92"/>
                          <a:cNvSpPr/>
                        </a:nvSpPr>
                        <a:spPr>
                          <a:xfrm>
                            <a:off x="7596336"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4" name="Oval 93"/>
                          <a:cNvSpPr/>
                        </a:nvSpPr>
                        <a:spPr>
                          <a:xfrm>
                            <a:off x="7884368" y="5589240"/>
                            <a:ext cx="288032" cy="216024"/>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5" name="Rectangle 94"/>
                          <a:cNvSpPr/>
                        </a:nvSpPr>
                        <a:spPr>
                          <a:xfrm>
                            <a:off x="7164288" y="3861048"/>
                            <a:ext cx="288032" cy="1008112"/>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6" name="Rectangle 95"/>
                          <a:cNvSpPr/>
                        </a:nvSpPr>
                        <a:spPr>
                          <a:xfrm rot="19104070">
                            <a:off x="7529748" y="3596225"/>
                            <a:ext cx="124329" cy="714314"/>
                          </a:xfrm>
                          <a:prstGeom prst="rect">
                            <a:avLst/>
                          </a:prstGeom>
                          <a:solidFill>
                            <a:schemeClr val="tx1">
                              <a:lumMod val="50000"/>
                              <a:lumOff val="5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7" name="Rectangle 96"/>
                          <a:cNvSpPr/>
                        </a:nvSpPr>
                        <a:spPr>
                          <a:xfrm>
                            <a:off x="6732240" y="3573016"/>
                            <a:ext cx="1728192" cy="432048"/>
                          </a:xfrm>
                          <a:prstGeom prst="rect">
                            <a:avLst/>
                          </a:prstGeom>
                          <a:solidFill>
                            <a:schemeClr val="tx1">
                              <a:lumMod val="85000"/>
                              <a:lumOff val="15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8" name="TextBox 121"/>
                          <a:cNvSpPr txBox="1"/>
                        </a:nvSpPr>
                        <a:spPr>
                          <a:xfrm>
                            <a:off x="827584" y="2996952"/>
                            <a:ext cx="792088"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200" b="1" dirty="0" smtClean="0"/>
                                <a:t>A</a:t>
                              </a:r>
                              <a:endParaRPr lang="en-GB" b="1" dirty="0"/>
                            </a:p>
                          </a:txBody>
                          <a:useSpRect/>
                        </a:txSp>
                      </a:sp>
                      <a:sp>
                        <a:nvSpPr>
                          <a:cNvPr id="99" name="TextBox 122"/>
                          <a:cNvSpPr txBox="1"/>
                        </a:nvSpPr>
                        <a:spPr>
                          <a:xfrm>
                            <a:off x="2771800" y="2996952"/>
                            <a:ext cx="864096"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200" b="1" dirty="0" smtClean="0"/>
                                <a:t>B</a:t>
                              </a:r>
                              <a:endParaRPr lang="en-GB" b="1" dirty="0"/>
                            </a:p>
                          </a:txBody>
                          <a:useSpRect/>
                        </a:txSp>
                      </a:sp>
                      <a:sp>
                        <a:nvSpPr>
                          <a:cNvPr id="100" name="TextBox 123"/>
                          <a:cNvSpPr txBox="1"/>
                        </a:nvSpPr>
                        <a:spPr>
                          <a:xfrm>
                            <a:off x="4716016" y="2996952"/>
                            <a:ext cx="864096"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200" b="1" dirty="0"/>
                                <a:t>C</a:t>
                              </a:r>
                              <a:endParaRPr lang="en-GB" b="1" dirty="0"/>
                            </a:p>
                          </a:txBody>
                          <a:useSpRect/>
                        </a:txSp>
                      </a:sp>
                      <a:sp>
                        <a:nvSpPr>
                          <a:cNvPr id="101" name="TextBox 124"/>
                          <a:cNvSpPr txBox="1"/>
                        </a:nvSpPr>
                        <a:spPr>
                          <a:xfrm>
                            <a:off x="6732240" y="2996952"/>
                            <a:ext cx="864096"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200" b="1" dirty="0" smtClean="0"/>
                                <a:t>D</a:t>
                              </a:r>
                              <a:endParaRPr lang="en-GB" b="1" dirty="0"/>
                            </a:p>
                          </a:txBody>
                          <a:useSpRect/>
                        </a:txSp>
                      </a:sp>
                      <a:sp>
                        <a:nvSpPr>
                          <a:cNvPr id="102" name="TextBox 125"/>
                          <a:cNvSpPr txBox="1"/>
                        </a:nvSpPr>
                        <a:spPr>
                          <a:xfrm>
                            <a:off x="827584" y="6021288"/>
                            <a:ext cx="864096"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200" b="1" dirty="0"/>
                                <a:t>E</a:t>
                              </a:r>
                              <a:endParaRPr lang="en-GB" b="1" dirty="0"/>
                            </a:p>
                          </a:txBody>
                          <a:useSpRect/>
                        </a:txSp>
                      </a:sp>
                      <a:sp>
                        <a:nvSpPr>
                          <a:cNvPr id="103" name="TextBox 126"/>
                          <a:cNvSpPr txBox="1"/>
                        </a:nvSpPr>
                        <a:spPr>
                          <a:xfrm>
                            <a:off x="4716016" y="6021288"/>
                            <a:ext cx="864096"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200" b="1" dirty="0"/>
                                <a:t>G</a:t>
                              </a:r>
                              <a:endParaRPr lang="en-GB" b="1" dirty="0"/>
                            </a:p>
                          </a:txBody>
                          <a:useSpRect/>
                        </a:txSp>
                      </a:sp>
                      <a:sp>
                        <a:nvSpPr>
                          <a:cNvPr id="104" name="TextBox 127"/>
                          <a:cNvSpPr txBox="1"/>
                        </a:nvSpPr>
                        <a:spPr>
                          <a:xfrm>
                            <a:off x="2771800" y="6021288"/>
                            <a:ext cx="864096"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200" b="1" dirty="0" smtClean="0"/>
                                <a:t>F</a:t>
                              </a:r>
                              <a:endParaRPr lang="en-GB" b="1" dirty="0"/>
                            </a:p>
                          </a:txBody>
                          <a:useSpRect/>
                        </a:txSp>
                      </a:sp>
                      <a:sp>
                        <a:nvSpPr>
                          <a:cNvPr id="105" name="TextBox 128"/>
                          <a:cNvSpPr txBox="1"/>
                        </a:nvSpPr>
                        <a:spPr>
                          <a:xfrm>
                            <a:off x="6732240" y="6021288"/>
                            <a:ext cx="864096"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200" b="1" dirty="0" smtClean="0"/>
                                <a:t>H</a:t>
                              </a:r>
                              <a:endParaRPr lang="en-GB" b="1" dirty="0"/>
                            </a:p>
                          </a:txBody>
                          <a:useSpRect/>
                        </a:txSp>
                      </a:sp>
                    </a:grpSp>
                    <a:sp>
                      <a:nvSpPr>
                        <a:cNvPr id="106" name="Arc 105"/>
                        <a:cNvSpPr/>
                      </a:nvSpPr>
                      <a:spPr>
                        <a:xfrm>
                          <a:off x="3779912" y="4509120"/>
                          <a:ext cx="792088" cy="936104"/>
                        </a:xfrm>
                        <a:prstGeom prst="arc">
                          <a:avLst>
                            <a:gd name="adj1" fmla="val 1327006"/>
                            <a:gd name="adj2" fmla="val 9020513"/>
                          </a:avLst>
                        </a:prstGeom>
                        <a:ln w="28575">
                          <a:solidFill>
                            <a:schemeClr val="tx1"/>
                          </a:solidFill>
                          <a:headEnd type="none" w="med" len="med"/>
                          <a:tailEnd type="arrow" w="med" len="med"/>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lc:lockedCanvas>
              </a:graphicData>
            </a:graphic>
          </wp:inline>
        </w:drawing>
      </w:r>
      <w:proofErr w:type="gramStart"/>
      <w:r w:rsidR="004E0FB4">
        <w:rPr>
          <w:rFonts w:asciiTheme="majorHAnsi" w:hAnsiTheme="majorHAnsi"/>
          <w:b/>
        </w:rPr>
        <w:t>Figure 2.13</w:t>
      </w:r>
      <w:r w:rsidRPr="0013327C">
        <w:rPr>
          <w:rFonts w:asciiTheme="majorHAnsi" w:hAnsiTheme="majorHAnsi"/>
          <w:b/>
        </w:rPr>
        <w:t>.</w:t>
      </w:r>
      <w:proofErr w:type="gramEnd"/>
      <w:r w:rsidRPr="0013327C">
        <w:rPr>
          <w:rFonts w:asciiTheme="majorHAnsi" w:hAnsiTheme="majorHAnsi"/>
        </w:rPr>
        <w:t xml:space="preserve"> </w:t>
      </w:r>
      <w:r w:rsidR="002C7A70" w:rsidRPr="00BB35DC">
        <w:rPr>
          <w:rFonts w:asciiTheme="majorHAnsi" w:hAnsiTheme="majorHAnsi"/>
          <w:b/>
        </w:rPr>
        <w:t>ELx405 Select CW Plate washer aspiration and fixative dispensation schematic</w:t>
      </w:r>
      <w:r w:rsidR="002C7A70" w:rsidRPr="0013327C">
        <w:rPr>
          <w:rFonts w:asciiTheme="majorHAnsi" w:hAnsiTheme="majorHAnsi"/>
        </w:rPr>
        <w:t xml:space="preserve">. </w:t>
      </w:r>
      <w:proofErr w:type="gramStart"/>
      <w:r w:rsidRPr="0013327C">
        <w:rPr>
          <w:rFonts w:asciiTheme="majorHAnsi" w:hAnsiTheme="majorHAnsi"/>
        </w:rPr>
        <w:t>Stepwise actions of aspiration of growth medium (</w:t>
      </w:r>
      <w:r w:rsidRPr="0013327C">
        <w:rPr>
          <w:rFonts w:asciiTheme="majorHAnsi" w:hAnsiTheme="majorHAnsi"/>
          <w:b/>
        </w:rPr>
        <w:t>A-C</w:t>
      </w:r>
      <w:r w:rsidRPr="0013327C">
        <w:rPr>
          <w:rFonts w:asciiTheme="majorHAnsi" w:hAnsiTheme="majorHAnsi"/>
        </w:rPr>
        <w:t>) and dispensation of fixative solution (</w:t>
      </w:r>
      <w:r w:rsidRPr="0013327C">
        <w:rPr>
          <w:rFonts w:asciiTheme="majorHAnsi" w:hAnsiTheme="majorHAnsi"/>
          <w:b/>
        </w:rPr>
        <w:t>D-H</w:t>
      </w:r>
      <w:r w:rsidRPr="0013327C">
        <w:rPr>
          <w:rFonts w:asciiTheme="majorHAnsi" w:hAnsiTheme="majorHAnsi"/>
        </w:rPr>
        <w:t>) from a single well.</w:t>
      </w:r>
      <w:proofErr w:type="gramEnd"/>
      <w:r w:rsidRPr="0013327C">
        <w:rPr>
          <w:rFonts w:asciiTheme="majorHAnsi" w:hAnsiTheme="majorHAnsi"/>
        </w:rPr>
        <w:t xml:space="preserve"> Arrows indicate action of aspirator. </w:t>
      </w:r>
      <w:proofErr w:type="gramStart"/>
      <w:r w:rsidRPr="0013327C">
        <w:rPr>
          <w:rFonts w:asciiTheme="majorHAnsi" w:hAnsiTheme="majorHAnsi"/>
          <w:b/>
        </w:rPr>
        <w:t>A</w:t>
      </w:r>
      <w:r w:rsidRPr="0013327C">
        <w:rPr>
          <w:rFonts w:asciiTheme="majorHAnsi" w:hAnsiTheme="majorHAnsi"/>
        </w:rPr>
        <w:t xml:space="preserve"> shows</w:t>
      </w:r>
      <w:proofErr w:type="gramEnd"/>
      <w:r w:rsidRPr="0013327C">
        <w:rPr>
          <w:rFonts w:asciiTheme="majorHAnsi" w:hAnsiTheme="majorHAnsi"/>
        </w:rPr>
        <w:t xml:space="preserve"> the cells at the bottom of the well in 60µl induction medium (yellow). </w:t>
      </w:r>
      <w:r w:rsidRPr="0013327C">
        <w:rPr>
          <w:rFonts w:asciiTheme="majorHAnsi" w:hAnsiTheme="majorHAnsi"/>
          <w:b/>
        </w:rPr>
        <w:t xml:space="preserve">B </w:t>
      </w:r>
      <w:r w:rsidRPr="0013327C">
        <w:rPr>
          <w:rFonts w:asciiTheme="majorHAnsi" w:hAnsiTheme="majorHAnsi"/>
        </w:rPr>
        <w:t xml:space="preserve">shows the aspirator pin (vertical) descend to remove all but 20 µl of medium from the well. The pin returns to its rest position in </w:t>
      </w:r>
      <w:r w:rsidRPr="0013327C">
        <w:rPr>
          <w:rFonts w:asciiTheme="majorHAnsi" w:hAnsiTheme="majorHAnsi"/>
          <w:b/>
        </w:rPr>
        <w:t xml:space="preserve">C. </w:t>
      </w:r>
      <w:r w:rsidRPr="0013327C">
        <w:rPr>
          <w:rFonts w:asciiTheme="majorHAnsi" w:hAnsiTheme="majorHAnsi"/>
        </w:rPr>
        <w:t xml:space="preserve">In </w:t>
      </w:r>
      <w:r w:rsidRPr="0013327C">
        <w:rPr>
          <w:rFonts w:asciiTheme="majorHAnsi" w:hAnsiTheme="majorHAnsi"/>
          <w:b/>
        </w:rPr>
        <w:t xml:space="preserve">D </w:t>
      </w:r>
      <w:r w:rsidRPr="0013327C">
        <w:rPr>
          <w:rFonts w:asciiTheme="majorHAnsi" w:hAnsiTheme="majorHAnsi"/>
        </w:rPr>
        <w:t xml:space="preserve">the dispensing pin (angled) begins dispensing 150 µl of fixative (green) into the well. </w:t>
      </w:r>
      <w:r w:rsidRPr="0013327C">
        <w:rPr>
          <w:rFonts w:asciiTheme="majorHAnsi" w:hAnsiTheme="majorHAnsi"/>
          <w:b/>
        </w:rPr>
        <w:t>E</w:t>
      </w:r>
      <w:r w:rsidRPr="0013327C">
        <w:rPr>
          <w:rFonts w:asciiTheme="majorHAnsi" w:hAnsiTheme="majorHAnsi"/>
        </w:rPr>
        <w:t xml:space="preserve"> shows the aspirator pin turns on when 110µl has been added (130 µl </w:t>
      </w:r>
      <w:proofErr w:type="gramStart"/>
      <w:r w:rsidRPr="0013327C">
        <w:rPr>
          <w:rFonts w:asciiTheme="majorHAnsi" w:hAnsiTheme="majorHAnsi"/>
        </w:rPr>
        <w:t>total</w:t>
      </w:r>
      <w:proofErr w:type="gramEnd"/>
      <w:r w:rsidRPr="0013327C">
        <w:rPr>
          <w:rFonts w:asciiTheme="majorHAnsi" w:hAnsiTheme="majorHAnsi"/>
        </w:rPr>
        <w:t xml:space="preserve">). </w:t>
      </w:r>
      <w:r w:rsidRPr="0013327C">
        <w:rPr>
          <w:rFonts w:asciiTheme="majorHAnsi" w:hAnsiTheme="majorHAnsi"/>
          <w:b/>
        </w:rPr>
        <w:t>F</w:t>
      </w:r>
      <w:r w:rsidRPr="0013327C">
        <w:rPr>
          <w:rFonts w:asciiTheme="majorHAnsi" w:hAnsiTheme="majorHAnsi"/>
        </w:rPr>
        <w:t xml:space="preserve"> shows both dispenser and aspirator on simultaneously creating a flow of fixative to remove induction medium. </w:t>
      </w:r>
      <w:r w:rsidRPr="0013327C">
        <w:rPr>
          <w:rFonts w:asciiTheme="majorHAnsi" w:hAnsiTheme="majorHAnsi"/>
          <w:b/>
        </w:rPr>
        <w:t xml:space="preserve">G-H </w:t>
      </w:r>
      <w:r w:rsidRPr="0013327C">
        <w:rPr>
          <w:rFonts w:asciiTheme="majorHAnsi" w:hAnsiTheme="majorHAnsi"/>
        </w:rPr>
        <w:t>shows the aspirator</w:t>
      </w:r>
      <w:r w:rsidRPr="0013327C">
        <w:rPr>
          <w:rFonts w:asciiTheme="majorHAnsi" w:hAnsiTheme="majorHAnsi"/>
          <w:b/>
        </w:rPr>
        <w:t xml:space="preserve"> </w:t>
      </w:r>
      <w:r w:rsidRPr="0013327C">
        <w:rPr>
          <w:rFonts w:asciiTheme="majorHAnsi" w:hAnsiTheme="majorHAnsi"/>
        </w:rPr>
        <w:t>continuing after</w:t>
      </w:r>
      <w:r w:rsidRPr="0013327C">
        <w:rPr>
          <w:rFonts w:asciiTheme="majorHAnsi" w:hAnsiTheme="majorHAnsi"/>
          <w:b/>
        </w:rPr>
        <w:t xml:space="preserve"> </w:t>
      </w:r>
      <w:r w:rsidRPr="0013327C">
        <w:rPr>
          <w:rFonts w:asciiTheme="majorHAnsi" w:hAnsiTheme="majorHAnsi"/>
        </w:rPr>
        <w:t>the dispenser is finished leaving the 50 µl of residual fixative on top of the cells before it is switched off and returned to the resting position. For the wash steps fixative was replaced with 1X PBS over three repetitions.</w:t>
      </w:r>
    </w:p>
    <w:p w:rsidR="00147748" w:rsidRPr="0013327C" w:rsidRDefault="00BB35DC" w:rsidP="00AE0264">
      <w:pPr>
        <w:jc w:val="both"/>
        <w:rPr>
          <w:rFonts w:asciiTheme="majorHAnsi" w:hAnsiTheme="majorHAnsi"/>
        </w:rPr>
      </w:pPr>
      <w:r w:rsidRPr="0013327C">
        <w:rPr>
          <w:rFonts w:asciiTheme="majorHAnsi" w:hAnsiTheme="majorHAnsi"/>
        </w:rPr>
        <w:t>The fixation of cells in microtitre plates</w:t>
      </w:r>
      <w:r>
        <w:rPr>
          <w:rFonts w:asciiTheme="majorHAnsi" w:hAnsiTheme="majorHAnsi"/>
        </w:rPr>
        <w:t xml:space="preserve"> </w:t>
      </w:r>
      <w:r w:rsidRPr="0013327C">
        <w:rPr>
          <w:rFonts w:asciiTheme="majorHAnsi" w:hAnsiTheme="majorHAnsi"/>
        </w:rPr>
        <w:t>was</w:t>
      </w:r>
      <w:r>
        <w:rPr>
          <w:rFonts w:asciiTheme="majorHAnsi" w:hAnsiTheme="majorHAnsi"/>
        </w:rPr>
        <w:t xml:space="preserve"> a two-step process, aspiration</w:t>
      </w:r>
      <w:r w:rsidRPr="0013327C">
        <w:rPr>
          <w:rFonts w:asciiTheme="majorHAnsi" w:hAnsiTheme="majorHAnsi"/>
        </w:rPr>
        <w:t xml:space="preserve"> of growth medium and fixative dispensation. </w:t>
      </w:r>
      <w:r w:rsidR="00147748" w:rsidRPr="0013327C">
        <w:rPr>
          <w:rFonts w:asciiTheme="majorHAnsi" w:hAnsiTheme="majorHAnsi"/>
        </w:rPr>
        <w:t xml:space="preserve">Wells contained 60µl growth medium. 40µl of this was aspirated leaving 20µl with the cells. 150µl of fixative is then slowly added, dispensed down the side of the well to minimise removal of adherent cells. Once the dispenser has added 110µl the aspirator is turned on again and a constant flow of </w:t>
      </w:r>
      <w:r w:rsidR="00147748" w:rsidRPr="0013327C">
        <w:rPr>
          <w:rFonts w:asciiTheme="majorHAnsi" w:hAnsiTheme="majorHAnsi"/>
        </w:rPr>
        <w:lastRenderedPageBreak/>
        <w:t>fixative from the dispenser washes over the cells and is then removed until the dispenser has finished adding fixative. After the dispensation of fixative ceases the aspirator continues until 50µl remains in the well. Cells were fixed and their nuclei stained for 50 minutes before the wells were washed with 1XPBS. This required exactly the same protocol as the fixation, the fixative was replaced with 1X PBS and the protocol was repeated 3 times.</w:t>
      </w:r>
    </w:p>
    <w:p w:rsidR="00147748" w:rsidRPr="0013327C" w:rsidRDefault="00147748" w:rsidP="00AE0264">
      <w:pPr>
        <w:jc w:val="both"/>
        <w:rPr>
          <w:rFonts w:asciiTheme="majorHAnsi" w:hAnsiTheme="majorHAnsi"/>
        </w:rPr>
      </w:pPr>
      <w:r w:rsidRPr="0013327C">
        <w:rPr>
          <w:rFonts w:asciiTheme="majorHAnsi" w:hAnsiTheme="majorHAnsi"/>
          <w:b/>
        </w:rPr>
        <w:t>NB.</w:t>
      </w:r>
      <w:r w:rsidRPr="0013327C">
        <w:rPr>
          <w:rFonts w:asciiTheme="majorHAnsi" w:hAnsiTheme="majorHAnsi"/>
        </w:rPr>
        <w:t xml:space="preserve"> As this method does not completely remove the growth medium from the well, the fixative cannot be said to be technically 3.6% formaldehyde, nor 1ng.µl</w:t>
      </w:r>
      <w:r w:rsidRPr="0013327C">
        <w:rPr>
          <w:rFonts w:asciiTheme="majorHAnsi" w:hAnsiTheme="majorHAnsi"/>
          <w:vertAlign w:val="superscript"/>
        </w:rPr>
        <w:t>-1</w:t>
      </w:r>
      <w:r w:rsidRPr="0013327C">
        <w:rPr>
          <w:rFonts w:asciiTheme="majorHAnsi" w:hAnsiTheme="majorHAnsi"/>
        </w:rPr>
        <w:t xml:space="preserve"> Hoechst 33342. As 20µl of growth medium remained in each well after aspiration, and 110µl of fixative was added before the continuous flow of fixative </w:t>
      </w:r>
      <w:r w:rsidR="007173F2" w:rsidRPr="0013327C">
        <w:rPr>
          <w:rFonts w:asciiTheme="majorHAnsi" w:hAnsiTheme="majorHAnsi"/>
        </w:rPr>
        <w:t>occurred</w:t>
      </w:r>
      <w:r w:rsidRPr="0013327C">
        <w:rPr>
          <w:rFonts w:asciiTheme="majorHAnsi" w:hAnsiTheme="majorHAnsi"/>
        </w:rPr>
        <w:t xml:space="preserve"> the concentration of the fixative is altered to the factor of:</w:t>
      </w:r>
    </w:p>
    <w:p w:rsidR="00147748" w:rsidRPr="0013327C" w:rsidRDefault="00147748" w:rsidP="00AE0264">
      <w:pPr>
        <w:jc w:val="both"/>
        <w:rPr>
          <w:rFonts w:asciiTheme="majorHAnsi" w:hAnsiTheme="majorHAnsi"/>
        </w:rPr>
      </w:pPr>
      <w:r w:rsidRPr="0013327C">
        <w:rPr>
          <w:rFonts w:asciiTheme="majorHAnsi" w:hAnsiTheme="majorHAnsi"/>
        </w:rPr>
        <w:tab/>
        <w:t>1-</w:t>
      </w:r>
      <w:proofErr w:type="gramStart"/>
      <w:r w:rsidRPr="0013327C">
        <w:rPr>
          <w:rFonts w:asciiTheme="majorHAnsi" w:hAnsiTheme="majorHAnsi"/>
        </w:rPr>
        <w:t>( 20</w:t>
      </w:r>
      <w:proofErr w:type="gramEnd"/>
      <w:r w:rsidRPr="0013327C">
        <w:rPr>
          <w:rFonts w:asciiTheme="majorHAnsi" w:hAnsiTheme="majorHAnsi"/>
        </w:rPr>
        <w:t>/130) = 11/13 = 0.846</w:t>
      </w:r>
    </w:p>
    <w:p w:rsidR="00147748" w:rsidRPr="0013327C" w:rsidRDefault="00147748" w:rsidP="00AE0264">
      <w:pPr>
        <w:jc w:val="both"/>
        <w:rPr>
          <w:rFonts w:asciiTheme="majorHAnsi" w:hAnsiTheme="majorHAnsi"/>
        </w:rPr>
      </w:pPr>
      <w:r w:rsidRPr="0013327C">
        <w:rPr>
          <w:rFonts w:asciiTheme="majorHAnsi" w:hAnsiTheme="majorHAnsi"/>
        </w:rPr>
        <w:t>The concentration of formaldehyde at the point of aspiration therefore equalled:</w:t>
      </w:r>
    </w:p>
    <w:p w:rsidR="00147748" w:rsidRPr="0013327C" w:rsidRDefault="00147748" w:rsidP="00AE0264">
      <w:pPr>
        <w:jc w:val="both"/>
        <w:rPr>
          <w:rFonts w:asciiTheme="majorHAnsi" w:hAnsiTheme="majorHAnsi"/>
        </w:rPr>
      </w:pPr>
      <w:r w:rsidRPr="0013327C">
        <w:rPr>
          <w:rFonts w:asciiTheme="majorHAnsi" w:hAnsiTheme="majorHAnsi"/>
        </w:rPr>
        <w:t>0.036 x 0.846 = 0.030 i.e. 3%</w:t>
      </w:r>
    </w:p>
    <w:p w:rsidR="00147748" w:rsidRPr="0013327C" w:rsidRDefault="00147748" w:rsidP="00AE0264">
      <w:pPr>
        <w:jc w:val="both"/>
        <w:rPr>
          <w:rFonts w:asciiTheme="majorHAnsi" w:hAnsiTheme="majorHAnsi"/>
        </w:rPr>
      </w:pPr>
      <w:r w:rsidRPr="0013327C">
        <w:rPr>
          <w:rFonts w:asciiTheme="majorHAnsi" w:hAnsiTheme="majorHAnsi"/>
        </w:rPr>
        <w:t xml:space="preserve">The concentration of Hoechst 33342 therefore equalled </w:t>
      </w:r>
      <w:proofErr w:type="gramStart"/>
      <w:r w:rsidRPr="0013327C">
        <w:rPr>
          <w:rFonts w:asciiTheme="majorHAnsi" w:hAnsiTheme="majorHAnsi"/>
        </w:rPr>
        <w:t>0.846 ng.µl</w:t>
      </w:r>
      <w:r w:rsidRPr="0013327C">
        <w:rPr>
          <w:rFonts w:asciiTheme="majorHAnsi" w:hAnsiTheme="majorHAnsi"/>
          <w:vertAlign w:val="superscript"/>
        </w:rPr>
        <w:t>-1</w:t>
      </w:r>
      <w:proofErr w:type="gramEnd"/>
      <w:r w:rsidRPr="0013327C">
        <w:rPr>
          <w:rFonts w:asciiTheme="majorHAnsi" w:hAnsiTheme="majorHAnsi"/>
        </w:rPr>
        <w:t>.</w:t>
      </w:r>
    </w:p>
    <w:p w:rsidR="00147748" w:rsidRPr="0013327C" w:rsidRDefault="00147748" w:rsidP="00AE0264">
      <w:pPr>
        <w:jc w:val="both"/>
        <w:rPr>
          <w:rFonts w:asciiTheme="majorHAnsi" w:hAnsiTheme="majorHAnsi"/>
        </w:rPr>
      </w:pPr>
      <w:r w:rsidRPr="0013327C">
        <w:rPr>
          <w:rFonts w:asciiTheme="majorHAnsi" w:hAnsiTheme="majorHAnsi"/>
        </w:rPr>
        <w:t>As 40µl more fixative was dispensed after this point and media was constantly being aspirated throughout, the real concentrations were much closer to their original ones. Successful fixation and nuclear staining was achieved using the protocol described.</w:t>
      </w:r>
    </w:p>
    <w:p w:rsidR="00147748" w:rsidRPr="0013327C" w:rsidRDefault="00147748" w:rsidP="00AE0264">
      <w:pPr>
        <w:pStyle w:val="Heading3"/>
        <w:ind w:left="862"/>
        <w:jc w:val="both"/>
      </w:pPr>
      <w:bookmarkStart w:id="80" w:name="_Toc348423332"/>
      <w:r w:rsidRPr="0013327C">
        <w:t>Microscope settings for capture of images from 384-well microtitre plates in Screen 1</w:t>
      </w:r>
      <w:bookmarkEnd w:id="80"/>
    </w:p>
    <w:p w:rsidR="00147748" w:rsidRPr="0013327C" w:rsidRDefault="00147748" w:rsidP="00AE0264">
      <w:pPr>
        <w:jc w:val="both"/>
        <w:rPr>
          <w:rFonts w:asciiTheme="majorHAnsi" w:hAnsiTheme="majorHAnsi"/>
        </w:rPr>
      </w:pPr>
      <w:r w:rsidRPr="0013327C">
        <w:rPr>
          <w:rFonts w:asciiTheme="majorHAnsi" w:hAnsiTheme="majorHAnsi"/>
        </w:rPr>
        <w:t>The METAXpress image capture and analysis suite (Molecular Devices) uses an automated epifluorescence microscope (“ImageXpress Micro”) to capture images of fluorescent signal. The settings used to capture these images in Screen 1 were different to those of Screen 2 and the Secondary Screen.</w:t>
      </w:r>
    </w:p>
    <w:p w:rsidR="00147748" w:rsidRPr="0013327C" w:rsidRDefault="00147748" w:rsidP="00AE0264">
      <w:pPr>
        <w:jc w:val="both"/>
        <w:rPr>
          <w:rFonts w:asciiTheme="majorHAnsi" w:hAnsiTheme="majorHAnsi"/>
        </w:rPr>
      </w:pPr>
      <w:r w:rsidRPr="0013327C">
        <w:rPr>
          <w:rFonts w:asciiTheme="majorHAnsi" w:hAnsiTheme="majorHAnsi"/>
        </w:rPr>
        <w:t>The “MD ImageXpress Micro” automated microscope was preconfigured to use Perkin-Elmer 15mm (total depth) 384-well microtitre plates by Stephen Brown from the SRSF.  Much of the configuration was therefore already done. The choice of objective magnification (Figure 3.1.11.1.) was made based on the analysis of the images taken by both 20X and 40X magnification trials during assay development (discussed in next chapter). This was done on the “Objective and Camera” settings tab in “Plate Acquisition Setup” menu.</w:t>
      </w:r>
    </w:p>
    <w:p w:rsidR="00147748" w:rsidRPr="0013327C" w:rsidRDefault="00147748"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731510" cy="1757037"/>
            <wp:effectExtent l="19050" t="0" r="2540" b="0"/>
            <wp:docPr id="13" name="Picture 3" descr="C:\Users\Denzil\AppData\Local\Microsoft\Windows\Temporary Internet Files\Content.Word\17 Objecti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nzil\AppData\Local\Microsoft\Windows\Temporary Internet Files\Content.Word\17 Objective.bmp"/>
                    <pic:cNvPicPr>
                      <a:picLocks noChangeAspect="1" noChangeArrowheads="1"/>
                    </pic:cNvPicPr>
                  </pic:nvPicPr>
                  <pic:blipFill>
                    <a:blip r:embed="rId28" cstate="print"/>
                    <a:srcRect/>
                    <a:stretch>
                      <a:fillRect/>
                    </a:stretch>
                  </pic:blipFill>
                  <pic:spPr bwMode="auto">
                    <a:xfrm>
                      <a:off x="0" y="0"/>
                      <a:ext cx="5731510" cy="1757037"/>
                    </a:xfrm>
                    <a:prstGeom prst="rect">
                      <a:avLst/>
                    </a:prstGeom>
                    <a:noFill/>
                    <a:ln w="9525">
                      <a:noFill/>
                      <a:miter lim="800000"/>
                      <a:headEnd/>
                      <a:tailEnd/>
                    </a:ln>
                  </pic:spPr>
                </pic:pic>
              </a:graphicData>
            </a:graphic>
          </wp:inline>
        </w:drawing>
      </w:r>
      <w:proofErr w:type="gramStart"/>
      <w:r w:rsidRPr="0013327C">
        <w:rPr>
          <w:rFonts w:asciiTheme="majorHAnsi" w:hAnsiTheme="majorHAnsi"/>
          <w:b/>
        </w:rPr>
        <w:t xml:space="preserve">Figure </w:t>
      </w:r>
      <w:r w:rsidR="007A3E0B" w:rsidRPr="0013327C">
        <w:rPr>
          <w:rFonts w:asciiTheme="majorHAnsi" w:hAnsiTheme="majorHAnsi"/>
          <w:b/>
        </w:rPr>
        <w:t>2.1</w:t>
      </w:r>
      <w:r w:rsidR="004E0FB4">
        <w:rPr>
          <w:rFonts w:asciiTheme="majorHAnsi" w:hAnsiTheme="majorHAnsi"/>
          <w:b/>
        </w:rPr>
        <w:t>4</w:t>
      </w:r>
      <w:r w:rsidRPr="0013327C">
        <w:rPr>
          <w:rFonts w:asciiTheme="majorHAnsi" w:hAnsiTheme="majorHAnsi"/>
          <w:b/>
        </w:rPr>
        <w:t>.</w:t>
      </w:r>
      <w:proofErr w:type="gramEnd"/>
      <w:r w:rsidRPr="0013327C">
        <w:rPr>
          <w:rFonts w:asciiTheme="majorHAnsi" w:hAnsiTheme="majorHAnsi"/>
          <w:b/>
        </w:rPr>
        <w:t xml:space="preserve"> </w:t>
      </w:r>
      <w:r w:rsidR="007A3E0B" w:rsidRPr="0013327C">
        <w:rPr>
          <w:rFonts w:asciiTheme="majorHAnsi" w:hAnsiTheme="majorHAnsi"/>
          <w:b/>
        </w:rPr>
        <w:t xml:space="preserve">ImageXpress Objective and Camera tab. </w:t>
      </w:r>
      <w:r w:rsidRPr="0013327C">
        <w:rPr>
          <w:rFonts w:asciiTheme="majorHAnsi" w:hAnsiTheme="majorHAnsi"/>
        </w:rPr>
        <w:t>The “Objective and Camera” tab for configuring objective. All screening uses binning of 1 and Gain of 1x. The choice of objective is from 2X, 10X, 20X and 40X objectives. After experimenting with both 20X and 40X objectives, the 20X objective was chosen for Screen 1 (numerical aperture</w:t>
      </w:r>
      <w:r w:rsidR="007173F2">
        <w:rPr>
          <w:rFonts w:asciiTheme="majorHAnsi" w:hAnsiTheme="majorHAnsi"/>
        </w:rPr>
        <w:t>:</w:t>
      </w:r>
      <w:r w:rsidRPr="0013327C">
        <w:rPr>
          <w:rFonts w:asciiTheme="majorHAnsi" w:hAnsiTheme="majorHAnsi"/>
        </w:rPr>
        <w:t xml:space="preserve"> 0.75 (NA) </w:t>
      </w:r>
      <w:proofErr w:type="gramStart"/>
      <w:r w:rsidRPr="0013327C">
        <w:rPr>
          <w:rFonts w:asciiTheme="majorHAnsi" w:hAnsiTheme="majorHAnsi"/>
        </w:rPr>
        <w:t>resolution</w:t>
      </w:r>
      <w:proofErr w:type="gramEnd"/>
      <w:r w:rsidR="007173F2">
        <w:rPr>
          <w:rFonts w:asciiTheme="majorHAnsi" w:hAnsiTheme="majorHAnsi"/>
        </w:rPr>
        <w:t>:</w:t>
      </w:r>
      <w:r w:rsidRPr="0013327C">
        <w:rPr>
          <w:rFonts w:asciiTheme="majorHAnsi" w:hAnsiTheme="majorHAnsi"/>
        </w:rPr>
        <w:t xml:space="preserve"> 0.37µm).</w:t>
      </w:r>
    </w:p>
    <w:p w:rsidR="006577D5" w:rsidRDefault="00147748" w:rsidP="00AE0264">
      <w:pPr>
        <w:jc w:val="both"/>
        <w:rPr>
          <w:rFonts w:asciiTheme="majorHAnsi" w:hAnsiTheme="majorHAnsi"/>
        </w:rPr>
      </w:pPr>
      <w:r w:rsidRPr="0013327C">
        <w:rPr>
          <w:rFonts w:asciiTheme="majorHAnsi" w:hAnsiTheme="majorHAnsi"/>
        </w:rPr>
        <w:t>Screen one required that a large proportion of each well be imaged to ensure that enough transfected cells were analysed to produce reliable data for the statistical analysis. This was chosen in the “Sites to Visit” tab. The final settings were for a 3x3 grid of nine sites to be photographed with no spacing between, ensuring a larger composite photograph could be analysed in nine parts. This was taken in the centre of the well, avoiding the overgrown corners where many of the cells inevitably settle.</w:t>
      </w:r>
    </w:p>
    <w:p w:rsidR="006577D5" w:rsidRDefault="006577D5" w:rsidP="00AE0264">
      <w:pPr>
        <w:jc w:val="both"/>
        <w:rPr>
          <w:rFonts w:asciiTheme="majorHAnsi" w:hAnsiTheme="majorHAnsi"/>
        </w:rPr>
      </w:pPr>
    </w:p>
    <w:p w:rsidR="006577D5" w:rsidRPr="0013327C" w:rsidRDefault="006577D5" w:rsidP="00AE0264">
      <w:pPr>
        <w:jc w:val="both"/>
        <w:rPr>
          <w:rFonts w:asciiTheme="majorHAnsi" w:hAnsiTheme="majorHAnsi"/>
        </w:rPr>
      </w:pPr>
    </w:p>
    <w:p w:rsidR="00147748" w:rsidRPr="0013327C" w:rsidRDefault="00147748"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731510" cy="3525888"/>
            <wp:effectExtent l="19050" t="0" r="2540" b="0"/>
            <wp:docPr id="15" name="Picture 9" descr="C:\Users\Denzil\AppData\Local\Microsoft\Windows\Temporary Internet Files\Content.Word\20 Sites to Visi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nzil\AppData\Local\Microsoft\Windows\Temporary Internet Files\Content.Word\20 Sites to Visit.bmp"/>
                    <pic:cNvPicPr>
                      <a:picLocks noChangeAspect="1" noChangeArrowheads="1"/>
                    </pic:cNvPicPr>
                  </pic:nvPicPr>
                  <pic:blipFill>
                    <a:blip r:embed="rId29" cstate="print"/>
                    <a:srcRect/>
                    <a:stretch>
                      <a:fillRect/>
                    </a:stretch>
                  </pic:blipFill>
                  <pic:spPr bwMode="auto">
                    <a:xfrm>
                      <a:off x="0" y="0"/>
                      <a:ext cx="5731510" cy="3525888"/>
                    </a:xfrm>
                    <a:prstGeom prst="rect">
                      <a:avLst/>
                    </a:prstGeom>
                    <a:noFill/>
                    <a:ln w="9525">
                      <a:noFill/>
                      <a:miter lim="800000"/>
                      <a:headEnd/>
                      <a:tailEnd/>
                    </a:ln>
                  </pic:spPr>
                </pic:pic>
              </a:graphicData>
            </a:graphic>
          </wp:inline>
        </w:drawing>
      </w:r>
      <w:proofErr w:type="gramStart"/>
      <w:r w:rsidRPr="0013327C">
        <w:rPr>
          <w:rFonts w:asciiTheme="majorHAnsi" w:hAnsiTheme="majorHAnsi"/>
          <w:b/>
        </w:rPr>
        <w:t xml:space="preserve">Figure </w:t>
      </w:r>
      <w:r w:rsidR="007A3E0B" w:rsidRPr="0013327C">
        <w:rPr>
          <w:rFonts w:asciiTheme="majorHAnsi" w:hAnsiTheme="majorHAnsi"/>
          <w:b/>
        </w:rPr>
        <w:t>2.1</w:t>
      </w:r>
      <w:r w:rsidR="00B14F7A">
        <w:rPr>
          <w:rFonts w:asciiTheme="majorHAnsi" w:hAnsiTheme="majorHAnsi"/>
          <w:b/>
        </w:rPr>
        <w:t>5</w:t>
      </w:r>
      <w:r w:rsidRPr="0013327C">
        <w:rPr>
          <w:rFonts w:asciiTheme="majorHAnsi" w:hAnsiTheme="majorHAnsi"/>
          <w:b/>
        </w:rPr>
        <w:t>.</w:t>
      </w:r>
      <w:proofErr w:type="gramEnd"/>
      <w:r w:rsidRPr="0013327C">
        <w:rPr>
          <w:rFonts w:asciiTheme="majorHAnsi" w:hAnsiTheme="majorHAnsi"/>
        </w:rPr>
        <w:t xml:space="preserve"> </w:t>
      </w:r>
      <w:proofErr w:type="gramStart"/>
      <w:r w:rsidR="005E3EAD" w:rsidRPr="007173F2">
        <w:rPr>
          <w:rFonts w:asciiTheme="majorHAnsi" w:hAnsiTheme="majorHAnsi"/>
          <w:b/>
        </w:rPr>
        <w:t>ImageXpress Sites to Visit tab</w:t>
      </w:r>
      <w:r w:rsidR="005E3EAD" w:rsidRPr="0013327C">
        <w:rPr>
          <w:rFonts w:asciiTheme="majorHAnsi" w:hAnsiTheme="majorHAnsi"/>
        </w:rPr>
        <w:t>.</w:t>
      </w:r>
      <w:proofErr w:type="gramEnd"/>
      <w:r w:rsidR="005E3EAD" w:rsidRPr="0013327C">
        <w:rPr>
          <w:rFonts w:asciiTheme="majorHAnsi" w:hAnsiTheme="majorHAnsi"/>
        </w:rPr>
        <w:t xml:space="preserve"> </w:t>
      </w:r>
      <w:proofErr w:type="gramStart"/>
      <w:r w:rsidRPr="0013327C">
        <w:rPr>
          <w:rFonts w:asciiTheme="majorHAnsi" w:hAnsiTheme="majorHAnsi"/>
        </w:rPr>
        <w:t>The “Sites to Visit” settings for choosing number and arrangement of sites in the well.</w:t>
      </w:r>
      <w:proofErr w:type="gramEnd"/>
      <w:r w:rsidRPr="0013327C">
        <w:rPr>
          <w:rFonts w:asciiTheme="majorHAnsi" w:hAnsiTheme="majorHAnsi"/>
        </w:rPr>
        <w:t xml:space="preserve"> Nine 20X sites were arranged in a 3x3 grid with no spacing between.</w:t>
      </w:r>
    </w:p>
    <w:p w:rsidR="006577D5" w:rsidRPr="0013327C" w:rsidRDefault="00147748" w:rsidP="00AE0264">
      <w:pPr>
        <w:jc w:val="both"/>
        <w:rPr>
          <w:rFonts w:asciiTheme="majorHAnsi" w:hAnsiTheme="majorHAnsi"/>
        </w:rPr>
      </w:pPr>
      <w:r w:rsidRPr="0013327C">
        <w:rPr>
          <w:rFonts w:asciiTheme="majorHAnsi" w:hAnsiTheme="majorHAnsi"/>
        </w:rPr>
        <w:t>The timepoints did not need to be altered as the cells were fixed. Only one photograph per channel per site was needed. This was selected in the “</w:t>
      </w:r>
      <w:r w:rsidR="00530D6B" w:rsidRPr="0013327C">
        <w:rPr>
          <w:rFonts w:asciiTheme="majorHAnsi" w:hAnsiTheme="majorHAnsi"/>
        </w:rPr>
        <w:t>Time-lapse</w:t>
      </w:r>
      <w:r w:rsidRPr="0013327C">
        <w:rPr>
          <w:rFonts w:asciiTheme="majorHAnsi" w:hAnsiTheme="majorHAnsi"/>
        </w:rPr>
        <w:t>” tab of the setup.</w:t>
      </w:r>
    </w:p>
    <w:p w:rsidR="00147748" w:rsidRPr="0013327C" w:rsidRDefault="00147748" w:rsidP="00AE0264">
      <w:pPr>
        <w:jc w:val="both"/>
        <w:rPr>
          <w:rFonts w:asciiTheme="majorHAnsi" w:hAnsiTheme="majorHAnsi"/>
          <w:b/>
        </w:rPr>
      </w:pPr>
      <w:r w:rsidRPr="0013327C">
        <w:rPr>
          <w:rFonts w:asciiTheme="majorHAnsi" w:hAnsiTheme="majorHAnsi"/>
          <w:noProof/>
          <w:lang w:eastAsia="en-GB"/>
        </w:rPr>
        <w:drawing>
          <wp:inline distT="0" distB="0" distL="0" distR="0">
            <wp:extent cx="5048250" cy="1714500"/>
            <wp:effectExtent l="19050" t="0" r="0" b="0"/>
            <wp:docPr id="16" name="Picture 12" descr="C:\Users\Denzil\AppData\Local\Microsoft\Windows\Temporary Internet Files\Content.Word\21 Timelap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nzil\AppData\Local\Microsoft\Windows\Temporary Internet Files\Content.Word\21 Timelapse.bmp"/>
                    <pic:cNvPicPr>
                      <a:picLocks noChangeAspect="1" noChangeArrowheads="1"/>
                    </pic:cNvPicPr>
                  </pic:nvPicPr>
                  <pic:blipFill>
                    <a:blip r:embed="rId30" cstate="print"/>
                    <a:srcRect/>
                    <a:stretch>
                      <a:fillRect/>
                    </a:stretch>
                  </pic:blipFill>
                  <pic:spPr bwMode="auto">
                    <a:xfrm>
                      <a:off x="0" y="0"/>
                      <a:ext cx="5048250" cy="1714500"/>
                    </a:xfrm>
                    <a:prstGeom prst="rect">
                      <a:avLst/>
                    </a:prstGeom>
                    <a:noFill/>
                    <a:ln w="9525">
                      <a:noFill/>
                      <a:miter lim="800000"/>
                      <a:headEnd/>
                      <a:tailEnd/>
                    </a:ln>
                  </pic:spPr>
                </pic:pic>
              </a:graphicData>
            </a:graphic>
          </wp:inline>
        </w:drawing>
      </w:r>
    </w:p>
    <w:p w:rsidR="00147748" w:rsidRPr="0013327C" w:rsidRDefault="00147748" w:rsidP="00AE0264">
      <w:pPr>
        <w:jc w:val="both"/>
        <w:rPr>
          <w:rFonts w:asciiTheme="majorHAnsi" w:hAnsiTheme="majorHAnsi"/>
        </w:rPr>
      </w:pPr>
      <w:proofErr w:type="gramStart"/>
      <w:r w:rsidRPr="0013327C">
        <w:rPr>
          <w:rFonts w:asciiTheme="majorHAnsi" w:hAnsiTheme="majorHAnsi"/>
          <w:b/>
        </w:rPr>
        <w:t xml:space="preserve">Figure </w:t>
      </w:r>
      <w:r w:rsidR="005E3EAD" w:rsidRPr="0013327C">
        <w:rPr>
          <w:rFonts w:asciiTheme="majorHAnsi" w:hAnsiTheme="majorHAnsi"/>
          <w:b/>
        </w:rPr>
        <w:t>2</w:t>
      </w:r>
      <w:r w:rsidRPr="0013327C">
        <w:rPr>
          <w:rFonts w:asciiTheme="majorHAnsi" w:hAnsiTheme="majorHAnsi"/>
          <w:b/>
        </w:rPr>
        <w:t>.</w:t>
      </w:r>
      <w:r w:rsidR="005E3EAD" w:rsidRPr="0013327C">
        <w:rPr>
          <w:rFonts w:asciiTheme="majorHAnsi" w:hAnsiTheme="majorHAnsi"/>
          <w:b/>
        </w:rPr>
        <w:t>1</w:t>
      </w:r>
      <w:r w:rsidR="00B14F7A">
        <w:rPr>
          <w:rFonts w:asciiTheme="majorHAnsi" w:hAnsiTheme="majorHAnsi"/>
          <w:b/>
        </w:rPr>
        <w:t>6</w:t>
      </w:r>
      <w:r w:rsidRPr="0013327C">
        <w:rPr>
          <w:rFonts w:asciiTheme="majorHAnsi" w:hAnsiTheme="majorHAnsi"/>
        </w:rPr>
        <w:t>.</w:t>
      </w:r>
      <w:proofErr w:type="gramEnd"/>
      <w:r w:rsidR="005E3EAD" w:rsidRPr="0013327C">
        <w:rPr>
          <w:rFonts w:asciiTheme="majorHAnsi" w:hAnsiTheme="majorHAnsi"/>
        </w:rPr>
        <w:t xml:space="preserve"> </w:t>
      </w:r>
      <w:proofErr w:type="gramStart"/>
      <w:r w:rsidR="005E3EAD" w:rsidRPr="00530D6B">
        <w:rPr>
          <w:rFonts w:asciiTheme="majorHAnsi" w:hAnsiTheme="majorHAnsi"/>
          <w:b/>
        </w:rPr>
        <w:t xml:space="preserve">ImageXpress </w:t>
      </w:r>
      <w:r w:rsidR="00530BEB" w:rsidRPr="00530D6B">
        <w:rPr>
          <w:rFonts w:asciiTheme="majorHAnsi" w:hAnsiTheme="majorHAnsi"/>
          <w:b/>
        </w:rPr>
        <w:t>Time-lapse</w:t>
      </w:r>
      <w:r w:rsidR="005E3EAD" w:rsidRPr="00530D6B">
        <w:rPr>
          <w:rFonts w:asciiTheme="majorHAnsi" w:hAnsiTheme="majorHAnsi"/>
          <w:b/>
        </w:rPr>
        <w:t xml:space="preserve"> tab</w:t>
      </w:r>
      <w:r w:rsidR="005E3EAD" w:rsidRPr="0013327C">
        <w:rPr>
          <w:rFonts w:asciiTheme="majorHAnsi" w:hAnsiTheme="majorHAnsi"/>
        </w:rPr>
        <w:t>.</w:t>
      </w:r>
      <w:proofErr w:type="gramEnd"/>
      <w:r w:rsidRPr="0013327C">
        <w:rPr>
          <w:rFonts w:asciiTheme="majorHAnsi" w:hAnsiTheme="majorHAnsi"/>
          <w:b/>
        </w:rPr>
        <w:t xml:space="preserve"> </w:t>
      </w:r>
      <w:proofErr w:type="gramStart"/>
      <w:r w:rsidRPr="0013327C">
        <w:rPr>
          <w:rFonts w:asciiTheme="majorHAnsi" w:hAnsiTheme="majorHAnsi"/>
        </w:rPr>
        <w:t>The “</w:t>
      </w:r>
      <w:r w:rsidR="00530BEB" w:rsidRPr="0013327C">
        <w:rPr>
          <w:rFonts w:asciiTheme="majorHAnsi" w:hAnsiTheme="majorHAnsi"/>
        </w:rPr>
        <w:t>Time-lapse</w:t>
      </w:r>
      <w:r w:rsidRPr="0013327C">
        <w:rPr>
          <w:rFonts w:asciiTheme="majorHAnsi" w:hAnsiTheme="majorHAnsi"/>
        </w:rPr>
        <w:t>” tab where number of timepoints was chosen as 1.</w:t>
      </w:r>
      <w:proofErr w:type="gramEnd"/>
    </w:p>
    <w:p w:rsidR="006577D5" w:rsidRPr="0013327C" w:rsidRDefault="00147748" w:rsidP="00AE0264">
      <w:pPr>
        <w:jc w:val="both"/>
        <w:rPr>
          <w:rFonts w:asciiTheme="majorHAnsi" w:hAnsiTheme="majorHAnsi"/>
        </w:rPr>
      </w:pPr>
      <w:r w:rsidRPr="0013327C">
        <w:rPr>
          <w:rFonts w:asciiTheme="majorHAnsi" w:hAnsiTheme="majorHAnsi"/>
        </w:rPr>
        <w:t xml:space="preserve">The “Acquisition Loop” tab is where the number of wavelengths and the type of focussing is chosen. The first screen needed only GFP and DAPI (Hoechst) channels. Laser-based focussing is standard. This uses a laser to determine where the interface between the clear plastic at the bottom of the well and the growth medium in the well </w:t>
      </w:r>
      <w:r w:rsidRPr="0013327C">
        <w:rPr>
          <w:rFonts w:asciiTheme="majorHAnsi" w:hAnsiTheme="majorHAnsi"/>
        </w:rPr>
        <w:lastRenderedPageBreak/>
        <w:t>is in focus. All subsequent focusing is determined with this z-location as a reference point which is different for each site.</w:t>
      </w:r>
    </w:p>
    <w:p w:rsidR="00147748" w:rsidRPr="0013327C" w:rsidRDefault="00147748" w:rsidP="00AE0264">
      <w:pPr>
        <w:jc w:val="both"/>
        <w:rPr>
          <w:rFonts w:asciiTheme="majorHAnsi" w:hAnsiTheme="majorHAnsi"/>
        </w:rPr>
      </w:pPr>
      <w:r w:rsidRPr="0013327C">
        <w:rPr>
          <w:rFonts w:asciiTheme="majorHAnsi" w:hAnsiTheme="majorHAnsi"/>
          <w:noProof/>
          <w:lang w:eastAsia="en-GB"/>
        </w:rPr>
        <w:drawing>
          <wp:inline distT="0" distB="0" distL="0" distR="0">
            <wp:extent cx="5457825" cy="1838325"/>
            <wp:effectExtent l="19050" t="0" r="9525" b="0"/>
            <wp:docPr id="18" name="Picture 18" descr="C:\Users\Denzil\AppData\Local\Microsoft\Windows\Temporary Internet Files\Content.Word\22 Acquisition Loo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nzil\AppData\Local\Microsoft\Windows\Temporary Internet Files\Content.Word\22 Acquisition Loop.bmp"/>
                    <pic:cNvPicPr>
                      <a:picLocks noChangeAspect="1" noChangeArrowheads="1"/>
                    </pic:cNvPicPr>
                  </pic:nvPicPr>
                  <pic:blipFill>
                    <a:blip r:embed="rId31" cstate="print"/>
                    <a:srcRect/>
                    <a:stretch>
                      <a:fillRect/>
                    </a:stretch>
                  </pic:blipFill>
                  <pic:spPr bwMode="auto">
                    <a:xfrm>
                      <a:off x="0" y="0"/>
                      <a:ext cx="5457825" cy="1838325"/>
                    </a:xfrm>
                    <a:prstGeom prst="rect">
                      <a:avLst/>
                    </a:prstGeom>
                    <a:noFill/>
                    <a:ln w="9525">
                      <a:noFill/>
                      <a:miter lim="800000"/>
                      <a:headEnd/>
                      <a:tailEnd/>
                    </a:ln>
                  </pic:spPr>
                </pic:pic>
              </a:graphicData>
            </a:graphic>
          </wp:inline>
        </w:drawing>
      </w:r>
      <w:proofErr w:type="gramStart"/>
      <w:r w:rsidR="002042D7" w:rsidRPr="0013327C">
        <w:rPr>
          <w:rFonts w:asciiTheme="majorHAnsi" w:hAnsiTheme="majorHAnsi"/>
          <w:b/>
        </w:rPr>
        <w:t xml:space="preserve">Figure </w:t>
      </w:r>
      <w:r w:rsidR="00D62157" w:rsidRPr="0013327C">
        <w:rPr>
          <w:rFonts w:asciiTheme="majorHAnsi" w:hAnsiTheme="majorHAnsi"/>
          <w:b/>
        </w:rPr>
        <w:t>2</w:t>
      </w:r>
      <w:r w:rsidR="002042D7" w:rsidRPr="0013327C">
        <w:rPr>
          <w:rFonts w:asciiTheme="majorHAnsi" w:hAnsiTheme="majorHAnsi"/>
          <w:b/>
        </w:rPr>
        <w:t>.</w:t>
      </w:r>
      <w:r w:rsidR="00B14F7A">
        <w:rPr>
          <w:rFonts w:asciiTheme="majorHAnsi" w:hAnsiTheme="majorHAnsi"/>
          <w:b/>
        </w:rPr>
        <w:t>17</w:t>
      </w:r>
      <w:r w:rsidRPr="0013327C">
        <w:rPr>
          <w:rFonts w:asciiTheme="majorHAnsi" w:hAnsiTheme="majorHAnsi"/>
          <w:b/>
        </w:rPr>
        <w:t>.</w:t>
      </w:r>
      <w:proofErr w:type="gramEnd"/>
      <w:r w:rsidRPr="0013327C">
        <w:rPr>
          <w:rFonts w:asciiTheme="majorHAnsi" w:hAnsiTheme="majorHAnsi"/>
          <w:b/>
        </w:rPr>
        <w:t xml:space="preserve"> </w:t>
      </w:r>
      <w:r w:rsidR="005E3EAD" w:rsidRPr="0013327C">
        <w:rPr>
          <w:rFonts w:asciiTheme="majorHAnsi" w:hAnsiTheme="majorHAnsi"/>
          <w:b/>
        </w:rPr>
        <w:t xml:space="preserve">ImageXpress Acquisition loop tab. </w:t>
      </w:r>
      <w:r w:rsidRPr="0013327C">
        <w:rPr>
          <w:rFonts w:asciiTheme="majorHAnsi" w:hAnsiTheme="majorHAnsi"/>
        </w:rPr>
        <w:t>The “Acquisition Loop”</w:t>
      </w:r>
      <w:r w:rsidRPr="0013327C">
        <w:rPr>
          <w:rFonts w:asciiTheme="majorHAnsi" w:hAnsiTheme="majorHAnsi"/>
          <w:b/>
        </w:rPr>
        <w:t xml:space="preserve"> </w:t>
      </w:r>
      <w:r w:rsidRPr="0013327C">
        <w:rPr>
          <w:rFonts w:asciiTheme="majorHAnsi" w:hAnsiTheme="majorHAnsi"/>
        </w:rPr>
        <w:t xml:space="preserve">tab is where 2 wavelengths and laser-based </w:t>
      </w:r>
      <w:r w:rsidR="00530BEB" w:rsidRPr="0013327C">
        <w:rPr>
          <w:rFonts w:asciiTheme="majorHAnsi" w:hAnsiTheme="majorHAnsi"/>
        </w:rPr>
        <w:t>Auto</w:t>
      </w:r>
      <w:r w:rsidR="00530BEB">
        <w:rPr>
          <w:rFonts w:asciiTheme="majorHAnsi" w:hAnsiTheme="majorHAnsi"/>
        </w:rPr>
        <w:t>-</w:t>
      </w:r>
      <w:r w:rsidR="00530BEB" w:rsidRPr="0013327C">
        <w:rPr>
          <w:rFonts w:asciiTheme="majorHAnsi" w:hAnsiTheme="majorHAnsi"/>
        </w:rPr>
        <w:t>focusing</w:t>
      </w:r>
      <w:r w:rsidRPr="0013327C">
        <w:rPr>
          <w:rFonts w:asciiTheme="majorHAnsi" w:hAnsiTheme="majorHAnsi"/>
        </w:rPr>
        <w:t xml:space="preserve"> are chosen.</w:t>
      </w:r>
    </w:p>
    <w:p w:rsidR="00147748" w:rsidRPr="0013327C" w:rsidRDefault="00147748" w:rsidP="00AE0264">
      <w:pPr>
        <w:jc w:val="both"/>
        <w:rPr>
          <w:rFonts w:asciiTheme="majorHAnsi" w:hAnsiTheme="majorHAnsi"/>
        </w:rPr>
      </w:pPr>
      <w:r w:rsidRPr="0013327C">
        <w:rPr>
          <w:rFonts w:asciiTheme="majorHAnsi" w:hAnsiTheme="majorHAnsi"/>
        </w:rPr>
        <w:t xml:space="preserve">Wavelength 1 (W1) is the most important wavelength to be photographed. This was the GFP channel, wavelength 509nm. In this channel the maximum number of peroxisomes needs to be imaged. The cells are grown so that they are in exponential growth (60-80% confluence) after 6 days. This affects cell morphology to cause the cells to adhere much of their cytoplasm flat against the growth surface. Consequently most of the peroxisomes are in one focal plane. Every photograph needs to be an optimal height (z-offset) above the bottom of the well (found with laser autofocus). This optimal offset was determined to be at 0.5 microns. The exposure was automatically determined to be optimal at 300ms using the AutoExpose command and the range of image intensity (min and max grey-levels) is set at 4000. The “DAPI” channel (W2 measured Hoechst fluorescence) was configured in exactly the same way as the GFP channel. Exposure was automatically determined to be optimal at 112ms. The range of intensity is lower as there is less detail </w:t>
      </w:r>
      <w:r w:rsidR="00530BEB" w:rsidRPr="0013327C">
        <w:rPr>
          <w:rFonts w:asciiTheme="majorHAnsi" w:hAnsiTheme="majorHAnsi"/>
        </w:rPr>
        <w:t>observed in</w:t>
      </w:r>
      <w:r w:rsidRPr="0013327C">
        <w:rPr>
          <w:rFonts w:asciiTheme="majorHAnsi" w:hAnsiTheme="majorHAnsi"/>
        </w:rPr>
        <w:t xml:space="preserve"> segmenting nuclei, the range is therefore only 3000. The z-offset is taken from the first wavelength and was set to 0 microns (the same z-height as GFP).</w:t>
      </w:r>
    </w:p>
    <w:p w:rsidR="00147748" w:rsidRPr="0013327C" w:rsidRDefault="00147748"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400675" cy="2943225"/>
            <wp:effectExtent l="19050" t="0" r="9525" b="0"/>
            <wp:docPr id="21" name="Picture 21" descr="C:\Users\Denzil\AppData\Local\Microsoft\Windows\Temporary Internet Files\Content.Word\24 W1 GF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nzil\AppData\Local\Microsoft\Windows\Temporary Internet Files\Content.Word\24 W1 GFP.BMP"/>
                    <pic:cNvPicPr>
                      <a:picLocks noChangeAspect="1" noChangeArrowheads="1"/>
                    </pic:cNvPicPr>
                  </pic:nvPicPr>
                  <pic:blipFill>
                    <a:blip r:embed="rId32" cstate="print"/>
                    <a:srcRect/>
                    <a:stretch>
                      <a:fillRect/>
                    </a:stretch>
                  </pic:blipFill>
                  <pic:spPr bwMode="auto">
                    <a:xfrm>
                      <a:off x="0" y="0"/>
                      <a:ext cx="5400675" cy="2943225"/>
                    </a:xfrm>
                    <a:prstGeom prst="rect">
                      <a:avLst/>
                    </a:prstGeom>
                    <a:noFill/>
                    <a:ln w="9525">
                      <a:noFill/>
                      <a:miter lim="800000"/>
                      <a:headEnd/>
                      <a:tailEnd/>
                    </a:ln>
                  </pic:spPr>
                </pic:pic>
              </a:graphicData>
            </a:graphic>
          </wp:inline>
        </w:drawing>
      </w:r>
      <w:proofErr w:type="gramStart"/>
      <w:r w:rsidRPr="0013327C">
        <w:rPr>
          <w:rFonts w:asciiTheme="majorHAnsi" w:hAnsiTheme="majorHAnsi"/>
          <w:b/>
        </w:rPr>
        <w:t xml:space="preserve">Figure </w:t>
      </w:r>
      <w:r w:rsidR="00D62157" w:rsidRPr="0013327C">
        <w:rPr>
          <w:rFonts w:asciiTheme="majorHAnsi" w:hAnsiTheme="majorHAnsi"/>
          <w:b/>
        </w:rPr>
        <w:t>2</w:t>
      </w:r>
      <w:r w:rsidRPr="0013327C">
        <w:rPr>
          <w:rFonts w:asciiTheme="majorHAnsi" w:hAnsiTheme="majorHAnsi"/>
          <w:b/>
        </w:rPr>
        <w:t>.</w:t>
      </w:r>
      <w:r w:rsidR="00B14F7A">
        <w:rPr>
          <w:rFonts w:asciiTheme="majorHAnsi" w:hAnsiTheme="majorHAnsi"/>
          <w:b/>
        </w:rPr>
        <w:t>18</w:t>
      </w:r>
      <w:r w:rsidRPr="0013327C">
        <w:rPr>
          <w:rFonts w:asciiTheme="majorHAnsi" w:hAnsiTheme="majorHAnsi"/>
          <w:b/>
        </w:rPr>
        <w:t>.</w:t>
      </w:r>
      <w:proofErr w:type="gramEnd"/>
      <w:r w:rsidRPr="0013327C">
        <w:rPr>
          <w:rFonts w:asciiTheme="majorHAnsi" w:hAnsiTheme="majorHAnsi"/>
        </w:rPr>
        <w:t xml:space="preserve"> </w:t>
      </w:r>
      <w:r w:rsidR="002042D7" w:rsidRPr="00530BEB">
        <w:rPr>
          <w:rFonts w:asciiTheme="majorHAnsi" w:hAnsiTheme="majorHAnsi"/>
          <w:b/>
        </w:rPr>
        <w:t>ImageXpress Wavelength 1 tab</w:t>
      </w:r>
      <w:r w:rsidR="002042D7" w:rsidRPr="0013327C">
        <w:rPr>
          <w:rFonts w:asciiTheme="majorHAnsi" w:hAnsiTheme="majorHAnsi"/>
        </w:rPr>
        <w:t xml:space="preserve">. </w:t>
      </w:r>
      <w:r w:rsidRPr="0013327C">
        <w:rPr>
          <w:rFonts w:asciiTheme="majorHAnsi" w:hAnsiTheme="majorHAnsi"/>
        </w:rPr>
        <w:t>“W1 GFP</w:t>
      </w:r>
      <w:proofErr w:type="gramStart"/>
      <w:r w:rsidRPr="0013327C">
        <w:rPr>
          <w:rFonts w:asciiTheme="majorHAnsi" w:hAnsiTheme="majorHAnsi"/>
        </w:rPr>
        <w:t>”  is</w:t>
      </w:r>
      <w:proofErr w:type="gramEnd"/>
      <w:r w:rsidRPr="0013327C">
        <w:rPr>
          <w:rFonts w:asciiTheme="majorHAnsi" w:hAnsiTheme="majorHAnsi"/>
        </w:rPr>
        <w:t xml:space="preserve"> where the GFP channel is configured. Exposure was automatically determined at </w:t>
      </w:r>
      <w:proofErr w:type="gramStart"/>
      <w:r w:rsidRPr="0013327C">
        <w:rPr>
          <w:rFonts w:asciiTheme="majorHAnsi" w:hAnsiTheme="majorHAnsi"/>
        </w:rPr>
        <w:t>300ms,</w:t>
      </w:r>
      <w:proofErr w:type="gramEnd"/>
      <w:r w:rsidRPr="0013327C">
        <w:rPr>
          <w:rFonts w:asciiTheme="majorHAnsi" w:hAnsiTheme="majorHAnsi"/>
        </w:rPr>
        <w:t xml:space="preserve"> the maximum intensity is preset at 4000 grey-levels. Laser offset was determined at 0.5µm above the autofocus z-plane.</w:t>
      </w:r>
    </w:p>
    <w:p w:rsidR="00147748" w:rsidRPr="0013327C" w:rsidRDefault="00147748" w:rsidP="00AE0264">
      <w:pPr>
        <w:jc w:val="both"/>
        <w:rPr>
          <w:rFonts w:asciiTheme="majorHAnsi" w:hAnsiTheme="majorHAnsi"/>
        </w:rPr>
      </w:pPr>
      <w:r w:rsidRPr="0013327C">
        <w:rPr>
          <w:rFonts w:asciiTheme="majorHAnsi" w:hAnsiTheme="majorHAnsi"/>
          <w:noProof/>
          <w:lang w:eastAsia="en-GB"/>
        </w:rPr>
        <w:drawing>
          <wp:inline distT="0" distB="0" distL="0" distR="0">
            <wp:extent cx="5419725" cy="2457450"/>
            <wp:effectExtent l="19050" t="0" r="9525" b="0"/>
            <wp:docPr id="24" name="Picture 24" descr="C:\Users\Denzil\AppData\Local\Microsoft\Windows\Temporary Internet Files\Content.Word\25 W2 DAP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nzil\AppData\Local\Microsoft\Windows\Temporary Internet Files\Content.Word\25 W2 DAPI.BMP"/>
                    <pic:cNvPicPr>
                      <a:picLocks noChangeAspect="1" noChangeArrowheads="1"/>
                    </pic:cNvPicPr>
                  </pic:nvPicPr>
                  <pic:blipFill>
                    <a:blip r:embed="rId33" cstate="print"/>
                    <a:srcRect/>
                    <a:stretch>
                      <a:fillRect/>
                    </a:stretch>
                  </pic:blipFill>
                  <pic:spPr bwMode="auto">
                    <a:xfrm>
                      <a:off x="0" y="0"/>
                      <a:ext cx="5419725" cy="2457450"/>
                    </a:xfrm>
                    <a:prstGeom prst="rect">
                      <a:avLst/>
                    </a:prstGeom>
                    <a:noFill/>
                    <a:ln w="9525">
                      <a:noFill/>
                      <a:miter lim="800000"/>
                      <a:headEnd/>
                      <a:tailEnd/>
                    </a:ln>
                  </pic:spPr>
                </pic:pic>
              </a:graphicData>
            </a:graphic>
          </wp:inline>
        </w:drawing>
      </w:r>
      <w:proofErr w:type="gramStart"/>
      <w:r w:rsidR="002042D7" w:rsidRPr="0013327C">
        <w:rPr>
          <w:rFonts w:asciiTheme="majorHAnsi" w:hAnsiTheme="majorHAnsi"/>
          <w:b/>
        </w:rPr>
        <w:t xml:space="preserve">Figure </w:t>
      </w:r>
      <w:r w:rsidR="00D62157" w:rsidRPr="0013327C">
        <w:rPr>
          <w:rFonts w:asciiTheme="majorHAnsi" w:hAnsiTheme="majorHAnsi"/>
          <w:b/>
        </w:rPr>
        <w:t>2</w:t>
      </w:r>
      <w:r w:rsidR="002042D7" w:rsidRPr="0013327C">
        <w:rPr>
          <w:rFonts w:asciiTheme="majorHAnsi" w:hAnsiTheme="majorHAnsi"/>
          <w:b/>
        </w:rPr>
        <w:t>.</w:t>
      </w:r>
      <w:r w:rsidR="00FC57CC">
        <w:rPr>
          <w:rFonts w:asciiTheme="majorHAnsi" w:hAnsiTheme="majorHAnsi"/>
          <w:b/>
        </w:rPr>
        <w:t>19</w:t>
      </w:r>
      <w:r w:rsidRPr="0013327C">
        <w:rPr>
          <w:rFonts w:asciiTheme="majorHAnsi" w:hAnsiTheme="majorHAnsi"/>
          <w:b/>
        </w:rPr>
        <w:t>.</w:t>
      </w:r>
      <w:proofErr w:type="gramEnd"/>
      <w:r w:rsidRPr="0013327C">
        <w:rPr>
          <w:rFonts w:asciiTheme="majorHAnsi" w:hAnsiTheme="majorHAnsi"/>
          <w:b/>
        </w:rPr>
        <w:t xml:space="preserve"> </w:t>
      </w:r>
      <w:proofErr w:type="gramStart"/>
      <w:r w:rsidR="002042D7" w:rsidRPr="0013327C">
        <w:rPr>
          <w:rFonts w:asciiTheme="majorHAnsi" w:hAnsiTheme="majorHAnsi"/>
          <w:b/>
        </w:rPr>
        <w:t xml:space="preserve">ImageXpress Wavelength 2 tab. </w:t>
      </w:r>
      <w:r w:rsidRPr="0013327C">
        <w:rPr>
          <w:rFonts w:asciiTheme="majorHAnsi" w:hAnsiTheme="majorHAnsi"/>
          <w:b/>
        </w:rPr>
        <w:t>“</w:t>
      </w:r>
      <w:r w:rsidRPr="0013327C">
        <w:rPr>
          <w:rFonts w:asciiTheme="majorHAnsi" w:hAnsiTheme="majorHAnsi"/>
        </w:rPr>
        <w:t>W2 DAPI” for nuclear imaging of Hoechst fluorescence.</w:t>
      </w:r>
      <w:proofErr w:type="gramEnd"/>
      <w:r w:rsidRPr="0013327C">
        <w:rPr>
          <w:rFonts w:asciiTheme="majorHAnsi" w:hAnsiTheme="majorHAnsi"/>
        </w:rPr>
        <w:t xml:space="preserve"> Exposure set at 112ms, maximum intensity set at 3000 and Z-offset from W1 at 0µm (0.5µm from laser autofocus).</w:t>
      </w:r>
    </w:p>
    <w:p w:rsidR="00147748" w:rsidRPr="0013327C" w:rsidRDefault="00147748" w:rsidP="00AE0264">
      <w:pPr>
        <w:jc w:val="both"/>
        <w:rPr>
          <w:rFonts w:asciiTheme="majorHAnsi" w:hAnsiTheme="majorHAnsi"/>
        </w:rPr>
      </w:pPr>
      <w:r w:rsidRPr="0013327C">
        <w:rPr>
          <w:rFonts w:asciiTheme="majorHAnsi" w:hAnsiTheme="majorHAnsi"/>
        </w:rPr>
        <w:t xml:space="preserve">Finally each plate is given “Post Acquisition” settings. “Auto Run” means that as each plate is completed and added to the database the analysis computers begin their journal-based segmentation of the images on that plate. Auto Run is used so that manual initiation of the analysis of each plate is </w:t>
      </w:r>
      <w:proofErr w:type="gramStart"/>
      <w:r w:rsidRPr="0013327C">
        <w:rPr>
          <w:rFonts w:asciiTheme="majorHAnsi" w:hAnsiTheme="majorHAnsi"/>
        </w:rPr>
        <w:t>avoided,</w:t>
      </w:r>
      <w:proofErr w:type="gramEnd"/>
      <w:r w:rsidRPr="0013327C">
        <w:rPr>
          <w:rFonts w:asciiTheme="majorHAnsi" w:hAnsiTheme="majorHAnsi"/>
        </w:rPr>
        <w:t xml:space="preserve"> saving time (photography of each plate is completed in 2-4hr intervals).</w:t>
      </w:r>
    </w:p>
    <w:p w:rsidR="00147748" w:rsidRPr="0013327C" w:rsidRDefault="00147748"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731510" cy="2376480"/>
            <wp:effectExtent l="19050" t="0" r="2540" b="0"/>
            <wp:docPr id="10" name="Picture 27" descr="C:\Users\Denzil\AppData\Local\Microsoft\Windows\Temporary Internet Files\Content.Word\28 Post Acquisi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nzil\AppData\Local\Microsoft\Windows\Temporary Internet Files\Content.Word\28 Post Acquisition.bmp"/>
                    <pic:cNvPicPr>
                      <a:picLocks noChangeAspect="1" noChangeArrowheads="1"/>
                    </pic:cNvPicPr>
                  </pic:nvPicPr>
                  <pic:blipFill>
                    <a:blip r:embed="rId34" cstate="print"/>
                    <a:srcRect/>
                    <a:stretch>
                      <a:fillRect/>
                    </a:stretch>
                  </pic:blipFill>
                  <pic:spPr bwMode="auto">
                    <a:xfrm>
                      <a:off x="0" y="0"/>
                      <a:ext cx="5731510" cy="2376480"/>
                    </a:xfrm>
                    <a:prstGeom prst="rect">
                      <a:avLst/>
                    </a:prstGeom>
                    <a:noFill/>
                    <a:ln w="9525">
                      <a:noFill/>
                      <a:miter lim="800000"/>
                      <a:headEnd/>
                      <a:tailEnd/>
                    </a:ln>
                  </pic:spPr>
                </pic:pic>
              </a:graphicData>
            </a:graphic>
          </wp:inline>
        </w:drawing>
      </w:r>
      <w:proofErr w:type="gramStart"/>
      <w:r w:rsidR="002042D7" w:rsidRPr="0013327C">
        <w:rPr>
          <w:rFonts w:asciiTheme="majorHAnsi" w:hAnsiTheme="majorHAnsi"/>
          <w:b/>
        </w:rPr>
        <w:t>Figure</w:t>
      </w:r>
      <w:r w:rsidR="00D62157" w:rsidRPr="0013327C">
        <w:rPr>
          <w:rFonts w:asciiTheme="majorHAnsi" w:hAnsiTheme="majorHAnsi"/>
          <w:b/>
        </w:rPr>
        <w:t xml:space="preserve"> 2</w:t>
      </w:r>
      <w:r w:rsidR="002042D7" w:rsidRPr="0013327C">
        <w:rPr>
          <w:rFonts w:asciiTheme="majorHAnsi" w:hAnsiTheme="majorHAnsi"/>
          <w:b/>
        </w:rPr>
        <w:t>.</w:t>
      </w:r>
      <w:r w:rsidR="00FC57CC">
        <w:rPr>
          <w:rFonts w:asciiTheme="majorHAnsi" w:hAnsiTheme="majorHAnsi"/>
          <w:b/>
        </w:rPr>
        <w:t>20</w:t>
      </w:r>
      <w:r w:rsidRPr="0013327C">
        <w:rPr>
          <w:rFonts w:asciiTheme="majorHAnsi" w:hAnsiTheme="majorHAnsi"/>
          <w:b/>
        </w:rPr>
        <w:t>.</w:t>
      </w:r>
      <w:proofErr w:type="gramEnd"/>
      <w:r w:rsidR="002042D7" w:rsidRPr="0013327C">
        <w:rPr>
          <w:rFonts w:asciiTheme="majorHAnsi" w:hAnsiTheme="majorHAnsi"/>
          <w:b/>
        </w:rPr>
        <w:t xml:space="preserve"> ImageXpress Post Acquisition tab.</w:t>
      </w:r>
      <w:r w:rsidRPr="0013327C">
        <w:rPr>
          <w:rFonts w:asciiTheme="majorHAnsi" w:hAnsiTheme="majorHAnsi"/>
        </w:rPr>
        <w:t xml:space="preserve"> “Post Acquisition” where the Journal “PeteJournal” was selected to run in Auto Run analysis mode.</w:t>
      </w:r>
    </w:p>
    <w:p w:rsidR="00147748" w:rsidRPr="0013327C" w:rsidRDefault="00147748" w:rsidP="00AE0264">
      <w:pPr>
        <w:pStyle w:val="Heading3"/>
        <w:ind w:left="862"/>
        <w:jc w:val="both"/>
      </w:pPr>
      <w:bookmarkStart w:id="81" w:name="_Toc348423333"/>
      <w:r w:rsidRPr="0013327C">
        <w:t>Editions to the image capture settings for Screen 2</w:t>
      </w:r>
      <w:bookmarkEnd w:id="81"/>
    </w:p>
    <w:p w:rsidR="00147748" w:rsidRPr="0013327C" w:rsidRDefault="00147748" w:rsidP="00AE0264">
      <w:pPr>
        <w:jc w:val="both"/>
        <w:rPr>
          <w:rFonts w:asciiTheme="majorHAnsi" w:hAnsiTheme="majorHAnsi"/>
        </w:rPr>
      </w:pPr>
      <w:r w:rsidRPr="0013327C">
        <w:rPr>
          <w:rFonts w:asciiTheme="majorHAnsi" w:hAnsiTheme="majorHAnsi"/>
        </w:rPr>
        <w:t xml:space="preserve">To increase the accuracy of the Transfluor application at counting the peroxisomes the microscope objective was increased in magnification from 20X to 40X. This is made possible by the even seeding of cells ubiquitously expressing eGFP. </w:t>
      </w:r>
      <w:r w:rsidR="00530BEB" w:rsidRPr="0013327C">
        <w:rPr>
          <w:rFonts w:asciiTheme="majorHAnsi" w:hAnsiTheme="majorHAnsi"/>
        </w:rPr>
        <w:t>The smaller</w:t>
      </w:r>
      <w:r w:rsidRPr="0013327C">
        <w:rPr>
          <w:rFonts w:asciiTheme="majorHAnsi" w:hAnsiTheme="majorHAnsi"/>
        </w:rPr>
        <w:t xml:space="preserve"> 40X image is able to capture enough cells to make robust statistical analyses. The change was made in the Plate Acquisition Setup menu. </w:t>
      </w:r>
    </w:p>
    <w:p w:rsidR="00147748" w:rsidRPr="0013327C" w:rsidRDefault="00147748" w:rsidP="00AE0264">
      <w:pPr>
        <w:jc w:val="both"/>
        <w:rPr>
          <w:rFonts w:asciiTheme="majorHAnsi" w:hAnsiTheme="majorHAnsi"/>
        </w:rPr>
      </w:pPr>
      <w:r w:rsidRPr="0013327C">
        <w:rPr>
          <w:rFonts w:asciiTheme="majorHAnsi" w:hAnsiTheme="majorHAnsi"/>
          <w:noProof/>
          <w:lang w:eastAsia="en-GB"/>
        </w:rPr>
        <w:drawing>
          <wp:inline distT="0" distB="0" distL="0" distR="0">
            <wp:extent cx="5486400" cy="1495425"/>
            <wp:effectExtent l="19050" t="0" r="0" b="0"/>
            <wp:docPr id="26" name="Picture 13" descr="C:\Users\Denzil\AppData\Local\Microsoft\Windows\Temporary Internet Files\Content.Word\3 Objective and Camer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nzil\AppData\Local\Microsoft\Windows\Temporary Internet Files\Content.Word\3 Objective and Camera.bmp"/>
                    <pic:cNvPicPr>
                      <a:picLocks noChangeAspect="1" noChangeArrowheads="1"/>
                    </pic:cNvPicPr>
                  </pic:nvPicPr>
                  <pic:blipFill>
                    <a:blip r:embed="rId35" cstate="print"/>
                    <a:srcRect/>
                    <a:stretch>
                      <a:fillRect/>
                    </a:stretch>
                  </pic:blipFill>
                  <pic:spPr bwMode="auto">
                    <a:xfrm>
                      <a:off x="0" y="0"/>
                      <a:ext cx="5486400" cy="1495425"/>
                    </a:xfrm>
                    <a:prstGeom prst="rect">
                      <a:avLst/>
                    </a:prstGeom>
                    <a:noFill/>
                    <a:ln w="9525">
                      <a:noFill/>
                      <a:miter lim="800000"/>
                      <a:headEnd/>
                      <a:tailEnd/>
                    </a:ln>
                  </pic:spPr>
                </pic:pic>
              </a:graphicData>
            </a:graphic>
          </wp:inline>
        </w:drawing>
      </w:r>
      <w:proofErr w:type="gramStart"/>
      <w:r w:rsidRPr="0013327C">
        <w:rPr>
          <w:rFonts w:asciiTheme="majorHAnsi" w:hAnsiTheme="majorHAnsi"/>
          <w:b/>
        </w:rPr>
        <w:t xml:space="preserve">Figure </w:t>
      </w:r>
      <w:r w:rsidR="00D62157" w:rsidRPr="0013327C">
        <w:rPr>
          <w:rFonts w:asciiTheme="majorHAnsi" w:hAnsiTheme="majorHAnsi"/>
          <w:b/>
        </w:rPr>
        <w:t>2</w:t>
      </w:r>
      <w:r w:rsidRPr="0013327C">
        <w:rPr>
          <w:rFonts w:asciiTheme="majorHAnsi" w:hAnsiTheme="majorHAnsi"/>
          <w:b/>
        </w:rPr>
        <w:t>.</w:t>
      </w:r>
      <w:r w:rsidR="00730137">
        <w:rPr>
          <w:rFonts w:asciiTheme="majorHAnsi" w:hAnsiTheme="majorHAnsi"/>
          <w:b/>
        </w:rPr>
        <w:t>21</w:t>
      </w:r>
      <w:r w:rsidRPr="0013327C">
        <w:rPr>
          <w:rFonts w:asciiTheme="majorHAnsi" w:hAnsiTheme="majorHAnsi"/>
          <w:b/>
        </w:rPr>
        <w:t>.</w:t>
      </w:r>
      <w:proofErr w:type="gramEnd"/>
      <w:r w:rsidRPr="0013327C">
        <w:rPr>
          <w:rFonts w:asciiTheme="majorHAnsi" w:hAnsiTheme="majorHAnsi"/>
        </w:rPr>
        <w:t xml:space="preserve"> </w:t>
      </w:r>
      <w:r w:rsidR="008D18E4" w:rsidRPr="00530BEB">
        <w:rPr>
          <w:rFonts w:asciiTheme="majorHAnsi" w:hAnsiTheme="majorHAnsi"/>
          <w:b/>
        </w:rPr>
        <w:t>40X Objective tab</w:t>
      </w:r>
      <w:r w:rsidR="008D18E4" w:rsidRPr="0013327C">
        <w:rPr>
          <w:rFonts w:asciiTheme="majorHAnsi" w:hAnsiTheme="majorHAnsi"/>
        </w:rPr>
        <w:t xml:space="preserve">. </w:t>
      </w:r>
      <w:r w:rsidRPr="0013327C">
        <w:rPr>
          <w:rFonts w:asciiTheme="majorHAnsi" w:hAnsiTheme="majorHAnsi"/>
        </w:rPr>
        <w:t>Magnification increased to 40X (NA 0.6, resolution 0.42µm) for the second screen in the Objective and Camera menu.</w:t>
      </w:r>
    </w:p>
    <w:p w:rsidR="00147748" w:rsidRPr="0013327C" w:rsidRDefault="00147748" w:rsidP="00AE0264">
      <w:pPr>
        <w:jc w:val="both"/>
        <w:rPr>
          <w:rFonts w:asciiTheme="majorHAnsi" w:hAnsiTheme="majorHAnsi"/>
        </w:rPr>
      </w:pPr>
      <w:r w:rsidRPr="0013327C">
        <w:rPr>
          <w:rFonts w:asciiTheme="majorHAnsi" w:hAnsiTheme="majorHAnsi"/>
        </w:rPr>
        <w:t>The area of the well that was photographed decreased from 10.4004mm</w:t>
      </w:r>
      <w:r w:rsidRPr="0013327C">
        <w:rPr>
          <w:rFonts w:asciiTheme="majorHAnsi" w:hAnsiTheme="majorHAnsi"/>
          <w:vertAlign w:val="superscript"/>
        </w:rPr>
        <w:t>2</w:t>
      </w:r>
      <w:r w:rsidRPr="0013327C">
        <w:rPr>
          <w:rFonts w:asciiTheme="majorHAnsi" w:hAnsiTheme="majorHAnsi"/>
        </w:rPr>
        <w:t xml:space="preserve"> to 2.51001mm</w:t>
      </w:r>
      <w:r w:rsidRPr="0013327C">
        <w:rPr>
          <w:rFonts w:asciiTheme="majorHAnsi" w:hAnsiTheme="majorHAnsi"/>
          <w:vertAlign w:val="superscript"/>
        </w:rPr>
        <w:t>2</w:t>
      </w:r>
      <w:r w:rsidRPr="0013327C">
        <w:rPr>
          <w:rFonts w:asciiTheme="majorHAnsi" w:hAnsiTheme="majorHAnsi"/>
        </w:rPr>
        <w:t xml:space="preserve">. A visual representation is given in Figure 3.2.5.2. </w:t>
      </w:r>
    </w:p>
    <w:p w:rsidR="00147748" w:rsidRPr="0013327C" w:rsidRDefault="00147748"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900181" cy="3143250"/>
            <wp:effectExtent l="19050" t="0" r="5319" b="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5903798" cy="3145177"/>
                    </a:xfrm>
                    <a:prstGeom prst="rect">
                      <a:avLst/>
                    </a:prstGeom>
                    <a:noFill/>
                  </pic:spPr>
                </pic:pic>
              </a:graphicData>
            </a:graphic>
          </wp:inline>
        </w:drawing>
      </w:r>
      <w:r w:rsidRPr="0013327C">
        <w:rPr>
          <w:rFonts w:asciiTheme="majorHAnsi" w:hAnsiTheme="majorHAnsi"/>
        </w:rPr>
        <w:t xml:space="preserve"> </w:t>
      </w:r>
      <w:proofErr w:type="gramStart"/>
      <w:r w:rsidR="00D62157" w:rsidRPr="0013327C">
        <w:rPr>
          <w:rFonts w:asciiTheme="majorHAnsi" w:hAnsiTheme="majorHAnsi"/>
          <w:b/>
        </w:rPr>
        <w:t>Figure 2</w:t>
      </w:r>
      <w:r w:rsidRPr="0013327C">
        <w:rPr>
          <w:rFonts w:asciiTheme="majorHAnsi" w:hAnsiTheme="majorHAnsi"/>
          <w:b/>
        </w:rPr>
        <w:t>.</w:t>
      </w:r>
      <w:r w:rsidR="00730137">
        <w:rPr>
          <w:rFonts w:asciiTheme="majorHAnsi" w:hAnsiTheme="majorHAnsi"/>
          <w:b/>
        </w:rPr>
        <w:t>22</w:t>
      </w:r>
      <w:r w:rsidRPr="0013327C">
        <w:rPr>
          <w:rFonts w:asciiTheme="majorHAnsi" w:hAnsiTheme="majorHAnsi"/>
          <w:b/>
        </w:rPr>
        <w:t>.</w:t>
      </w:r>
      <w:proofErr w:type="gramEnd"/>
      <w:r w:rsidRPr="0013327C">
        <w:rPr>
          <w:rFonts w:asciiTheme="majorHAnsi" w:hAnsiTheme="majorHAnsi"/>
          <w:b/>
        </w:rPr>
        <w:t xml:space="preserve"> </w:t>
      </w:r>
      <w:r w:rsidR="003A433D">
        <w:rPr>
          <w:rFonts w:asciiTheme="majorHAnsi" w:hAnsiTheme="majorHAnsi"/>
          <w:b/>
        </w:rPr>
        <w:t xml:space="preserve">ImageXpress </w:t>
      </w:r>
      <w:r w:rsidR="00D62157" w:rsidRPr="0013327C">
        <w:rPr>
          <w:rFonts w:asciiTheme="majorHAnsi" w:hAnsiTheme="majorHAnsi"/>
          <w:b/>
        </w:rPr>
        <w:t>2</w:t>
      </w:r>
      <w:r w:rsidR="00D62157" w:rsidRPr="0013327C">
        <w:rPr>
          <w:rFonts w:asciiTheme="majorHAnsi" w:hAnsiTheme="majorHAnsi"/>
          <w:b/>
          <w:vertAlign w:val="superscript"/>
        </w:rPr>
        <w:t>nd</w:t>
      </w:r>
      <w:r w:rsidR="00D62157" w:rsidRPr="0013327C">
        <w:rPr>
          <w:rFonts w:asciiTheme="majorHAnsi" w:hAnsiTheme="majorHAnsi"/>
          <w:b/>
        </w:rPr>
        <w:t xml:space="preserve"> Sites to Visit tab. </w:t>
      </w:r>
      <w:r w:rsidRPr="0013327C">
        <w:rPr>
          <w:rFonts w:asciiTheme="majorHAnsi" w:hAnsiTheme="majorHAnsi"/>
        </w:rPr>
        <w:t>The</w:t>
      </w:r>
      <w:r w:rsidRPr="0013327C">
        <w:rPr>
          <w:rFonts w:asciiTheme="majorHAnsi" w:hAnsiTheme="majorHAnsi"/>
          <w:b/>
        </w:rPr>
        <w:t xml:space="preserve"> </w:t>
      </w:r>
      <w:r w:rsidRPr="0013327C">
        <w:rPr>
          <w:rFonts w:asciiTheme="majorHAnsi" w:hAnsiTheme="majorHAnsi"/>
        </w:rPr>
        <w:t>Sites to Visit tab shows the 3x3 grid and its relative position in the centre of the well (left). Inset is the magnified site location (top right) and the one from the previous screen (bottom right).</w:t>
      </w:r>
    </w:p>
    <w:p w:rsidR="00147748" w:rsidRPr="0013327C" w:rsidRDefault="00147748" w:rsidP="00AE0264">
      <w:pPr>
        <w:jc w:val="both"/>
        <w:rPr>
          <w:rFonts w:asciiTheme="majorHAnsi" w:hAnsiTheme="majorHAnsi"/>
        </w:rPr>
      </w:pPr>
      <w:r w:rsidRPr="0013327C">
        <w:rPr>
          <w:rFonts w:asciiTheme="majorHAnsi" w:hAnsiTheme="majorHAnsi"/>
        </w:rPr>
        <w:t>The 40X objective has a thinner z-plane of focus than the 20X objective so the focusing offset needed fine-tuning for achieving the image with the optimal display of peroxisomes.</w:t>
      </w:r>
    </w:p>
    <w:p w:rsidR="00147748" w:rsidRPr="0013327C" w:rsidRDefault="00147748" w:rsidP="00AE0264">
      <w:pPr>
        <w:jc w:val="both"/>
        <w:rPr>
          <w:rFonts w:asciiTheme="majorHAnsi" w:hAnsiTheme="majorHAnsi"/>
        </w:rPr>
      </w:pPr>
      <w:r w:rsidRPr="0013327C">
        <w:rPr>
          <w:rFonts w:asciiTheme="majorHAnsi" w:hAnsiTheme="majorHAnsi"/>
          <w:noProof/>
          <w:lang w:eastAsia="en-GB"/>
        </w:rPr>
        <w:drawing>
          <wp:inline distT="0" distB="0" distL="0" distR="0">
            <wp:extent cx="4237355" cy="2072640"/>
            <wp:effectExtent l="1905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4237355" cy="2072640"/>
                    </a:xfrm>
                    <a:prstGeom prst="rect">
                      <a:avLst/>
                    </a:prstGeom>
                    <a:noFill/>
                  </pic:spPr>
                </pic:pic>
              </a:graphicData>
            </a:graphic>
          </wp:inline>
        </w:drawing>
      </w:r>
    </w:p>
    <w:p w:rsidR="00147748" w:rsidRPr="0013327C" w:rsidRDefault="00147748" w:rsidP="00AE0264">
      <w:pPr>
        <w:jc w:val="both"/>
        <w:rPr>
          <w:rFonts w:asciiTheme="majorHAnsi" w:hAnsiTheme="majorHAnsi"/>
        </w:rPr>
      </w:pPr>
      <w:proofErr w:type="gramStart"/>
      <w:r w:rsidRPr="0013327C">
        <w:rPr>
          <w:rFonts w:asciiTheme="majorHAnsi" w:hAnsiTheme="majorHAnsi"/>
          <w:b/>
        </w:rPr>
        <w:t>Figure</w:t>
      </w:r>
      <w:r w:rsidR="00D62157" w:rsidRPr="0013327C">
        <w:rPr>
          <w:rFonts w:asciiTheme="majorHAnsi" w:hAnsiTheme="majorHAnsi"/>
          <w:b/>
        </w:rPr>
        <w:t xml:space="preserve"> 2</w:t>
      </w:r>
      <w:r w:rsidRPr="0013327C">
        <w:rPr>
          <w:rFonts w:asciiTheme="majorHAnsi" w:hAnsiTheme="majorHAnsi"/>
          <w:b/>
        </w:rPr>
        <w:t>.</w:t>
      </w:r>
      <w:r w:rsidR="004500E7" w:rsidRPr="0013327C">
        <w:rPr>
          <w:rFonts w:asciiTheme="majorHAnsi" w:hAnsiTheme="majorHAnsi"/>
          <w:b/>
        </w:rPr>
        <w:t>2</w:t>
      </w:r>
      <w:r w:rsidR="00336CB9">
        <w:rPr>
          <w:rFonts w:asciiTheme="majorHAnsi" w:hAnsiTheme="majorHAnsi"/>
          <w:b/>
        </w:rPr>
        <w:t>3</w:t>
      </w:r>
      <w:r w:rsidRPr="0013327C">
        <w:rPr>
          <w:rFonts w:asciiTheme="majorHAnsi" w:hAnsiTheme="majorHAnsi"/>
          <w:b/>
        </w:rPr>
        <w:t>.</w:t>
      </w:r>
      <w:proofErr w:type="gramEnd"/>
      <w:r w:rsidRPr="0013327C">
        <w:rPr>
          <w:rFonts w:asciiTheme="majorHAnsi" w:hAnsiTheme="majorHAnsi"/>
          <w:b/>
        </w:rPr>
        <w:t xml:space="preserve"> </w:t>
      </w:r>
      <w:r w:rsidR="008D18E4" w:rsidRPr="0013327C">
        <w:rPr>
          <w:rFonts w:asciiTheme="majorHAnsi" w:hAnsiTheme="majorHAnsi"/>
          <w:b/>
        </w:rPr>
        <w:t xml:space="preserve">ImageXpress new wavelength settings tab. </w:t>
      </w:r>
      <w:r w:rsidRPr="0013327C">
        <w:rPr>
          <w:rFonts w:asciiTheme="majorHAnsi" w:hAnsiTheme="majorHAnsi"/>
        </w:rPr>
        <w:t xml:space="preserve">The settings </w:t>
      </w:r>
      <w:r w:rsidR="003E5973">
        <w:rPr>
          <w:rFonts w:asciiTheme="majorHAnsi" w:hAnsiTheme="majorHAnsi"/>
        </w:rPr>
        <w:t xml:space="preserve">are </w:t>
      </w:r>
      <w:r w:rsidRPr="0013327C">
        <w:rPr>
          <w:rFonts w:asciiTheme="majorHAnsi" w:hAnsiTheme="majorHAnsi"/>
        </w:rPr>
        <w:t xml:space="preserve">for </w:t>
      </w:r>
      <w:r w:rsidR="003E5973" w:rsidRPr="0013327C">
        <w:rPr>
          <w:rFonts w:asciiTheme="majorHAnsi" w:hAnsiTheme="majorHAnsi"/>
        </w:rPr>
        <w:t>GFP (</w:t>
      </w:r>
      <w:r w:rsidRPr="0013327C">
        <w:rPr>
          <w:rFonts w:asciiTheme="majorHAnsi" w:hAnsiTheme="majorHAnsi"/>
        </w:rPr>
        <w:t>top</w:t>
      </w:r>
      <w:r w:rsidR="003E5973" w:rsidRPr="0013327C">
        <w:rPr>
          <w:rFonts w:asciiTheme="majorHAnsi" w:hAnsiTheme="majorHAnsi"/>
        </w:rPr>
        <w:t>) and</w:t>
      </w:r>
      <w:r w:rsidRPr="0013327C">
        <w:rPr>
          <w:rFonts w:asciiTheme="majorHAnsi" w:hAnsiTheme="majorHAnsi"/>
        </w:rPr>
        <w:t xml:space="preserve"> DAPI (bottom). GFP offset 4 microns above the laser </w:t>
      </w:r>
      <w:r w:rsidR="003E5973" w:rsidRPr="0013327C">
        <w:rPr>
          <w:rFonts w:asciiTheme="majorHAnsi" w:hAnsiTheme="majorHAnsi"/>
        </w:rPr>
        <w:t>autofocus;</w:t>
      </w:r>
      <w:r w:rsidRPr="0013327C">
        <w:rPr>
          <w:rFonts w:asciiTheme="majorHAnsi" w:hAnsiTheme="majorHAnsi"/>
        </w:rPr>
        <w:t xml:space="preserve"> DAPI set 0.5 microns beneath GFP.</w:t>
      </w:r>
    </w:p>
    <w:p w:rsidR="00147748" w:rsidRPr="0013327C" w:rsidRDefault="00147748" w:rsidP="00AE0264">
      <w:pPr>
        <w:pStyle w:val="Heading3"/>
        <w:ind w:left="862"/>
        <w:jc w:val="both"/>
      </w:pPr>
      <w:bookmarkStart w:id="82" w:name="_Toc348423334"/>
      <w:proofErr w:type="gramStart"/>
      <w:r w:rsidRPr="0013327C">
        <w:lastRenderedPageBreak/>
        <w:t>Numerical interpretation of images by METAXpress and statistical determination of results.</w:t>
      </w:r>
      <w:bookmarkEnd w:id="82"/>
      <w:proofErr w:type="gramEnd"/>
    </w:p>
    <w:p w:rsidR="00147748" w:rsidRPr="0013327C" w:rsidRDefault="00147748" w:rsidP="00AE0264">
      <w:pPr>
        <w:jc w:val="both"/>
        <w:rPr>
          <w:rFonts w:asciiTheme="majorHAnsi" w:hAnsiTheme="majorHAnsi"/>
        </w:rPr>
      </w:pPr>
      <w:r w:rsidRPr="0013327C">
        <w:rPr>
          <w:rFonts w:asciiTheme="majorHAnsi" w:hAnsiTheme="majorHAnsi"/>
        </w:rPr>
        <w:t>Chapters 3, 4 and 5 detail the processes required for the procurement of numerical data from the images captured in the three different screening experiments. Chapters 4 and 5 describe statistical analysis software that interprets this data.</w:t>
      </w:r>
    </w:p>
    <w:p w:rsidR="008D18E4" w:rsidRPr="0013327C" w:rsidRDefault="008D18E4" w:rsidP="00AE0264">
      <w:pPr>
        <w:jc w:val="both"/>
        <w:rPr>
          <w:rFonts w:asciiTheme="majorHAnsi" w:hAnsiTheme="majorHAnsi"/>
        </w:rPr>
      </w:pPr>
    </w:p>
    <w:p w:rsidR="008D18E4" w:rsidRPr="0013327C" w:rsidRDefault="008D18E4" w:rsidP="00AE0264">
      <w:pPr>
        <w:jc w:val="both"/>
        <w:rPr>
          <w:rFonts w:asciiTheme="majorHAnsi" w:hAnsiTheme="majorHAnsi"/>
        </w:rPr>
      </w:pPr>
    </w:p>
    <w:p w:rsidR="008D18E4" w:rsidRPr="0013327C" w:rsidRDefault="008D18E4" w:rsidP="00AE0264">
      <w:pPr>
        <w:jc w:val="both"/>
        <w:rPr>
          <w:rFonts w:asciiTheme="majorHAnsi" w:hAnsiTheme="majorHAnsi"/>
        </w:rPr>
      </w:pPr>
    </w:p>
    <w:p w:rsidR="008D18E4" w:rsidRPr="0013327C" w:rsidRDefault="008D18E4" w:rsidP="00AE0264">
      <w:pPr>
        <w:jc w:val="both"/>
        <w:rPr>
          <w:rFonts w:asciiTheme="majorHAnsi" w:hAnsiTheme="majorHAnsi"/>
        </w:rPr>
      </w:pPr>
    </w:p>
    <w:p w:rsidR="008D18E4" w:rsidRPr="0013327C" w:rsidRDefault="008D18E4" w:rsidP="00AE0264">
      <w:pPr>
        <w:jc w:val="both"/>
        <w:rPr>
          <w:rFonts w:asciiTheme="majorHAnsi" w:hAnsiTheme="majorHAnsi"/>
        </w:rPr>
      </w:pPr>
    </w:p>
    <w:p w:rsidR="008D18E4" w:rsidRPr="0013327C" w:rsidRDefault="008D18E4" w:rsidP="00AE0264">
      <w:pPr>
        <w:jc w:val="both"/>
        <w:rPr>
          <w:rFonts w:asciiTheme="majorHAnsi" w:hAnsiTheme="majorHAnsi"/>
        </w:rPr>
      </w:pPr>
    </w:p>
    <w:p w:rsidR="008D18E4" w:rsidRPr="0013327C" w:rsidRDefault="008D18E4" w:rsidP="00AE0264">
      <w:pPr>
        <w:jc w:val="both"/>
        <w:rPr>
          <w:rFonts w:asciiTheme="majorHAnsi" w:hAnsiTheme="majorHAnsi"/>
        </w:rPr>
      </w:pPr>
    </w:p>
    <w:p w:rsidR="008D18E4" w:rsidRPr="0013327C" w:rsidRDefault="008D18E4" w:rsidP="00AE0264">
      <w:pPr>
        <w:jc w:val="both"/>
        <w:rPr>
          <w:rFonts w:asciiTheme="majorHAnsi" w:hAnsiTheme="majorHAnsi"/>
        </w:rPr>
      </w:pPr>
    </w:p>
    <w:p w:rsidR="008D18E4" w:rsidRDefault="008D18E4" w:rsidP="00AE0264">
      <w:pPr>
        <w:jc w:val="both"/>
        <w:rPr>
          <w:rFonts w:asciiTheme="majorHAnsi" w:hAnsiTheme="majorHAnsi"/>
        </w:rPr>
      </w:pPr>
    </w:p>
    <w:p w:rsidR="00AD3BD2" w:rsidRDefault="00AD3BD2" w:rsidP="00AE0264">
      <w:pPr>
        <w:jc w:val="both"/>
        <w:rPr>
          <w:rFonts w:asciiTheme="majorHAnsi" w:hAnsiTheme="majorHAnsi"/>
        </w:rPr>
      </w:pPr>
    </w:p>
    <w:p w:rsidR="00AD3BD2" w:rsidRDefault="00AD3BD2" w:rsidP="00AE0264">
      <w:pPr>
        <w:jc w:val="both"/>
        <w:rPr>
          <w:rFonts w:asciiTheme="majorHAnsi" w:hAnsiTheme="majorHAnsi"/>
        </w:rPr>
      </w:pPr>
    </w:p>
    <w:p w:rsidR="00AD3BD2" w:rsidRDefault="00AD3BD2" w:rsidP="00AE0264">
      <w:pPr>
        <w:jc w:val="both"/>
        <w:rPr>
          <w:rFonts w:asciiTheme="majorHAnsi" w:hAnsiTheme="majorHAnsi"/>
        </w:rPr>
      </w:pPr>
    </w:p>
    <w:p w:rsidR="00AD3BD2" w:rsidRDefault="00AD3BD2" w:rsidP="00AE0264">
      <w:pPr>
        <w:jc w:val="both"/>
        <w:rPr>
          <w:rFonts w:asciiTheme="majorHAnsi" w:hAnsiTheme="majorHAnsi"/>
        </w:rPr>
      </w:pPr>
    </w:p>
    <w:p w:rsidR="00AD3BD2" w:rsidRDefault="00AD3BD2" w:rsidP="00AE0264">
      <w:pPr>
        <w:jc w:val="both"/>
        <w:rPr>
          <w:rFonts w:asciiTheme="majorHAnsi" w:hAnsiTheme="majorHAnsi"/>
        </w:rPr>
      </w:pPr>
    </w:p>
    <w:p w:rsidR="00AD3BD2" w:rsidRDefault="00AD3BD2" w:rsidP="00AE0264">
      <w:pPr>
        <w:jc w:val="both"/>
        <w:rPr>
          <w:rFonts w:asciiTheme="majorHAnsi" w:hAnsiTheme="majorHAnsi"/>
        </w:rPr>
      </w:pPr>
    </w:p>
    <w:p w:rsidR="00AD3BD2" w:rsidRDefault="00AD3BD2" w:rsidP="00AE0264">
      <w:pPr>
        <w:jc w:val="both"/>
        <w:rPr>
          <w:rFonts w:asciiTheme="majorHAnsi" w:hAnsiTheme="majorHAnsi"/>
        </w:rPr>
      </w:pPr>
    </w:p>
    <w:p w:rsidR="00AD3BD2" w:rsidRPr="0013327C" w:rsidRDefault="00AD3BD2" w:rsidP="00AE0264">
      <w:pPr>
        <w:jc w:val="both"/>
        <w:rPr>
          <w:rFonts w:asciiTheme="majorHAnsi" w:hAnsiTheme="majorHAnsi"/>
        </w:rPr>
      </w:pPr>
    </w:p>
    <w:p w:rsidR="00597427" w:rsidRPr="0013327C" w:rsidRDefault="00597427" w:rsidP="00AE0264">
      <w:pPr>
        <w:pStyle w:val="Heading1"/>
        <w:jc w:val="both"/>
      </w:pPr>
      <w:bookmarkStart w:id="83" w:name="_Toc348423335"/>
      <w:r w:rsidRPr="0013327C">
        <w:lastRenderedPageBreak/>
        <w:t>Assay Development</w:t>
      </w:r>
      <w:bookmarkEnd w:id="83"/>
    </w:p>
    <w:p w:rsidR="00597427" w:rsidRPr="0013327C" w:rsidRDefault="00597427" w:rsidP="00AE0264">
      <w:pPr>
        <w:pStyle w:val="Heading2"/>
        <w:jc w:val="both"/>
        <w:rPr>
          <w:i/>
        </w:rPr>
      </w:pPr>
      <w:bookmarkStart w:id="84" w:name="_Toc348423336"/>
      <w:r w:rsidRPr="0013327C">
        <w:t>Abstract</w:t>
      </w:r>
      <w:bookmarkEnd w:id="84"/>
      <w:r w:rsidRPr="0013327C">
        <w:t xml:space="preserve"> </w:t>
      </w:r>
    </w:p>
    <w:p w:rsidR="00597427" w:rsidRPr="0013327C" w:rsidRDefault="00597427" w:rsidP="00AE0264">
      <w:pPr>
        <w:jc w:val="both"/>
        <w:rPr>
          <w:rFonts w:asciiTheme="majorHAnsi" w:hAnsiTheme="majorHAnsi"/>
        </w:rPr>
      </w:pPr>
      <w:r w:rsidRPr="0013327C">
        <w:rPr>
          <w:rFonts w:asciiTheme="majorHAnsi" w:hAnsiTheme="majorHAnsi"/>
        </w:rPr>
        <w:t xml:space="preserve">The aim of this chapter is to produce an unbiased genome-wide screen to identify novel genes involved in peroxisome biogenesis, multiplication and distribution. Most </w:t>
      </w:r>
      <w:r w:rsidR="000C26B2" w:rsidRPr="000C26B2">
        <w:rPr>
          <w:rFonts w:asciiTheme="majorHAnsi" w:hAnsiTheme="majorHAnsi"/>
          <w:i/>
        </w:rPr>
        <w:t>PEX</w:t>
      </w:r>
      <w:r w:rsidRPr="0013327C">
        <w:rPr>
          <w:rFonts w:asciiTheme="majorHAnsi" w:hAnsiTheme="majorHAnsi"/>
        </w:rPr>
        <w:t xml:space="preserve"> genes have been identified by genetic screens in fungi and most of the proteins required for peroxisome protein import are conserved between yeast and humans. However there </w:t>
      </w:r>
      <w:proofErr w:type="gramStart"/>
      <w:r w:rsidRPr="0013327C">
        <w:rPr>
          <w:rFonts w:asciiTheme="majorHAnsi" w:hAnsiTheme="majorHAnsi"/>
        </w:rPr>
        <w:t>is</w:t>
      </w:r>
      <w:proofErr w:type="gramEnd"/>
      <w:r w:rsidRPr="0013327C">
        <w:rPr>
          <w:rFonts w:asciiTheme="majorHAnsi" w:hAnsiTheme="majorHAnsi"/>
        </w:rPr>
        <w:t xml:space="preserve"> a large number of </w:t>
      </w:r>
      <w:r w:rsidR="000C26B2" w:rsidRPr="000C26B2">
        <w:rPr>
          <w:rFonts w:asciiTheme="majorHAnsi" w:hAnsiTheme="majorHAnsi"/>
          <w:i/>
        </w:rPr>
        <w:t>PEX</w:t>
      </w:r>
      <w:r w:rsidRPr="0013327C">
        <w:rPr>
          <w:rFonts w:asciiTheme="majorHAnsi" w:hAnsiTheme="majorHAnsi"/>
        </w:rPr>
        <w:t xml:space="preserve"> genes that have no metazoan equivalent. This latter group is important for peroxisome abundance. There may therefore be an animal specific set that regulates number. It was decided to develop an assay capable of identifying genes required for peroxisome biogenesis and regulation of abundance in animal cells. In general the machineries for membrane trafficking, organelle multiplication and protein targeting are more complex in animal cells and so we expect that there may be additional proteins required for these processes in animal cells. Based on these considerations a quantitative and qualitative assay was designed in </w:t>
      </w:r>
      <w:r w:rsidRPr="0013327C">
        <w:rPr>
          <w:rFonts w:asciiTheme="majorHAnsi" w:hAnsiTheme="majorHAnsi"/>
          <w:i/>
        </w:rPr>
        <w:t xml:space="preserve">D. melanogaster </w:t>
      </w:r>
      <w:r w:rsidRPr="0013327C">
        <w:rPr>
          <w:rFonts w:asciiTheme="majorHAnsi" w:hAnsiTheme="majorHAnsi"/>
        </w:rPr>
        <w:t xml:space="preserve">S2R+ cells. The assay development is described in detail separate from the more standard protocols previously described in the methods. Since we were the first high-throughput microscopy-based screen at the Sheffield RNAi Screening Facility (SRSF), additional parameters were needed for optimisation compared to the luminometry-based assays already routinely performed at the facility. The optimisation of these new parameters is described in this chapter followed by the analysis of the first genome-wide RNAi screen for peroxins in animal cells. From the preliminary analysis from this screen it became apparent that novel </w:t>
      </w:r>
      <w:r w:rsidR="000C26B2" w:rsidRPr="000C26B2">
        <w:rPr>
          <w:rFonts w:asciiTheme="majorHAnsi" w:hAnsiTheme="majorHAnsi"/>
          <w:i/>
        </w:rPr>
        <w:t>PEX</w:t>
      </w:r>
      <w:r w:rsidRPr="0013327C">
        <w:rPr>
          <w:rFonts w:asciiTheme="majorHAnsi" w:hAnsiTheme="majorHAnsi"/>
        </w:rPr>
        <w:t xml:space="preserve"> genes were identified but further optimisation was required in order to obtain improved statistically significant data. This improved assay for a second screen is discussed in Chapter 4.</w:t>
      </w:r>
    </w:p>
    <w:p w:rsidR="00597427" w:rsidRPr="0013327C" w:rsidRDefault="00597427" w:rsidP="00AE0264">
      <w:pPr>
        <w:pStyle w:val="Heading2"/>
        <w:jc w:val="both"/>
      </w:pPr>
      <w:bookmarkStart w:id="85" w:name="_Toc348423337"/>
      <w:r w:rsidRPr="0013327C">
        <w:t>Hypothesis and methodology rationale</w:t>
      </w:r>
      <w:bookmarkEnd w:id="85"/>
    </w:p>
    <w:p w:rsidR="00597427" w:rsidRPr="0013327C" w:rsidRDefault="00597427" w:rsidP="00AE0264">
      <w:pPr>
        <w:jc w:val="both"/>
        <w:rPr>
          <w:rFonts w:asciiTheme="majorHAnsi" w:hAnsiTheme="majorHAnsi"/>
        </w:rPr>
      </w:pPr>
      <w:r w:rsidRPr="0013327C">
        <w:rPr>
          <w:rFonts w:asciiTheme="majorHAnsi" w:hAnsiTheme="majorHAnsi"/>
        </w:rPr>
        <w:t xml:space="preserve">Genetic screens in yeast have identified many peroxins, some of which can be recognised in animal genomes, some of which cannot. In order to identify animal peroxins we have decided to use </w:t>
      </w:r>
      <w:r w:rsidRPr="0013327C">
        <w:rPr>
          <w:rFonts w:asciiTheme="majorHAnsi" w:hAnsiTheme="majorHAnsi"/>
          <w:i/>
        </w:rPr>
        <w:t>D. melanogaster</w:t>
      </w:r>
      <w:r w:rsidRPr="0013327C">
        <w:rPr>
          <w:rFonts w:asciiTheme="majorHAnsi" w:hAnsiTheme="majorHAnsi"/>
        </w:rPr>
        <w:t xml:space="preserve"> as our model system as it has a relatively small genome (15,000 genes), cell-lines are readily available. The latter allows for single assays to be developed to study peroxisome formation and multiplication. Furthermore, an unbiased systematic screening of the whole genome for peroxins is possible and relatively cheap. The Sheffield RNAi Screening Facility (SRSF) is ideally situated within the neighbouring department of Biomedical Sciences </w:t>
      </w:r>
      <w:r w:rsidRPr="0013327C">
        <w:rPr>
          <w:rFonts w:asciiTheme="majorHAnsi" w:hAnsiTheme="majorHAnsi"/>
        </w:rPr>
        <w:lastRenderedPageBreak/>
        <w:t xml:space="preserve">(BMS). Another major advantage of the drosophila gene families is that while being more numerous than that of yeasts they are much less expanded than those of humans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"Stenmark", "given" : "Harald", "non-dropping-particle" : "", "parse-names" : false, "suffix" : "" }, { "dropping-particle" : "", "family" : "Olkkonen", "given" : "Vesa M", "non-dropping-particle" : "", "parse-names" : false, "suffix" : "" } ], "container-title" : "Genome Biology", "id" : "ITEM-1", "issue" : "5", "issued" : { "date-parts" : [ [ "2001" ] ] }, "page" : "1-7", "title" : "Protein family review The Rab GTPase family", "type" : "article-journal", "volume" : "2" }, "uris" : [ "http://www.mendeley.com/documents/?uuid=1bea7a30-9336-4243-80a0-65d38bab6abc" ] } ], "mendeley" : { "previouslyFormattedCitation" : "(Stenmark &amp; Olkkonen 2001)"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(Stenmark &amp; Olkkonen 2001)</w:t>
      </w:r>
      <w:r w:rsidR="009A1FEC" w:rsidRPr="0013327C">
        <w:rPr>
          <w:rFonts w:asciiTheme="majorHAnsi" w:hAnsiTheme="majorHAnsi"/>
        </w:rPr>
        <w:fldChar w:fldCharType="end"/>
      </w:r>
      <w:r w:rsidRPr="0013327C">
        <w:rPr>
          <w:rFonts w:asciiTheme="majorHAnsi" w:hAnsiTheme="majorHAnsi"/>
        </w:rPr>
        <w:t xml:space="preserve">. </w:t>
      </w:r>
    </w:p>
    <w:p w:rsidR="00597427" w:rsidRPr="0013327C" w:rsidRDefault="00597427" w:rsidP="00AE0264">
      <w:pPr>
        <w:jc w:val="both"/>
        <w:rPr>
          <w:rFonts w:asciiTheme="majorHAnsi" w:hAnsiTheme="majorHAnsi"/>
        </w:rPr>
      </w:pPr>
      <w:r w:rsidRPr="0013327C">
        <w:rPr>
          <w:rFonts w:asciiTheme="majorHAnsi" w:hAnsiTheme="majorHAnsi"/>
        </w:rPr>
        <w:t xml:space="preserve">Recent technological advances in methodologies of RNAi and high-throughput screening mean that performing a genome-wide RNAi screen in </w:t>
      </w:r>
      <w:r w:rsidRPr="0013327C">
        <w:rPr>
          <w:rFonts w:asciiTheme="majorHAnsi" w:hAnsiTheme="majorHAnsi"/>
          <w:i/>
        </w:rPr>
        <w:t>D. melanogaster</w:t>
      </w:r>
      <w:r w:rsidRPr="0013327C">
        <w:rPr>
          <w:rFonts w:asciiTheme="majorHAnsi" w:hAnsiTheme="majorHAnsi"/>
        </w:rPr>
        <w:t xml:space="preserve"> is not only practical but relatively simple. Drosophila will have less redundancy between genes within a gene family thus facilitating loss of function with the silencing of individual genes. Soluble dsRNA can elicit loss-of-function knockdowns on </w:t>
      </w:r>
      <w:r w:rsidRPr="0013327C">
        <w:rPr>
          <w:rFonts w:asciiTheme="majorHAnsi" w:hAnsiTheme="majorHAnsi"/>
          <w:i/>
        </w:rPr>
        <w:t xml:space="preserve">D. melanogaster </w:t>
      </w:r>
      <w:r w:rsidRPr="0013327C">
        <w:rPr>
          <w:rFonts w:asciiTheme="majorHAnsi" w:hAnsiTheme="majorHAnsi"/>
        </w:rPr>
        <w:t xml:space="preserve">cells simply by adding it to the growth medium in the absence of serum which allows its uptake. Compare this with the more arduous protocol of achieving the same effect in mammalian cells where each individual siRNA needs to be transfected into the cells. Using </w:t>
      </w:r>
      <w:r w:rsidRPr="0013327C">
        <w:rPr>
          <w:rFonts w:asciiTheme="majorHAnsi" w:hAnsiTheme="majorHAnsi"/>
          <w:i/>
        </w:rPr>
        <w:t>Drosophila</w:t>
      </w:r>
      <w:r w:rsidRPr="0013327C">
        <w:rPr>
          <w:rFonts w:asciiTheme="majorHAnsi" w:hAnsiTheme="majorHAnsi"/>
        </w:rPr>
        <w:t xml:space="preserve"> allows the high-throughput batch knockdowns of each individual gene in the genome for a small sample of cells. This is achieved through the use of 384-well microtitre plates pre-seeded with highly specific “long dsRNA” polynucleotides (henceforth referred to as probes) in each well and high-throughput liquid handling apparatus used to seed cells in serum-free medium that facilitates dsRNA uptake. It is therefore possible to individually knockdown each </w:t>
      </w:r>
      <w:r w:rsidR="002A210E" w:rsidRPr="0013327C">
        <w:rPr>
          <w:rFonts w:asciiTheme="majorHAnsi" w:hAnsiTheme="majorHAnsi"/>
          <w:i/>
        </w:rPr>
        <w:t>D. melanogaster</w:t>
      </w:r>
      <w:r w:rsidRPr="0013327C">
        <w:rPr>
          <w:rFonts w:asciiTheme="majorHAnsi" w:hAnsiTheme="majorHAnsi"/>
          <w:i/>
        </w:rPr>
        <w:t xml:space="preserve"> </w:t>
      </w:r>
      <w:r w:rsidRPr="0013327C">
        <w:rPr>
          <w:rFonts w:asciiTheme="majorHAnsi" w:hAnsiTheme="majorHAnsi"/>
        </w:rPr>
        <w:t>gene in hundreds of cells at a time. With the aid of automated microscopy images of a fluorescent reporter are taken of a sample of each of these knockdowns. Image analysis software then generates numerical data which is subsequently statistically analysed. The vast majority of each of the genes will not affect the phenotype under investigation. Gene knockdowns that affect the phenotype in an extreme way can be confirmed in the numerical data and re-screened in a smaller, custom-defined microtitre-plate in the same way as the pan-genomic screen. Once confirmed that particular knockdowns are causing a deviation in visual phenotype a detailed study can then be conducted to investigate further the function of the genes’ products.</w:t>
      </w:r>
    </w:p>
    <w:p w:rsidR="00597427" w:rsidRPr="0013327C" w:rsidRDefault="00597427" w:rsidP="00AE0264">
      <w:pPr>
        <w:pStyle w:val="Heading2"/>
        <w:jc w:val="both"/>
      </w:pPr>
      <w:bookmarkStart w:id="86" w:name="_Toc348423338"/>
      <w:proofErr w:type="gramStart"/>
      <w:r w:rsidRPr="0013327C">
        <w:t xml:space="preserve">A bioinformatic search to identify and compile putative </w:t>
      </w:r>
      <w:r w:rsidR="000C26B2" w:rsidRPr="000C26B2">
        <w:rPr>
          <w:i/>
        </w:rPr>
        <w:t>PEX</w:t>
      </w:r>
      <w:r w:rsidRPr="0013327C">
        <w:t xml:space="preserve"> genes.</w:t>
      </w:r>
      <w:bookmarkEnd w:id="86"/>
      <w:proofErr w:type="gramEnd"/>
    </w:p>
    <w:p w:rsidR="00597427" w:rsidRPr="00E63FE0" w:rsidRDefault="00597427" w:rsidP="00AE0264">
      <w:pPr>
        <w:jc w:val="both"/>
        <w:rPr>
          <w:rFonts w:asciiTheme="majorHAnsi" w:hAnsiTheme="majorHAnsi"/>
          <w:lang w:val="nl-NL"/>
        </w:rPr>
      </w:pPr>
      <w:r w:rsidRPr="0013327C">
        <w:rPr>
          <w:rFonts w:asciiTheme="majorHAnsi" w:hAnsiTheme="majorHAnsi"/>
        </w:rPr>
        <w:t xml:space="preserve">In order to identify putative </w:t>
      </w:r>
      <w:r w:rsidRPr="0013327C">
        <w:rPr>
          <w:rFonts w:asciiTheme="majorHAnsi" w:hAnsiTheme="majorHAnsi"/>
          <w:i/>
        </w:rPr>
        <w:t>Drosophila</w:t>
      </w:r>
      <w:r w:rsidRPr="0013327C">
        <w:rPr>
          <w:rFonts w:asciiTheme="majorHAnsi" w:hAnsiTheme="majorHAnsi"/>
        </w:rPr>
        <w:t xml:space="preserve"> peroxins based on sequence homology with known human and yeast peroxins BLAST searches combined with literature searches were </w:t>
      </w:r>
      <w:r w:rsidR="00AD7EF2" w:rsidRPr="0013327C">
        <w:rPr>
          <w:rFonts w:asciiTheme="majorHAnsi" w:hAnsiTheme="majorHAnsi"/>
        </w:rPr>
        <w:t>performed</w:t>
      </w:r>
      <w:r w:rsidRPr="0013327C">
        <w:rPr>
          <w:rFonts w:asciiTheme="majorHAnsi" w:hAnsiTheme="majorHAnsi"/>
        </w:rPr>
        <w:t xml:space="preserve"> and compiled (see table </w:t>
      </w:r>
      <w:r w:rsidR="008F1DD9">
        <w:rPr>
          <w:rFonts w:asciiTheme="majorHAnsi" w:hAnsiTheme="majorHAnsi"/>
        </w:rPr>
        <w:t>1.3</w:t>
      </w:r>
      <w:r w:rsidRPr="0013327C">
        <w:rPr>
          <w:rFonts w:asciiTheme="majorHAnsi" w:hAnsiTheme="majorHAnsi"/>
        </w:rPr>
        <w:t xml:space="preserve">). During the course of this study this list was partially, functionally confirmed </w:t>
      </w:r>
      <w:r w:rsidR="009A1FEC" w:rsidRPr="0013327C">
        <w:rPr>
          <w:rFonts w:asciiTheme="majorHAnsi" w:hAnsiTheme="majorHAnsi"/>
        </w:rPr>
        <w:fldChar w:fldCharType="begin" w:fldLock="1"/>
      </w:r>
      <w:r w:rsidR="00D72F07">
        <w:rPr>
          <w:rFonts w:asciiTheme="majorHAnsi" w:hAnsiTheme="majorHAnsi"/>
        </w:rPr>
        <w:instrText xml:space="preserve">ADDIN CSL_CITATION { "citationItems" : [ { "id" : "ITEM-1", "itemData" : { "DOI" : "10.1242/dmm.007419", "abstract" : "Human peroxisome biogenesis disorders are lethal genetic diseases in which abnormal peroxisome assembly compromises overall peroxisome and cellular function. Peroxisomes are ubiquitous membrane-bound organelles involved in several important biochemical processes, notably lipid metabolism and the use of reactive oxygen species for detoxification. Using cultured cells, we systematically characterized the peroxisome assembly phenotypes associated with dsRNA-mediated knockdown of 14 predicted Drosophila homologs of PEX genes (encoding peroxins; required for peroxisome assembly and linked to peroxisome biogenesis disorders), and confirmed that at least 13 of them are required for normal peroxisome assembly. We also demonstrate the relevance of Drosophila as a genetic model for the early developmental defects associated with the human peroxisome biogenesis disorders. Mutation of the PEX1 gene is the most common cause of peroxisome biogenesis disorders and is one of the causes of the most severe form of the disease, Zellweger syndrome. Inherited mutations in Drosophila Pex1 correlate with reproducible defects during early development. Notably, Pex1 mutant larvae exhibit abnormalities that are analogous to those exhibited by Zellweger syndrome patients, including developmental delay, poor feeding, severe structural abnormalities in the peripheral and central nervous systems, and early death. Finally, microarray analysis defined several clusters of genes whose expression varied significantly between wild-type and mutant larvae, implicating peroxisomal function in neuronal development, innate immunity, lipid </w:instrText>
      </w:r>
      <w:r w:rsidR="00D72F07" w:rsidRPr="00D93535">
        <w:rPr>
          <w:rFonts w:asciiTheme="majorHAnsi" w:hAnsiTheme="majorHAnsi"/>
        </w:rPr>
        <w:instrText>and protein metabolism, gamete formation, and meiosis.", "author" : [ { "dropping-particle" : "", "family" : "Mast", "given" : "Fred D", "non-dropping-particle" : "", "parse-names" : false, "suffix" : "" }, { "dropping-particle" : "", "family" : "Li", "given" : "Jing", "non-dropping-particle" : "", "parse-names" : false, "suffix" : "" }, { "dropping-particle" : "", "family" : "Virk", "given" : "Maninder K", "non-dropping-particle" : "", "parse-names" : false, "suffix" : "" }, { "dropping-particle" : "", "family" : "Hughes", "given" : "Sarah C", "non-dropping-particle" : "", "parse-names" : false, "suffix" : "" }, { "dropping-particle" : "", "family" : "Simmonds", "given" : "Andrew J", "non-dropping-particle" : "", "parse-names" : false, "suffix" : "" }, { "dropping-particle" : "", "family" : "Rachubinski", "given" : "Richard a", "non-dropping-particle" : "", "parse-names" : false, "suffix" : "" } ], "container-title" : "Disease models &amp; mechanisms", "id</w:instrText>
      </w:r>
      <w:r w:rsidR="00D72F07" w:rsidRPr="00D72F07">
        <w:rPr>
          <w:rFonts w:asciiTheme="majorHAnsi" w:hAnsiTheme="majorHAnsi"/>
          <w:lang w:val="nl-NL"/>
        </w:rPr>
        <w:instrText>" : "ITEM-1", "issue" : "5", "issued" : { "date-parts" : [ [ "2011" ] ] }, "page" : "659-72", "title" : "A Drosophila model for the Zellweger spectrum of peroxisome biogenesis disorders.", "type" : "article-journal", "volume" : "4" }, "uris" : [ "http://www.mendeley.com/documents/?uuid=c63bc7d3-659e-4c6f-8bf7-053794159ba2" ] } ], "mendeley" : { "previouslyFormattedCitation" : "(Mast et al. 2011)" }, "properties" : { "noteIndex" : 0 }, "schema" : "https://github.com/citation-style-language/schema/raw/master/csl-citation.json" }</w:instrText>
      </w:r>
      <w:r w:rsidR="009A1FEC" w:rsidRPr="0013327C">
        <w:rPr>
          <w:rFonts w:asciiTheme="majorHAnsi" w:hAnsiTheme="majorHAnsi"/>
        </w:rPr>
        <w:fldChar w:fldCharType="separate"/>
      </w:r>
      <w:r w:rsidR="00D72F07" w:rsidRPr="00D72F07">
        <w:rPr>
          <w:rFonts w:asciiTheme="majorHAnsi" w:hAnsiTheme="majorHAnsi"/>
          <w:noProof/>
          <w:lang w:val="nl-NL"/>
        </w:rPr>
        <w:t>(Mast et al. 2011)</w:t>
      </w:r>
      <w:r w:rsidR="009A1FEC" w:rsidRPr="0013327C">
        <w:rPr>
          <w:rFonts w:asciiTheme="majorHAnsi" w:hAnsiTheme="majorHAnsi"/>
        </w:rPr>
        <w:fldChar w:fldCharType="end"/>
      </w:r>
      <w:r w:rsidR="008F1DD9" w:rsidRPr="00903AF6">
        <w:rPr>
          <w:rFonts w:asciiTheme="majorHAnsi" w:hAnsiTheme="majorHAnsi"/>
          <w:lang w:val="nl-NL"/>
        </w:rPr>
        <w:t xml:space="preserve">; </w:t>
      </w:r>
      <w:r w:rsidR="009A1FEC" w:rsidRPr="0013327C">
        <w:rPr>
          <w:rFonts w:asciiTheme="majorHAnsi" w:hAnsiTheme="majorHAnsi"/>
        </w:rPr>
        <w:fldChar w:fldCharType="begin" w:fldLock="1"/>
      </w:r>
      <w:r w:rsidR="00D72F07">
        <w:rPr>
          <w:rFonts w:asciiTheme="majorHAnsi" w:hAnsiTheme="majorHAnsi"/>
          <w:lang w:val="nl-NL"/>
        </w:rPr>
        <w:instrText>ADDIN CSL_CITATION { "citationItems" : [ { "id" : "ITEM-1", "itemData" : { "DOI" : "10.1093/hmg/ddp518", "abstract" : "Peroxisomes are vital eukaryotic organelles that participate in lipid metabolism, in particular the metabolism of very-long-chain fatty acids (VLCFA). The biogenesis of peroxisomes is regulated by a set of peroxin proteins (PEX). In humans, mutations affecting peroxin protein production or function result in devastating diseases classified as peroxisome biogenesis disorders (PBD). The way in which peroxisomal dysfunction leads to the pathophysiological consequences of PBD is not well understood. Here we report that Drosophila pex mutants faithfully recapitulate several key features of human PBD, including impaired peroxisomal protein import, elevated VLCFA levels and growth retardation. Moreover, disruption of pex function results in spermatogenesis defects, including spermatocyte cytokinesis failure in Drosophila. Importantly, increased VLCFA levels enhance these spermatogenesis defects whereas reduced VLCFA levels alleviate them. Thus, regulation of proper VLCFA levels by pex genes is crucial for spermatogenesis. Together our study reveals an indispensable function of pex genes during spermatogenesis and provides a causative link between the phenotypic severity of pex mutants and VLCFA levels.", "author" : [ { "dropping-particle" : "", "family" : "Chen", "given" : "Haiyang", "non-dropping-particle" : "", "parse-names" : false, "suffix" : "" }, { "dropping-particle" : "", "family" : "Liu", "given" : "Zhonghua", "non-dropping-particle" : "", "parse-names" : false, "suffix" : "" }, { "dropping-particle" : "", "family" : "Huang", "given" : "Xun", "non-dropping-particle" : "", "parse-names" : false, "suffix" : "" } ], "container-title" : "Human molecular genetics", "id" : "ITEM-1", "issue" : "3", "issued" : { "date-parts" : [ [ "2010", "2", "1" ] ] }, "page" : "494-505", "title" : "Drosophila models of peroxisomal biogenesis disorder: peroxins are required for spermatogenesis and very-long-chain fatty acid metabolism.", "type" : "article-journal", "volume" : "19" }, "uris" : [ "http://www.mendeley.com/documents/?uuid=cd4e6b58-dcb0-4c15-8596-3a45ccdd9504" ] } ], "mendeley" : { "manualFormatting" : "Chen, Liu &amp; Huang 2010)", "previouslyFormattedCitation" : "(Chen, Liu &amp; Huang 2010)" }, "properties" : { "noteIndex" : 0 }, "schema" : "https://github.com/citation-style-language/schema/raw/master/csl-citation.json" }</w:instrText>
      </w:r>
      <w:r w:rsidR="009A1FEC" w:rsidRPr="0013327C">
        <w:rPr>
          <w:rFonts w:asciiTheme="majorHAnsi" w:hAnsiTheme="majorHAnsi"/>
        </w:rPr>
        <w:fldChar w:fldCharType="separate"/>
      </w:r>
      <w:r w:rsidRPr="00E63FE0">
        <w:rPr>
          <w:rFonts w:asciiTheme="majorHAnsi" w:hAnsiTheme="majorHAnsi"/>
          <w:noProof/>
          <w:lang w:val="nl-NL"/>
        </w:rPr>
        <w:t>Chen, Liu &amp; Huang 2010)</w:t>
      </w:r>
      <w:r w:rsidR="009A1FEC" w:rsidRPr="0013327C">
        <w:rPr>
          <w:rFonts w:asciiTheme="majorHAnsi" w:hAnsiTheme="majorHAnsi"/>
        </w:rPr>
        <w:fldChar w:fldCharType="end"/>
      </w:r>
      <w:r w:rsidRPr="00E63FE0">
        <w:rPr>
          <w:rFonts w:asciiTheme="majorHAnsi" w:hAnsiTheme="majorHAnsi"/>
          <w:lang w:val="nl-NL"/>
        </w:rPr>
        <w:t>.</w:t>
      </w:r>
    </w:p>
    <w:p w:rsidR="00597427" w:rsidRPr="0013327C" w:rsidRDefault="00597427" w:rsidP="00AE0264">
      <w:pPr>
        <w:jc w:val="both"/>
        <w:rPr>
          <w:rFonts w:asciiTheme="majorHAnsi" w:hAnsiTheme="majorHAnsi"/>
        </w:rPr>
      </w:pPr>
      <w:r w:rsidRPr="00D93535">
        <w:rPr>
          <w:rFonts w:asciiTheme="majorHAnsi" w:hAnsiTheme="majorHAnsi"/>
        </w:rPr>
        <w:t xml:space="preserve">The Homophila database was used as a starting point to compile the list of </w:t>
      </w:r>
      <w:r w:rsidR="000C26B2" w:rsidRPr="00D93535">
        <w:rPr>
          <w:rFonts w:asciiTheme="majorHAnsi" w:hAnsiTheme="majorHAnsi"/>
          <w:i/>
        </w:rPr>
        <w:t>PEX</w:t>
      </w:r>
      <w:r w:rsidRPr="00D93535">
        <w:rPr>
          <w:rFonts w:asciiTheme="majorHAnsi" w:hAnsiTheme="majorHAnsi"/>
        </w:rPr>
        <w:t xml:space="preserve"> genes and proteins associated with peroxisomal biogenesis and multiplication. </w:t>
      </w:r>
      <w:r w:rsidRPr="0013327C">
        <w:rPr>
          <w:rFonts w:asciiTheme="majorHAnsi" w:hAnsiTheme="majorHAnsi"/>
        </w:rPr>
        <w:t xml:space="preserve">To improve </w:t>
      </w:r>
      <w:r w:rsidRPr="0013327C">
        <w:rPr>
          <w:rFonts w:asciiTheme="majorHAnsi" w:hAnsiTheme="majorHAnsi"/>
        </w:rPr>
        <w:lastRenderedPageBreak/>
        <w:t>on the list a bioinformatic search was performed using the Saccharomyces Genomic Database (http://www.yeastgenome.org) and the National Centre for Biotechnology Information (http://www.ncbi.nlm.nih.gov). I performed searches for specific peroxins and proteins involved in peroxisome multiplication and inheritance, plus the terms “peroxisome” and “</w:t>
      </w:r>
      <w:r w:rsidR="000C26B2" w:rsidRPr="000C26B2">
        <w:rPr>
          <w:rFonts w:asciiTheme="majorHAnsi" w:hAnsiTheme="majorHAnsi"/>
          <w:i/>
        </w:rPr>
        <w:t>PEX</w:t>
      </w:r>
      <w:r w:rsidRPr="0013327C">
        <w:rPr>
          <w:rFonts w:asciiTheme="majorHAnsi" w:hAnsiTheme="majorHAnsi"/>
        </w:rPr>
        <w:t xml:space="preserve">” to find associated genes. </w:t>
      </w:r>
      <w:r w:rsidR="00AD7EF2" w:rsidRPr="0013327C">
        <w:rPr>
          <w:rFonts w:asciiTheme="majorHAnsi" w:hAnsiTheme="majorHAnsi"/>
        </w:rPr>
        <w:t xml:space="preserve">Homologene was used where applicable as many </w:t>
      </w:r>
      <w:r w:rsidR="00AD7EF2" w:rsidRPr="0013327C">
        <w:rPr>
          <w:rFonts w:asciiTheme="majorHAnsi" w:hAnsiTheme="majorHAnsi"/>
          <w:i/>
        </w:rPr>
        <w:t>D.</w:t>
      </w:r>
      <w:r w:rsidR="00AD7EF2" w:rsidRPr="0013327C">
        <w:rPr>
          <w:rFonts w:asciiTheme="majorHAnsi" w:hAnsiTheme="majorHAnsi"/>
        </w:rPr>
        <w:t xml:space="preserve"> </w:t>
      </w:r>
      <w:r w:rsidR="00AD7EF2" w:rsidRPr="0013327C">
        <w:rPr>
          <w:rFonts w:asciiTheme="majorHAnsi" w:hAnsiTheme="majorHAnsi"/>
          <w:i/>
        </w:rPr>
        <w:t xml:space="preserve">melanogaster </w:t>
      </w:r>
      <w:r w:rsidR="00AD7EF2" w:rsidRPr="0013327C">
        <w:rPr>
          <w:rFonts w:asciiTheme="majorHAnsi" w:hAnsiTheme="majorHAnsi"/>
        </w:rPr>
        <w:t>peroxins are still referred to by their CG references (</w:t>
      </w:r>
      <w:r w:rsidR="00AD7EF2" w:rsidRPr="0013327C">
        <w:rPr>
          <w:rFonts w:asciiTheme="majorHAnsi" w:hAnsiTheme="majorHAnsi"/>
          <w:i/>
        </w:rPr>
        <w:t>e.g.</w:t>
      </w:r>
      <w:r w:rsidR="00AD7EF2" w:rsidRPr="0013327C">
        <w:rPr>
          <w:rFonts w:asciiTheme="majorHAnsi" w:hAnsiTheme="majorHAnsi"/>
        </w:rPr>
        <w:t xml:space="preserve"> </w:t>
      </w:r>
      <w:r w:rsidR="00AD7EF2" w:rsidRPr="000C26B2">
        <w:rPr>
          <w:rFonts w:asciiTheme="majorHAnsi" w:hAnsiTheme="majorHAnsi"/>
          <w:i/>
        </w:rPr>
        <w:t>PEX</w:t>
      </w:r>
      <w:r w:rsidR="00AD7EF2" w:rsidRPr="0013327C">
        <w:rPr>
          <w:rFonts w:asciiTheme="majorHAnsi" w:hAnsiTheme="majorHAnsi"/>
        </w:rPr>
        <w:t xml:space="preserve">1 as CG6760) but still not named after their </w:t>
      </w:r>
      <w:r w:rsidR="00AD7EF2">
        <w:rPr>
          <w:rFonts w:asciiTheme="majorHAnsi" w:hAnsiTheme="majorHAnsi"/>
        </w:rPr>
        <w:t xml:space="preserve">respective </w:t>
      </w:r>
      <w:r w:rsidR="00AD7EF2" w:rsidRPr="0013327C">
        <w:rPr>
          <w:rFonts w:asciiTheme="majorHAnsi" w:hAnsiTheme="majorHAnsi"/>
        </w:rPr>
        <w:t xml:space="preserve">peroxin’s orthologue and BLASTP to try and find proteins highly homologous to those yeast peroxins without a known orthologue. </w:t>
      </w:r>
      <w:r w:rsidRPr="0013327C">
        <w:rPr>
          <w:rFonts w:asciiTheme="majorHAnsi" w:hAnsiTheme="majorHAnsi"/>
        </w:rPr>
        <w:t xml:space="preserve">This would add suspected homologous candidates to a list of known orthologues. A summary of these searches is given in table 3.3.1. </w:t>
      </w:r>
    </w:p>
    <w:p w:rsidR="00597427" w:rsidRPr="0013327C" w:rsidRDefault="00597427" w:rsidP="00AE0264">
      <w:pPr>
        <w:jc w:val="both"/>
        <w:rPr>
          <w:rFonts w:asciiTheme="majorHAnsi" w:hAnsiTheme="majorHAnsi"/>
        </w:rPr>
      </w:pPr>
      <w:r w:rsidRPr="0013327C">
        <w:rPr>
          <w:rFonts w:asciiTheme="majorHAnsi" w:hAnsiTheme="majorHAnsi"/>
        </w:rPr>
        <w:t xml:space="preserve">Some organisms lack the PTS2 pathway yet </w:t>
      </w:r>
      <w:r w:rsidRPr="0013327C">
        <w:rPr>
          <w:rFonts w:asciiTheme="majorHAnsi" w:hAnsiTheme="majorHAnsi"/>
          <w:i/>
        </w:rPr>
        <w:t>D. melanogaster</w:t>
      </w:r>
      <w:r w:rsidRPr="0013327C">
        <w:rPr>
          <w:rFonts w:asciiTheme="majorHAnsi" w:hAnsiTheme="majorHAnsi"/>
        </w:rPr>
        <w:t xml:space="preserve"> contains a putative PTS2 receptor in the form of a </w:t>
      </w:r>
      <w:r w:rsidR="000C26B2" w:rsidRPr="000C26B2">
        <w:rPr>
          <w:rFonts w:asciiTheme="majorHAnsi" w:hAnsiTheme="majorHAnsi"/>
          <w:i/>
        </w:rPr>
        <w:t>PEX</w:t>
      </w:r>
      <w:r w:rsidRPr="0013327C">
        <w:rPr>
          <w:rFonts w:asciiTheme="majorHAnsi" w:hAnsiTheme="majorHAnsi"/>
        </w:rPr>
        <w:t>7 sequence homologue (CG6486). However when we performed a pattern match search (pir.georgetown.edu/pirwww/search/pattern.shtml) for the PTS2 consensus sequence (R/K</w:t>
      </w:r>
      <w:proofErr w:type="gramStart"/>
      <w:r w:rsidRPr="0013327C">
        <w:rPr>
          <w:rFonts w:asciiTheme="majorHAnsi" w:hAnsiTheme="majorHAnsi"/>
        </w:rPr>
        <w:t>)(</w:t>
      </w:r>
      <w:proofErr w:type="gramEnd"/>
      <w:r w:rsidRPr="0013327C">
        <w:rPr>
          <w:rFonts w:asciiTheme="majorHAnsi" w:hAnsiTheme="majorHAnsi"/>
        </w:rPr>
        <w:t>L/V/I)X</w:t>
      </w:r>
      <w:r w:rsidRPr="0013327C">
        <w:rPr>
          <w:rFonts w:asciiTheme="majorHAnsi" w:hAnsiTheme="majorHAnsi"/>
          <w:vertAlign w:val="superscript"/>
        </w:rPr>
        <w:t>5</w:t>
      </w:r>
      <w:r w:rsidRPr="0013327C">
        <w:rPr>
          <w:rFonts w:asciiTheme="majorHAnsi" w:hAnsiTheme="majorHAnsi"/>
        </w:rPr>
        <w:t xml:space="preserve">(H/Q)(L/A) in </w:t>
      </w:r>
      <w:r w:rsidR="00AD7EF2" w:rsidRPr="0013327C">
        <w:rPr>
          <w:rFonts w:asciiTheme="majorHAnsi" w:hAnsiTheme="majorHAnsi"/>
          <w:i/>
        </w:rPr>
        <w:t>D. melanogaster</w:t>
      </w:r>
      <w:r w:rsidRPr="0013327C">
        <w:rPr>
          <w:rFonts w:asciiTheme="majorHAnsi" w:hAnsiTheme="majorHAnsi"/>
          <w:i/>
        </w:rPr>
        <w:t xml:space="preserve"> </w:t>
      </w:r>
      <w:r w:rsidRPr="0013327C">
        <w:rPr>
          <w:rFonts w:asciiTheme="majorHAnsi" w:hAnsiTheme="majorHAnsi"/>
        </w:rPr>
        <w:t xml:space="preserve">4 matches were returned (CG12869, CG33467, CG2457 and CG5092). The position of each of the identified sequences were however too distant  from their respective N-terminus to be considered a typical PTS2 motif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"Rachubinski", "given" : "Richard A", "non-dropping-particle" : "", "parse-names" : false, "suffix" : "" }, { "dropping-particle" : "", "family" : "Subramani", "given" : "Suresh", "non-dropping-particle" : "", "parse-names" : false, "suffix" : "" } ], "container-title" : "Cell", "id" : "ITEM-1", "issued" : { "date-parts" : [ [ "1995" ] ] }, "page" : "525-528", "title" : "How Proteins Penetrate Peroxisomes Minireview", "type" : "article-journal", "volume" : "83" }, "uris" : [ "http://www.mendeley.com/documents/?uuid=021f0a72-3279-4e63-8ae2-0938ea497885" ] } ], "mendeley" : { "manualFormatting" : "(R. A. Rachubinski &amp; S. Subramani, 1995)", "previouslyFormattedCitation" : "(Rachubinski &amp; Subramani 1995)"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(R. A. Rachubinski &amp; S. Subramani, 1995)</w:t>
      </w:r>
      <w:r w:rsidR="009A1FEC" w:rsidRPr="0013327C">
        <w:rPr>
          <w:rFonts w:asciiTheme="majorHAnsi" w:hAnsiTheme="majorHAnsi"/>
        </w:rPr>
        <w:fldChar w:fldCharType="end"/>
      </w:r>
      <w:r w:rsidRPr="0013327C">
        <w:rPr>
          <w:rFonts w:asciiTheme="majorHAnsi" w:hAnsiTheme="majorHAnsi"/>
        </w:rPr>
        <w:t xml:space="preserve">. Although not conclusive, this preliminary bioinformatic analysis shows the PTS2 to be either a minor pathway or may even be absent. Research by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"10.1111/j.1600-0854.2012.01393.x", "abstract" : "Peroxisomes are ubiquitous organelles housing a variety of essential biochemical pathways. Peroxisome dysfunction causes a spectrum of human diseases known as peroxisome biogenesis disorders (PBD). Although much is known regarding the mechanism of peroxisome biogenesis, it is still unclear how peroxisome dysfunction leads to the disease state. Several recent studies have shown that mutations in Drosophila peroxin genes cause phenotypes similar to those seen in humans with PBDs suggesting that Drosophila might be a useful system to model PBDs. We have analyzed the proteome of Drosophila to identify the proteins involved in peroxisomal biogenesis and homeostasis as well as metabolic enzymes that function within the organelle. The subcellular localization of five of these predicted peroxisomal proteins was confirmed. Similar to Caenorhabditis elegans, Drosophila appears to only utilize the peroxisome targeting signal type 1 system for matrix protein import. This work will further our understanding of peroxisomes in Drosophila and add to the usefulness of this emerging model system.", "author" : [ { "dropping-particle" : "", "family" : "Faust", "given" : "Joseph E", "non-dropping-particle" : "", "parse-names" : false, "suffix" : "" }, { "dropping-particle" : "", "family" : "Verma", "given" : "Avani", "non-dropping-particle" : "", "parse-names" : false, "suffix" : "" }, { "dropping-particle" : "", "family" : "Peng", "given" : "Chengwei", "non-dropping-particle" : "", "parse-names" : false, "suffix" : "" }, { "dropping-particle" : "", "family" : "McNew", "given" : "James a", "non-dropping-particle" : "", "parse-names" : false, "suffix" : "" } ], "container-title" : "Traffic (Copenhagen, Denmark)", "id" : "ITEM-1", "issue" : "10", "issued" : { "date-parts" : [ [ "2012", "7", "3" ] ] }, "page" : "1378-92", "title" : "An Inventory of Peroxisomal Proteins and Pathways in Drosophila melanogaster.", "type" : "article-journal", "volume" : "13" }, "uris" : [ "http://www.mendeley.com/documents/?uuid=b70c11e7-a69f-420e-8ee1-35fcdb8d0a7e" ] } ], "mendeley" : { "manualFormatting" : "Faust et al. (2012)", "previouslyFormattedCitation" : "(Faust et al. 2012)"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Faust </w:t>
      </w:r>
      <w:r w:rsidR="00466108" w:rsidRPr="00466108">
        <w:rPr>
          <w:rFonts w:asciiTheme="majorHAnsi" w:hAnsiTheme="majorHAnsi"/>
          <w:i/>
          <w:noProof/>
        </w:rPr>
        <w:t>et al</w:t>
      </w:r>
      <w:r w:rsidRPr="0013327C">
        <w:rPr>
          <w:rFonts w:asciiTheme="majorHAnsi" w:hAnsiTheme="majorHAnsi"/>
          <w:noProof/>
        </w:rPr>
        <w:t xml:space="preserve">. </w:t>
      </w:r>
      <w:r w:rsidR="00466108">
        <w:rPr>
          <w:rFonts w:asciiTheme="majorHAnsi" w:hAnsiTheme="majorHAnsi"/>
          <w:noProof/>
        </w:rPr>
        <w:t>(</w:t>
      </w:r>
      <w:r w:rsidRPr="0013327C">
        <w:rPr>
          <w:rFonts w:asciiTheme="majorHAnsi" w:hAnsiTheme="majorHAnsi"/>
          <w:noProof/>
        </w:rPr>
        <w:t>2012)</w:t>
      </w:r>
      <w:r w:rsidR="009A1FEC" w:rsidRPr="0013327C">
        <w:rPr>
          <w:rFonts w:asciiTheme="majorHAnsi" w:hAnsiTheme="majorHAnsi"/>
        </w:rPr>
        <w:fldChar w:fldCharType="end"/>
      </w:r>
      <w:r w:rsidRPr="0013327C">
        <w:rPr>
          <w:rFonts w:asciiTheme="majorHAnsi" w:hAnsiTheme="majorHAnsi"/>
        </w:rPr>
        <w:t xml:space="preserve"> demonstrates that the canonical PTS2 sequence of thiolase from </w:t>
      </w:r>
      <w:r w:rsidRPr="0013327C">
        <w:rPr>
          <w:rFonts w:asciiTheme="majorHAnsi" w:hAnsiTheme="majorHAnsi"/>
          <w:i/>
        </w:rPr>
        <w:t>Rattus nor</w:t>
      </w:r>
      <w:r w:rsidR="00B828F8">
        <w:rPr>
          <w:rFonts w:asciiTheme="majorHAnsi" w:hAnsiTheme="majorHAnsi"/>
          <w:i/>
        </w:rPr>
        <w:t>v</w:t>
      </w:r>
      <w:r w:rsidRPr="0013327C">
        <w:rPr>
          <w:rFonts w:asciiTheme="majorHAnsi" w:hAnsiTheme="majorHAnsi"/>
          <w:i/>
        </w:rPr>
        <w:t>egicus</w:t>
      </w:r>
      <w:r w:rsidRPr="0013327C">
        <w:rPr>
          <w:rFonts w:asciiTheme="majorHAnsi" w:hAnsiTheme="majorHAnsi"/>
        </w:rPr>
        <w:t xml:space="preserve"> localises the fluorophore mCherry to the peroxisomes in COS7 cells (C</w:t>
      </w:r>
      <w:r w:rsidRPr="0013327C">
        <w:rPr>
          <w:rFonts w:asciiTheme="majorHAnsi" w:hAnsiTheme="majorHAnsi"/>
          <w:i/>
        </w:rPr>
        <w:t>hlorocebus sabaeus</w:t>
      </w:r>
      <w:r w:rsidRPr="0013327C">
        <w:rPr>
          <w:rFonts w:asciiTheme="majorHAnsi" w:hAnsiTheme="majorHAnsi"/>
        </w:rPr>
        <w:t xml:space="preserve"> – green monkey) but to the cytosol in S2 cells. If a PTS2-mediated pathway is present then the targeting sequence is likely to be different from the consensus.</w:t>
      </w:r>
    </w:p>
    <w:p w:rsidR="00597427" w:rsidRPr="0013327C" w:rsidRDefault="00597427" w:rsidP="00AE0264">
      <w:pPr>
        <w:jc w:val="both"/>
        <w:rPr>
          <w:rFonts w:asciiTheme="majorHAnsi" w:hAnsiTheme="majorHAnsi"/>
        </w:rPr>
      </w:pPr>
      <w:r w:rsidRPr="0013327C">
        <w:rPr>
          <w:rFonts w:asciiTheme="majorHAnsi" w:hAnsiTheme="majorHAnsi"/>
        </w:rPr>
        <w:t xml:space="preserve">The </w:t>
      </w:r>
      <w:r w:rsidRPr="0013327C">
        <w:rPr>
          <w:rFonts w:asciiTheme="majorHAnsi" w:hAnsiTheme="majorHAnsi"/>
          <w:i/>
        </w:rPr>
        <w:t>Drosophila</w:t>
      </w:r>
      <w:r w:rsidRPr="0013327C">
        <w:rPr>
          <w:rFonts w:asciiTheme="majorHAnsi" w:hAnsiTheme="majorHAnsi"/>
        </w:rPr>
        <w:t xml:space="preserve"> genome encodes the </w:t>
      </w:r>
      <w:r w:rsidR="00B828F8">
        <w:rPr>
          <w:rFonts w:asciiTheme="majorHAnsi" w:hAnsiTheme="majorHAnsi"/>
        </w:rPr>
        <w:t xml:space="preserve">many of the </w:t>
      </w:r>
      <w:r w:rsidRPr="0013327C">
        <w:rPr>
          <w:rFonts w:asciiTheme="majorHAnsi" w:hAnsiTheme="majorHAnsi"/>
        </w:rPr>
        <w:t>evolutionarily conserved peroxins required for peroxisome biogenesis and matrix protein import via the PTS1 pathway.</w:t>
      </w:r>
    </w:p>
    <w:p w:rsidR="00597427" w:rsidRPr="0013327C" w:rsidRDefault="00597427" w:rsidP="00AE0264">
      <w:pPr>
        <w:pStyle w:val="Heading2"/>
        <w:jc w:val="both"/>
      </w:pPr>
      <w:bookmarkStart w:id="87" w:name="_Toc348423339"/>
      <w:r w:rsidRPr="0013327C">
        <w:t>Parameters for optimisation</w:t>
      </w:r>
      <w:bookmarkEnd w:id="87"/>
    </w:p>
    <w:p w:rsidR="00597427" w:rsidRPr="0013327C" w:rsidRDefault="00597427" w:rsidP="00AE0264">
      <w:pPr>
        <w:jc w:val="both"/>
        <w:rPr>
          <w:rFonts w:asciiTheme="majorHAnsi" w:hAnsiTheme="majorHAnsi"/>
        </w:rPr>
      </w:pPr>
      <w:r w:rsidRPr="0013327C">
        <w:rPr>
          <w:rFonts w:asciiTheme="majorHAnsi" w:hAnsiTheme="majorHAnsi"/>
        </w:rPr>
        <w:t>Cells defective in any of the processes of peroxisome formation, distribution or peroxisome protein import can be identified by analysis of the fluorescent pattern produced in cells expressing a fluorescent protein containing a PTS1. The parameters that require optimisation will be described in the course of this chapter. Those parameters are:</w:t>
      </w:r>
    </w:p>
    <w:p w:rsidR="00597427" w:rsidRPr="0013327C" w:rsidRDefault="00597427" w:rsidP="00AE0264">
      <w:pPr>
        <w:pStyle w:val="ListParagraph"/>
        <w:numPr>
          <w:ilvl w:val="0"/>
          <w:numId w:val="6"/>
        </w:numPr>
        <w:jc w:val="both"/>
        <w:rPr>
          <w:rFonts w:asciiTheme="majorHAnsi" w:hAnsiTheme="majorHAnsi"/>
        </w:rPr>
      </w:pPr>
      <w:r w:rsidRPr="0013327C">
        <w:rPr>
          <w:rFonts w:asciiTheme="majorHAnsi" w:hAnsiTheme="majorHAnsi"/>
        </w:rPr>
        <w:t>The type of peroxisomal marker; matrix or membrane</w:t>
      </w:r>
    </w:p>
    <w:p w:rsidR="00597427" w:rsidRPr="0013327C" w:rsidRDefault="00597427" w:rsidP="00AE0264">
      <w:pPr>
        <w:pStyle w:val="ListParagraph"/>
        <w:numPr>
          <w:ilvl w:val="0"/>
          <w:numId w:val="6"/>
        </w:numPr>
        <w:jc w:val="both"/>
        <w:rPr>
          <w:rFonts w:asciiTheme="majorHAnsi" w:hAnsiTheme="majorHAnsi"/>
        </w:rPr>
      </w:pPr>
      <w:r w:rsidRPr="0013327C">
        <w:rPr>
          <w:rFonts w:asciiTheme="majorHAnsi" w:hAnsiTheme="majorHAnsi"/>
        </w:rPr>
        <w:lastRenderedPageBreak/>
        <w:t>The type of cell line</w:t>
      </w:r>
    </w:p>
    <w:p w:rsidR="00597427" w:rsidRPr="0013327C" w:rsidRDefault="00597427" w:rsidP="00AE0264">
      <w:pPr>
        <w:pStyle w:val="ListParagraph"/>
        <w:numPr>
          <w:ilvl w:val="0"/>
          <w:numId w:val="6"/>
        </w:numPr>
        <w:jc w:val="both"/>
        <w:rPr>
          <w:rFonts w:asciiTheme="majorHAnsi" w:hAnsiTheme="majorHAnsi"/>
        </w:rPr>
      </w:pPr>
      <w:r w:rsidRPr="0013327C">
        <w:rPr>
          <w:rFonts w:asciiTheme="majorHAnsi" w:hAnsiTheme="majorHAnsi"/>
        </w:rPr>
        <w:t>The choice of constitutive or inducible expression</w:t>
      </w:r>
    </w:p>
    <w:p w:rsidR="00597427" w:rsidRPr="0013327C" w:rsidRDefault="00597427" w:rsidP="00AE0264">
      <w:pPr>
        <w:pStyle w:val="ListParagraph"/>
        <w:numPr>
          <w:ilvl w:val="0"/>
          <w:numId w:val="6"/>
        </w:numPr>
        <w:jc w:val="both"/>
        <w:rPr>
          <w:rFonts w:asciiTheme="majorHAnsi" w:hAnsiTheme="majorHAnsi"/>
        </w:rPr>
      </w:pPr>
      <w:r w:rsidRPr="0013327C">
        <w:rPr>
          <w:rFonts w:asciiTheme="majorHAnsi" w:hAnsiTheme="majorHAnsi"/>
        </w:rPr>
        <w:t>Optimisation of transfection efficiency, reagents and protocols</w:t>
      </w:r>
    </w:p>
    <w:p w:rsidR="00597427" w:rsidRPr="0013327C" w:rsidRDefault="00597427" w:rsidP="00AE0264">
      <w:pPr>
        <w:pStyle w:val="ListParagraph"/>
        <w:numPr>
          <w:ilvl w:val="0"/>
          <w:numId w:val="6"/>
        </w:numPr>
        <w:jc w:val="both"/>
        <w:rPr>
          <w:rFonts w:asciiTheme="majorHAnsi" w:hAnsiTheme="majorHAnsi"/>
        </w:rPr>
      </w:pPr>
      <w:r w:rsidRPr="0013327C">
        <w:rPr>
          <w:rFonts w:asciiTheme="majorHAnsi" w:hAnsiTheme="majorHAnsi"/>
        </w:rPr>
        <w:t xml:space="preserve">Confirmation of KD protocol with </w:t>
      </w:r>
      <w:r w:rsidR="000C26B2" w:rsidRPr="000C26B2">
        <w:rPr>
          <w:rFonts w:asciiTheme="majorHAnsi" w:hAnsiTheme="majorHAnsi"/>
          <w:i/>
        </w:rPr>
        <w:t>PEX</w:t>
      </w:r>
      <w:r w:rsidRPr="0013327C">
        <w:rPr>
          <w:rFonts w:asciiTheme="majorHAnsi" w:hAnsiTheme="majorHAnsi"/>
        </w:rPr>
        <w:t xml:space="preserve">5 KD; design of long dsRNA and testing of further </w:t>
      </w:r>
      <w:r w:rsidR="000C26B2" w:rsidRPr="000C26B2">
        <w:rPr>
          <w:rFonts w:asciiTheme="majorHAnsi" w:hAnsiTheme="majorHAnsi"/>
          <w:i/>
        </w:rPr>
        <w:t>PEX</w:t>
      </w:r>
      <w:r w:rsidRPr="0013327C">
        <w:rPr>
          <w:rFonts w:asciiTheme="majorHAnsi" w:hAnsiTheme="majorHAnsi"/>
        </w:rPr>
        <w:t xml:space="preserve"> KDs</w:t>
      </w:r>
    </w:p>
    <w:p w:rsidR="00597427" w:rsidRPr="0013327C" w:rsidRDefault="00597427" w:rsidP="00AE0264">
      <w:pPr>
        <w:pStyle w:val="ListParagraph"/>
        <w:numPr>
          <w:ilvl w:val="0"/>
          <w:numId w:val="6"/>
        </w:numPr>
        <w:jc w:val="both"/>
        <w:rPr>
          <w:rFonts w:asciiTheme="majorHAnsi" w:hAnsiTheme="majorHAnsi"/>
        </w:rPr>
      </w:pPr>
      <w:r w:rsidRPr="0013327C">
        <w:rPr>
          <w:rFonts w:asciiTheme="majorHAnsi" w:hAnsiTheme="majorHAnsi"/>
        </w:rPr>
        <w:t>Down-scaling of KD assay to allow for 384-well microtitre plate analysis</w:t>
      </w:r>
    </w:p>
    <w:p w:rsidR="00597427" w:rsidRPr="0013327C" w:rsidRDefault="00597427" w:rsidP="00AE0264">
      <w:pPr>
        <w:pStyle w:val="ListParagraph"/>
        <w:numPr>
          <w:ilvl w:val="0"/>
          <w:numId w:val="6"/>
        </w:numPr>
        <w:jc w:val="both"/>
        <w:rPr>
          <w:rFonts w:asciiTheme="majorHAnsi" w:hAnsiTheme="majorHAnsi"/>
        </w:rPr>
      </w:pPr>
      <w:r w:rsidRPr="0013327C">
        <w:rPr>
          <w:rFonts w:asciiTheme="majorHAnsi" w:hAnsiTheme="majorHAnsi"/>
        </w:rPr>
        <w:t>Plate testing; optimisation of seeding density, nuclear staining and cell-fixation protocols</w:t>
      </w:r>
    </w:p>
    <w:p w:rsidR="00597427" w:rsidRPr="0013327C" w:rsidRDefault="00597427" w:rsidP="00AE0264">
      <w:pPr>
        <w:pStyle w:val="ListParagraph"/>
        <w:numPr>
          <w:ilvl w:val="0"/>
          <w:numId w:val="6"/>
        </w:numPr>
        <w:jc w:val="both"/>
        <w:rPr>
          <w:rFonts w:asciiTheme="majorHAnsi" w:hAnsiTheme="majorHAnsi"/>
        </w:rPr>
      </w:pPr>
      <w:r w:rsidRPr="0013327C">
        <w:rPr>
          <w:rFonts w:asciiTheme="majorHAnsi" w:hAnsiTheme="majorHAnsi"/>
        </w:rPr>
        <w:t>Determination of microscopy settings</w:t>
      </w:r>
    </w:p>
    <w:p w:rsidR="00597427" w:rsidRPr="0013327C" w:rsidRDefault="00597427" w:rsidP="00AE0264">
      <w:pPr>
        <w:pStyle w:val="ListParagraph"/>
        <w:numPr>
          <w:ilvl w:val="0"/>
          <w:numId w:val="6"/>
        </w:numPr>
        <w:jc w:val="both"/>
        <w:rPr>
          <w:rFonts w:asciiTheme="majorHAnsi" w:hAnsiTheme="majorHAnsi"/>
        </w:rPr>
      </w:pPr>
      <w:r w:rsidRPr="0013327C">
        <w:rPr>
          <w:rFonts w:asciiTheme="majorHAnsi" w:hAnsiTheme="majorHAnsi"/>
        </w:rPr>
        <w:t>Design of analysis algorithm to discriminate WT peroxisome number, brightness and size from aberrant phenotypes.</w:t>
      </w:r>
    </w:p>
    <w:p w:rsidR="00597427" w:rsidRPr="0013327C" w:rsidRDefault="00597427" w:rsidP="00AE0264">
      <w:pPr>
        <w:jc w:val="both"/>
        <w:rPr>
          <w:rFonts w:asciiTheme="majorHAnsi" w:hAnsiTheme="majorHAnsi"/>
        </w:rPr>
      </w:pPr>
    </w:p>
    <w:p w:rsidR="00597427" w:rsidRPr="0013327C" w:rsidRDefault="00936413" w:rsidP="00AE0264">
      <w:pPr>
        <w:jc w:val="both"/>
        <w:rPr>
          <w:rFonts w:asciiTheme="majorHAnsi" w:hAnsiTheme="majorHAnsi"/>
          <w:b/>
        </w:rPr>
      </w:pPr>
      <w:r>
        <w:rPr>
          <w:rFonts w:asciiTheme="majorHAnsi" w:hAnsiTheme="majorHAnsi"/>
          <w:b/>
          <w:noProof/>
          <w:lang w:eastAsia="en-GB"/>
        </w:rPr>
        <w:drawing>
          <wp:inline distT="0" distB="0" distL="0" distR="0">
            <wp:extent cx="5840147" cy="2219325"/>
            <wp:effectExtent l="19050" t="0" r="8203"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5840447" cy="2219439"/>
                    </a:xfrm>
                    <a:prstGeom prst="rect">
                      <a:avLst/>
                    </a:prstGeom>
                    <a:noFill/>
                  </pic:spPr>
                </pic:pic>
              </a:graphicData>
            </a:graphic>
          </wp:inline>
        </w:drawing>
      </w:r>
      <w:proofErr w:type="gramStart"/>
      <w:r w:rsidR="00AD7EF2">
        <w:rPr>
          <w:rFonts w:asciiTheme="majorHAnsi" w:hAnsiTheme="majorHAnsi"/>
          <w:b/>
        </w:rPr>
        <w:t>Figure</w:t>
      </w:r>
      <w:r w:rsidR="00AD7EF2" w:rsidRPr="0013327C">
        <w:rPr>
          <w:rFonts w:asciiTheme="majorHAnsi" w:hAnsiTheme="majorHAnsi"/>
          <w:b/>
        </w:rPr>
        <w:t xml:space="preserve"> </w:t>
      </w:r>
      <w:r w:rsidR="004500E7" w:rsidRPr="0013327C">
        <w:rPr>
          <w:rFonts w:asciiTheme="majorHAnsi" w:hAnsiTheme="majorHAnsi"/>
          <w:b/>
        </w:rPr>
        <w:t>3.</w:t>
      </w:r>
      <w:r w:rsidR="00336CB9">
        <w:rPr>
          <w:rFonts w:asciiTheme="majorHAnsi" w:hAnsiTheme="majorHAnsi"/>
          <w:b/>
        </w:rPr>
        <w:t>1</w:t>
      </w:r>
      <w:r w:rsidR="00597427" w:rsidRPr="0013327C">
        <w:rPr>
          <w:rFonts w:asciiTheme="majorHAnsi" w:hAnsiTheme="majorHAnsi"/>
          <w:b/>
        </w:rPr>
        <w:t>.</w:t>
      </w:r>
      <w:proofErr w:type="gramEnd"/>
      <w:r w:rsidR="00597427" w:rsidRPr="0013327C">
        <w:rPr>
          <w:rFonts w:asciiTheme="majorHAnsi" w:hAnsiTheme="majorHAnsi"/>
          <w:b/>
        </w:rPr>
        <w:t xml:space="preserve"> </w:t>
      </w:r>
      <w:proofErr w:type="gramStart"/>
      <w:r w:rsidR="004500E7" w:rsidRPr="0013327C">
        <w:rPr>
          <w:rFonts w:asciiTheme="majorHAnsi" w:hAnsiTheme="majorHAnsi"/>
          <w:b/>
        </w:rPr>
        <w:t>Stages of development schematic 1.</w:t>
      </w:r>
      <w:proofErr w:type="gramEnd"/>
      <w:r w:rsidR="004500E7" w:rsidRPr="0013327C">
        <w:rPr>
          <w:rFonts w:asciiTheme="majorHAnsi" w:hAnsiTheme="majorHAnsi"/>
          <w:b/>
        </w:rPr>
        <w:t xml:space="preserve"> </w:t>
      </w:r>
      <w:r w:rsidR="00597427" w:rsidRPr="0013327C">
        <w:rPr>
          <w:rFonts w:asciiTheme="majorHAnsi" w:hAnsiTheme="majorHAnsi"/>
        </w:rPr>
        <w:t>A schematic for the stages required in developing an optimised assay for reporting fluorescent peroxisomes in a microscopy-based screen in 384-well microtitre plates. The first step has been deconstructed into the steps taken to achieve that stage.</w:t>
      </w:r>
    </w:p>
    <w:p w:rsidR="00597427" w:rsidRPr="0013327C" w:rsidRDefault="00597427" w:rsidP="00AE0264">
      <w:pPr>
        <w:pStyle w:val="Heading2"/>
        <w:jc w:val="both"/>
      </w:pPr>
      <w:bookmarkStart w:id="88" w:name="_Toc348423340"/>
      <w:r w:rsidRPr="0013327C">
        <w:t>Expressing the green fluorescent peroxisomal reporter</w:t>
      </w:r>
      <w:bookmarkEnd w:id="88"/>
    </w:p>
    <w:p w:rsidR="00597427" w:rsidRPr="0013327C" w:rsidRDefault="00597427" w:rsidP="00AE0264">
      <w:pPr>
        <w:jc w:val="both"/>
        <w:rPr>
          <w:rFonts w:asciiTheme="majorHAnsi" w:hAnsiTheme="majorHAnsi"/>
        </w:rPr>
      </w:pPr>
      <w:r w:rsidRPr="0013327C">
        <w:rPr>
          <w:rFonts w:asciiTheme="majorHAnsi" w:hAnsiTheme="majorHAnsi"/>
        </w:rPr>
        <w:t xml:space="preserve">It has been shown in organisms ranging from trypanosomes to fungi, plants and animal cells including </w:t>
      </w:r>
      <w:r w:rsidRPr="0013327C">
        <w:rPr>
          <w:rFonts w:asciiTheme="majorHAnsi" w:hAnsiTheme="majorHAnsi"/>
          <w:i/>
        </w:rPr>
        <w:t>D. melanogaster</w:t>
      </w:r>
      <w:r w:rsidRPr="0013327C">
        <w:rPr>
          <w:rFonts w:asciiTheme="majorHAnsi" w:hAnsiTheme="majorHAnsi"/>
        </w:rPr>
        <w:t xml:space="preserve"> that the C-terminal tripeptide -SKL is an effective peroxisomal targeting signal type-1 (PTS1) that was first identified in firefly luciferase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"Gould", "given" : "Stephen J", "non-dropping-particle" : "", "parse-names" : false, "suffix" : "" }, { "dropping-particle" : "", "family" : "Keller", "given" : "Gilbert-andre", "non-dropping-particle" : "", "parse-names" : false, "suffix" : "" }, { "dropping-particle" : "", "family" : "Subramani", "given" : "Suresh", "non-dropping-particle" : "", "parse-names" : false, "suffix" : "" } ], "container-title" : "Journal of Cell Biology", "id" : "ITEM-1", "issue" : "6", "issued" : { "date-parts" : [ [ "1987" ] ] }, "page" : "2923-2931", "title" : "Identification of a Peroxisomal Targeting Signal at the Carboxy Terminus of Firefly Luciferase", "type" : "article-journal", "volume" : "105" }, "uris" : [ "http://www.mendeley.com/documents/?uuid=15d4e8dc-6a84-4fcf-abd4-220da12a43fe" ] }, { "id" : "ITEM-2", "itemData" : { "ISBN" : "5555555555", "abstract" : "The firefly luciferase protein contains a peroxisomal targeting signal at its extreme COOH terminus (Gould et al., 1987). Site-directed mutagenesis of the luciferase gene reveals that this peroxisomal targeting signal consists of the COOH-terminal three amino acids of the protein, serine-lysine-leucine. When this tripeptide is appended to the COOH terminus of a cytosolic protein (chloramphenicol acetyltransferase), it is sufficient to direct the fusion protein into peroxisomes. Additional mutagenesis experiments reveal that only a limited number of conservative changes can be made in this tripeptide targeting signal without abolishing its activity. These results indicate that peroxisomal protein import, unlike other types of transmembrane translocation, is dependent upon a conserved amino acid sequence.", "author" : [ { "dropping-particle" : "", "family" : "Gould", "given" : "S J", "non-dropping-particle" : "", "parse-names" : false, "suffix" : "" }, { "dropping-particle" : "", "family" : "Keller", "given" : "G a", "non-dropping-particle" : "", "parse-names" : false, "suffix" : "" }, { "dropping-particle" : "", "family" : "Hosken", "given" : "N", "non-dropping-particle" : "", "parse-names" : false, "suffix" : "" }, { "dropping-particle" : "", "family" : "Wilkinson", "given" : "J", "non-dropping-particle" : "", "parse-names" : false, "suffix" : "" }, { "dropping-particle" : "", "family" : "Subramani", "given" : "S", "non-dropping-particle" : "", "parse-names" : false, "suffix" : "" } ], "container-title" : "The Journal of cell biology", "id" : "ITEM-2", "issue" : "5", "issued" : { "date-parts" : [ [ "1989", "5" ] ] }, "page" : "1657-64", "title" : "A conserved tripeptide sorts proteins to peroxisomes.", "type" : "article-journal", "volume" : "108" }, "uris" : [ "http://www.mendeley.com/documents/?uuid=7b593b27-cd13-4918-9cf4-f36c67b189f1" ] }, { "id" : "ITEM-3", "itemData" : { "DOI" : "10.1242/dmm.007419", "abstract" : "Human peroxisome biogenesis disorders are lethal genetic diseases in which abnormal peroxisome assembly compromises overall peroxisome and cellular function. Peroxisomes are ubiquitous membrane-bound organelles involved in several important biochemical processes, notably lipid metabolism and the use of reactive oxygen species for detoxification. Using cultured cells, we systematically characterized the peroxisome assembly phenotypes associated with dsRNA-mediated knockdown of 14 predicted Drosophila homologs of PEX genes (encoding peroxins; required for peroxisome assembly and linked to peroxisome biogenesis disorders), and confirmed that at least 13 of them are required for normal peroxisome assembly. We also demonstrate the relevance of Drosophila as a genetic model for the early developmental defects associated with the human peroxisome biogenesis disorders. Mutation of the PEX1 gene is the most common cause of peroxisome biogenesis disorders and is one of the causes of the most severe form of the disease, Zellweger syndrome. Inherited mutations in Drosophila Pex1 correlate with reproducible defects during early development. Notably, Pex1 mutant larvae exhibit abnormalities that are analogous to those exhibited by Zellweger syndrome patients, including developmental delay, poor feeding, severe structural abnormalities in the peripheral and central nervous systems, and early death. Finally, microarray analysis defined several clusters of genes whose expression varied significantly between wild-type and mutant larvae, implicating peroxisomal function in neuronal development, innate immunity, lipid and protein metabolism, gamete formation, and meiosis.", "author" : [ { "dropping-particle" : "", "family" : "Mast", "given" : "Fred D", "non-dropping-particle" : "", "parse-names" : false, "suffix" : "" }, { "dropping-particle" : "", "family" : "Li", "given" : "Jing", "non-dropping-particle" : "", "parse-names" : false, "suffix" : "" }, { "dropping-particle" : "", "family" : "Virk", "given" : "Maninder K", "non-dropping-particle" : "", "parse-names" : false, "suffix" : "" }, { "dropping-particle" : "", "family" : "Hughes", "given" : "Sarah C", "non-dropping-particle" : "", "parse-names" : false, "suffix" : "" }, { "dropping-particle" : "", "family" : "Simmonds", "given" : "Andrew J", "non-dropping-particle" : "", "parse-names" : false, "suffix" : "" }, { "dropping-particle" : "", "family" : "Rachubinski", "given" : "Richard a", "non-dropping-particle" : "", "parse-names" : false, "suffix" : "" } ], "container-title" : "Disease models &amp; mechanisms", "id" : "ITEM-3", "issue" : "5", "issued" : { "date-parts" : [ [ "2011" ] ] }, "page" : "659-72", "title" : "A Drosophila model for the Zellweger spectrum of peroxisome biogenesis disorders.", "type" : "article-journal", "volume" : "4" }, "uris" : [ "http://www.mendeley.com/documents/?uuid=c63bc7d3-659e-4c6f-8bf7-053794159ba2" ] } ], "mendeley" : { "manualFormatting" : "(Gould et al., 1987; Gould et al. 1989; Mast et al. 2011)", "previouslyFormattedCitation" : "(Gould, Keller &amp; Subramani 1987; Gould et al. 1989; Mast et al. 2011)"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(Gould </w:t>
      </w:r>
      <w:r w:rsidR="00466108" w:rsidRPr="00466108">
        <w:rPr>
          <w:rFonts w:asciiTheme="majorHAnsi" w:hAnsiTheme="majorHAnsi"/>
          <w:i/>
          <w:noProof/>
        </w:rPr>
        <w:t>et al</w:t>
      </w:r>
      <w:r w:rsidRPr="0013327C">
        <w:rPr>
          <w:rFonts w:asciiTheme="majorHAnsi" w:hAnsiTheme="majorHAnsi"/>
          <w:noProof/>
        </w:rPr>
        <w:t xml:space="preserve">., 1987; Gould </w:t>
      </w:r>
      <w:r w:rsidR="00466108" w:rsidRPr="00466108">
        <w:rPr>
          <w:rFonts w:asciiTheme="majorHAnsi" w:hAnsiTheme="majorHAnsi"/>
          <w:i/>
          <w:noProof/>
        </w:rPr>
        <w:t>et al</w:t>
      </w:r>
      <w:r w:rsidRPr="0013327C">
        <w:rPr>
          <w:rFonts w:asciiTheme="majorHAnsi" w:hAnsiTheme="majorHAnsi"/>
          <w:noProof/>
        </w:rPr>
        <w:t xml:space="preserve">. 1989; Mast </w:t>
      </w:r>
      <w:r w:rsidR="00466108" w:rsidRPr="00466108">
        <w:rPr>
          <w:rFonts w:asciiTheme="majorHAnsi" w:hAnsiTheme="majorHAnsi"/>
          <w:i/>
          <w:noProof/>
        </w:rPr>
        <w:t>et al</w:t>
      </w:r>
      <w:r w:rsidRPr="0013327C">
        <w:rPr>
          <w:rFonts w:asciiTheme="majorHAnsi" w:hAnsiTheme="majorHAnsi"/>
          <w:noProof/>
        </w:rPr>
        <w:t>. 2011)</w:t>
      </w:r>
      <w:r w:rsidR="009A1FEC" w:rsidRPr="0013327C">
        <w:rPr>
          <w:rFonts w:asciiTheme="majorHAnsi" w:hAnsiTheme="majorHAnsi"/>
        </w:rPr>
        <w:fldChar w:fldCharType="end"/>
      </w:r>
      <w:r w:rsidRPr="0013327C">
        <w:rPr>
          <w:rFonts w:asciiTheme="majorHAnsi" w:hAnsiTheme="majorHAnsi"/>
        </w:rPr>
        <w:t xml:space="preserve">. GFP fused to SKL has been used as a marker for peroxisomes in a wide variety of organisms and our communications with Stephen Gould at Johns Hopkins in Baltimore, USA, revealed that eGFP-SKL localises to peroxisomes in </w:t>
      </w:r>
      <w:r w:rsidRPr="0013327C">
        <w:rPr>
          <w:rFonts w:asciiTheme="majorHAnsi" w:hAnsiTheme="majorHAnsi"/>
          <w:i/>
        </w:rPr>
        <w:t>D. melanogaster</w:t>
      </w:r>
      <w:r w:rsidRPr="0013327C">
        <w:rPr>
          <w:rFonts w:asciiTheme="majorHAnsi" w:hAnsiTheme="majorHAnsi"/>
        </w:rPr>
        <w:t xml:space="preserve"> S2 cells.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"10.1093/hmg/ddp518", "abstract" : "Peroxisomes are vital eukaryotic organelles that participate in lipid metabolism, in particular the metabolism of very-long-chain fatty acids (VLCFA). The biogenesis of peroxisomes is regulated by a set of peroxin proteins (PEX). In humans, mutations affecting peroxin protein production or function result in devastating diseases classified as peroxisome biogenesis disorders (PBD). The way in which peroxisomal dysfunction leads to the pathophysiological consequences of PBD is not well understood. Here we report that Drosophila pex mutants faithfully recapitulate several key features of human PBD, including impaired peroxisomal protein import, elevated VLCFA levels and growth retardation. Moreover, disruption of pex function results in spermatogenesis defects, including spermatocyte cytokinesis failure in Drosophila. Importantly, increased VLCFA levels enhance these spermatogenesis defects whereas reduced VLCFA levels alleviate them. Thus, regulation of proper VLCFA levels by pex genes is crucial for spermatogenesis. Together our study reveals an indispensable function of pex genes during spermatogenesis and provides a causative link between the phenotypic severity of pex mutants and VLCFA levels.", "author" : [ { "dropping-particle" : "", "family" : "Chen", "given" : "Haiyang", "non-dropping-particle" : "", "parse-names" : false, "suffix" : "" }, { "dropping-particle" : "", "family" : "Liu", "given" : "Zhonghua", "non-dropping-particle" : "", "parse-names" : false, "suffix" : "" }, { "dropping-particle" : "", "family" : "Huang", "given" : "Xun", "non-dropping-particle" : "", "parse-names" : false, "suffix" : "" } ], "container-title" : "Human molecular genetics", "id" : "ITEM-1", "issue" : "3", "issued" : { "date-parts" : [ [ "2010", "2", "1" ] ] }, "page" : "494-505", "title" : "Drosophila models of peroxisomal biogenesis disorder: peroxins are required for spermatogenesis and very-long-chain fatty acid metabolism.", "type" : "article-journal", "volume" : "19" }, "uris" : [ "http://www.mendeley.com/documents/?uuid=cd4e6b58-dcb0-4c15-8596-3a45ccdd9504" ] } ], "mendeley" : { "manualFormatting" : "Chen et al. (2010", "previouslyFormattedCitation" : "(Chen, Liu &amp; Huang 2010)"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Chen </w:t>
      </w:r>
      <w:r w:rsidR="00466108" w:rsidRPr="00466108">
        <w:rPr>
          <w:rFonts w:asciiTheme="majorHAnsi" w:hAnsiTheme="majorHAnsi"/>
          <w:i/>
          <w:noProof/>
        </w:rPr>
        <w:t>et al</w:t>
      </w:r>
      <w:r w:rsidRPr="0013327C">
        <w:rPr>
          <w:rFonts w:asciiTheme="majorHAnsi" w:hAnsiTheme="majorHAnsi"/>
          <w:i/>
          <w:noProof/>
        </w:rPr>
        <w:t>.</w:t>
      </w:r>
      <w:r w:rsidRPr="0013327C">
        <w:rPr>
          <w:rFonts w:asciiTheme="majorHAnsi" w:hAnsiTheme="majorHAnsi"/>
          <w:noProof/>
        </w:rPr>
        <w:t xml:space="preserve"> (2010</w:t>
      </w:r>
      <w:r w:rsidR="009A1FEC" w:rsidRPr="0013327C">
        <w:rPr>
          <w:rFonts w:asciiTheme="majorHAnsi" w:hAnsiTheme="majorHAnsi"/>
        </w:rPr>
        <w:fldChar w:fldCharType="end"/>
      </w:r>
      <w:r w:rsidRPr="0013327C">
        <w:rPr>
          <w:rFonts w:asciiTheme="majorHAnsi" w:hAnsiTheme="majorHAnsi"/>
        </w:rPr>
        <w:t xml:space="preserve">) </w:t>
      </w:r>
      <w:r w:rsidRPr="0013327C">
        <w:rPr>
          <w:rFonts w:asciiTheme="majorHAnsi" w:hAnsiTheme="majorHAnsi"/>
        </w:rPr>
        <w:lastRenderedPageBreak/>
        <w:t xml:space="preserve">showed GFP-SKL to be effective at reporting peroxisomes in </w:t>
      </w:r>
      <w:r w:rsidRPr="0013327C">
        <w:rPr>
          <w:rFonts w:asciiTheme="majorHAnsi" w:hAnsiTheme="majorHAnsi"/>
          <w:i/>
        </w:rPr>
        <w:t>D. melanogaster</w:t>
      </w:r>
      <w:r w:rsidRPr="0013327C">
        <w:rPr>
          <w:rFonts w:asciiTheme="majorHAnsi" w:hAnsiTheme="majorHAnsi"/>
        </w:rPr>
        <w:t xml:space="preserve"> testicular cells. It was therefore decided to use eGFP-SKL referred to from here on as eGFP-PTS1. </w:t>
      </w:r>
    </w:p>
    <w:p w:rsidR="00597427" w:rsidRPr="0013327C" w:rsidRDefault="00597427" w:rsidP="00AE0264">
      <w:pPr>
        <w:jc w:val="both"/>
        <w:rPr>
          <w:rFonts w:asciiTheme="majorHAnsi" w:hAnsiTheme="majorHAnsi"/>
        </w:rPr>
      </w:pPr>
      <w:r w:rsidRPr="0013327C">
        <w:rPr>
          <w:rFonts w:asciiTheme="majorHAnsi" w:hAnsiTheme="majorHAnsi"/>
        </w:rPr>
        <w:t>A pAct5.1v5HisA (</w:t>
      </w:r>
      <w:r w:rsidR="00AD7EF2">
        <w:rPr>
          <w:rFonts w:asciiTheme="majorHAnsi" w:hAnsiTheme="majorHAnsi"/>
        </w:rPr>
        <w:t>pAc</w:t>
      </w:r>
      <w:r w:rsidRPr="0013327C">
        <w:rPr>
          <w:rFonts w:asciiTheme="majorHAnsi" w:hAnsiTheme="majorHAnsi"/>
        </w:rPr>
        <w:t xml:space="preserve">) and a pMtv5HisA (pMt) plasmid </w:t>
      </w:r>
      <w:r w:rsidR="001C0714">
        <w:rPr>
          <w:rFonts w:asciiTheme="majorHAnsi" w:hAnsiTheme="majorHAnsi"/>
        </w:rPr>
        <w:t xml:space="preserve">(for the plasmid maps see figures 2.1 and 2.2) </w:t>
      </w:r>
      <w:r w:rsidRPr="0013327C">
        <w:rPr>
          <w:rFonts w:asciiTheme="majorHAnsi" w:hAnsiTheme="majorHAnsi"/>
        </w:rPr>
        <w:t xml:space="preserve">were kindly supplied to us from the Zeidler lab in the </w:t>
      </w:r>
      <w:r w:rsidR="00AD7EF2" w:rsidRPr="0013327C">
        <w:rPr>
          <w:rFonts w:asciiTheme="majorHAnsi" w:hAnsiTheme="majorHAnsi"/>
        </w:rPr>
        <w:t>Biomedical</w:t>
      </w:r>
      <w:r w:rsidR="00AD7EF2">
        <w:rPr>
          <w:rFonts w:asciiTheme="majorHAnsi" w:hAnsiTheme="majorHAnsi"/>
        </w:rPr>
        <w:t xml:space="preserve"> </w:t>
      </w:r>
      <w:r w:rsidR="00AD7EF2" w:rsidRPr="0013327C">
        <w:rPr>
          <w:rFonts w:asciiTheme="majorHAnsi" w:hAnsiTheme="majorHAnsi"/>
        </w:rPr>
        <w:t>Sciences</w:t>
      </w:r>
      <w:r w:rsidRPr="0013327C">
        <w:rPr>
          <w:rFonts w:asciiTheme="majorHAnsi" w:hAnsiTheme="majorHAnsi"/>
        </w:rPr>
        <w:t xml:space="preserve"> department at the University of Sheffield. They were both digested with EcoRI and XbaI to allow the cloning of the ORF of eGFP with a C-terminal S-K-L tripeptide. The SKL was separated by three more codons forming a “linker” tripeptide of P-L-H to provide a biological buffer between the function of the eGFP as a fluorophore and that of SKL as the PTS1. The </w:t>
      </w:r>
      <w:r w:rsidR="00AD7EF2">
        <w:rPr>
          <w:rFonts w:asciiTheme="majorHAnsi" w:hAnsiTheme="majorHAnsi"/>
        </w:rPr>
        <w:t>pAc</w:t>
      </w:r>
      <w:r w:rsidRPr="0013327C">
        <w:rPr>
          <w:rFonts w:asciiTheme="majorHAnsi" w:hAnsiTheme="majorHAnsi"/>
        </w:rPr>
        <w:t xml:space="preserve"> plasmid contains the actin5 (Ac5) promoter which in fly cells causes constitutive expression of transgenes and recombinant proteins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"Chung", "given" : "Yang-tsung", "non-dropping-particle" : "", "parse-names" : false, "suffix" : "" }, { "dropping-particle" : "", "family" : "Keller", "given" : "Elizabeth B", "non-dropping-particle" : "", "parse-names" : false, "suffix" : "" } ], "container-title" : "Molecular and Cellular Biology", "id" : "ITEM-1", "issue" : "12", "issued" : { "date-parts" : [ [ "1990" ] ] }, "page" : "6172-6180", "title" : "Positive and Negative Regulatory Elements Mediating Transcription from the Drosophila melanogaster Actin 5C Distal Promoter", "type" : "article-journal", "volume" : "10" }, "uris" : [ "http://www.mendeley.com/documents/?uuid=89923efe-bc98-49cf-b76a-87b8ec49aa95" ] } ], "mendeley" : { "manualFormatting" : "(Chung &amp; Keller, 1990)", "previouslyFormattedCitation" : "(Chung &amp; Keller 1990)"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(Chung &amp; Keller, 1990)</w:t>
      </w:r>
      <w:r w:rsidR="009A1FEC" w:rsidRPr="0013327C">
        <w:rPr>
          <w:rFonts w:asciiTheme="majorHAnsi" w:hAnsiTheme="majorHAnsi"/>
        </w:rPr>
        <w:fldChar w:fldCharType="end"/>
      </w:r>
      <w:r w:rsidRPr="0013327C">
        <w:rPr>
          <w:rFonts w:asciiTheme="majorHAnsi" w:hAnsiTheme="majorHAnsi"/>
        </w:rPr>
        <w:t>. The pMt plasmid contains the metallothionein (M</w:t>
      </w:r>
      <w:r w:rsidR="00942ACD">
        <w:rPr>
          <w:rFonts w:asciiTheme="majorHAnsi" w:hAnsiTheme="majorHAnsi"/>
        </w:rPr>
        <w:t>t</w:t>
      </w:r>
      <w:r w:rsidRPr="0013327C">
        <w:rPr>
          <w:rFonts w:asciiTheme="majorHAnsi" w:hAnsiTheme="majorHAnsi"/>
        </w:rPr>
        <w:t>) promoter for expression of transgenes and recombinant proteins inducible with the addition of CuSO</w:t>
      </w:r>
      <w:r w:rsidRPr="0013327C">
        <w:rPr>
          <w:rFonts w:asciiTheme="majorHAnsi" w:hAnsiTheme="majorHAnsi"/>
          <w:vertAlign w:val="subscript"/>
        </w:rPr>
        <w:t>4</w:t>
      </w:r>
      <w:r w:rsidRPr="0013327C">
        <w:rPr>
          <w:rFonts w:asciiTheme="majorHAnsi" w:hAnsiTheme="majorHAnsi"/>
        </w:rPr>
        <w:t xml:space="preserve"> into the growth medium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"Maroni", "given" : "Gustavo", "non-dropping-particle" : "", "parse-names" : false, "suffix" : "" }, { "dropping-particle" : "", "family" : "Otto", "given" : "Edward", "non-dropping-particle" : "", "parse-names" : false, "suffix" : "" }, { "dropping-particle" : "", "family" : "Lastowski-perry", "given" : "Donna", "non-dropping-particle" : "", "parse-names" : false, "suffix" : "" } ], "container-title" : "Genetics", "id" : "ITEM-1", "issue" : "3", "issued" : { "date-parts" : [ [ "1986" ] ] }, "page" : "493-504", "title" : "Molecular and Cytogenetic Characterisation of a Metallothionein Gene of Drosophila", "type" : "article-journal", "volume" : "123" }, "uris" : [ "http://www.mendeley.com/documents/?uuid=321ce153-681f-45f7-90b0-bd4fe7b8c690" ] } ], "mendeley" : { "previouslyFormattedCitation" : "(Maroni, Otto &amp; Lastowski-perry 1986)" }, "properties" : { "noteIndex" : 0 }, "schema" : "https://github.com/citation-style-language/schema/raw/master/csl-citation.json" }</w:instrText>
      </w:r>
      <w:r w:rsidR="009A1FEC" w:rsidRPr="0013327C">
        <w:rPr>
          <w:rFonts w:asciiTheme="majorHAnsi" w:hAnsiTheme="majorHAnsi"/>
        </w:rPr>
        <w:fldChar w:fldCharType="separate"/>
      </w:r>
      <w:r w:rsidR="00E379C3" w:rsidRPr="00E379C3">
        <w:rPr>
          <w:rFonts w:asciiTheme="majorHAnsi" w:hAnsiTheme="majorHAnsi"/>
          <w:noProof/>
        </w:rPr>
        <w:t>(Maroni, Otto &amp; Lastowski-perry 1986)</w:t>
      </w:r>
      <w:r w:rsidR="009A1FEC" w:rsidRPr="0013327C">
        <w:rPr>
          <w:rFonts w:asciiTheme="majorHAnsi" w:hAnsiTheme="majorHAnsi"/>
        </w:rPr>
        <w:fldChar w:fldCharType="end"/>
      </w:r>
      <w:r w:rsidRPr="0013327C">
        <w:rPr>
          <w:rFonts w:asciiTheme="majorHAnsi" w:hAnsiTheme="majorHAnsi"/>
        </w:rPr>
        <w:t xml:space="preserve">. Optimal translation of mRNAs requires that an initiator sequence of four nucleotides immediately precedes the translation initiation codon. This sequence should conform to the </w:t>
      </w:r>
      <w:r w:rsidRPr="0013327C">
        <w:rPr>
          <w:rFonts w:asciiTheme="majorHAnsi" w:hAnsiTheme="majorHAnsi"/>
          <w:i/>
        </w:rPr>
        <w:t>Drosophila</w:t>
      </w:r>
      <w:r w:rsidRPr="0013327C">
        <w:rPr>
          <w:rFonts w:asciiTheme="majorHAnsi" w:hAnsiTheme="majorHAnsi"/>
        </w:rPr>
        <w:t xml:space="preserve">-specific consensus sequence C/A-A-A-A/C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"Cavener", "given" : "Douglas R", "non-dropping-particle" : "", "parse-names" : false, "suffix" : "" } ], "container-title" : "Nucleic Acids Research", "id" : "ITEM-1", "issue" : "4", "issued" : { "date-parts" : [ [ "1987" ] ] }, "page" : "1353-1361", "title" : "Comparison of the consensus sequence flanking transtational start sites in Drosophila and vertebrates.", "type" : "article-journal", "volume" : "15" }, "uris" : [ "http://www.mendeley.com/documents/?uuid=c07d1290-65f7-4892-a368-78008ca170c6" ] } ], "mendeley" : { "manualFormatting" : "(Cavener,  1987)", "previouslyFormattedCitation" : "(Cavener 1987)"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(Cavener,  1987)</w:t>
      </w:r>
      <w:r w:rsidR="009A1FEC" w:rsidRPr="0013327C">
        <w:rPr>
          <w:rFonts w:asciiTheme="majorHAnsi" w:hAnsiTheme="majorHAnsi"/>
        </w:rPr>
        <w:fldChar w:fldCharType="end"/>
      </w:r>
      <w:r w:rsidRPr="0013327C">
        <w:rPr>
          <w:rFonts w:asciiTheme="majorHAnsi" w:hAnsiTheme="majorHAnsi"/>
        </w:rPr>
        <w:t>, for which was chosen C-A-A-C. The two plasmids produced were pMt-eGFP-PTS1 (inducible peroxisomal matrix marker) and pAc-eGFP-PTS1 (constitutive peroxisomal matrix marker).</w:t>
      </w:r>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5731510" cy="1423692"/>
            <wp:effectExtent l="19050" t="0" r="2540" b="0"/>
            <wp:docPr id="68"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64896" cy="2003450"/>
                      <a:chOff x="323528" y="692696"/>
                      <a:chExt cx="8064896" cy="2003450"/>
                    </a:xfrm>
                  </a:grpSpPr>
                  <a:grpSp>
                    <a:nvGrpSpPr>
                      <a:cNvPr id="19" name="Group 18"/>
                      <a:cNvGrpSpPr/>
                    </a:nvGrpSpPr>
                    <a:grpSpPr>
                      <a:xfrm>
                        <a:off x="323528" y="692696"/>
                        <a:ext cx="8064896" cy="2003450"/>
                        <a:chOff x="323528" y="692696"/>
                        <a:chExt cx="8064896" cy="2003450"/>
                      </a:xfrm>
                    </a:grpSpPr>
                    <a:cxnSp>
                      <a:nvCxnSpPr>
                        <a:cNvPr id="5" name="Straight Connector 4"/>
                        <a:cNvCxnSpPr/>
                      </a:nvCxnSpPr>
                      <a:spPr>
                        <a:xfrm>
                          <a:off x="323528" y="1556792"/>
                          <a:ext cx="6264696" cy="0"/>
                        </a:xfrm>
                        <a:prstGeom prst="line">
                          <a:avLst/>
                        </a:prstGeom>
                      </a:spPr>
                      <a:style>
                        <a:lnRef idx="1">
                          <a:schemeClr val="accent1"/>
                        </a:lnRef>
                        <a:fillRef idx="0">
                          <a:schemeClr val="accent1"/>
                        </a:fillRef>
                        <a:effectRef idx="0">
                          <a:schemeClr val="accent1"/>
                        </a:effectRef>
                        <a:fontRef idx="minor">
                          <a:schemeClr val="tx1"/>
                        </a:fontRef>
                      </a:style>
                    </a:cxnSp>
                    <a:cxnSp>
                      <a:nvCxnSpPr>
                        <a:cNvPr id="7" name="Straight Connector 6"/>
                        <a:cNvCxnSpPr/>
                      </a:nvCxnSpPr>
                      <a:spPr>
                        <a:xfrm flipV="1">
                          <a:off x="323528" y="836712"/>
                          <a:ext cx="0" cy="720080"/>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 name="Straight Connector 10"/>
                        <a:cNvCxnSpPr/>
                      </a:nvCxnSpPr>
                      <a:spPr>
                        <a:xfrm>
                          <a:off x="323528" y="836712"/>
                          <a:ext cx="432048" cy="360040"/>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 name="Straight Connector 13"/>
                        <a:cNvCxnSpPr/>
                      </a:nvCxnSpPr>
                      <a:spPr>
                        <a:xfrm>
                          <a:off x="323528" y="1196752"/>
                          <a:ext cx="432048" cy="0"/>
                        </a:xfrm>
                        <a:prstGeom prst="line">
                          <a:avLst/>
                        </a:prstGeom>
                      </a:spPr>
                      <a:style>
                        <a:lnRef idx="1">
                          <a:schemeClr val="accent1"/>
                        </a:lnRef>
                        <a:fillRef idx="0">
                          <a:schemeClr val="accent1"/>
                        </a:fillRef>
                        <a:effectRef idx="0">
                          <a:schemeClr val="accent1"/>
                        </a:effectRef>
                        <a:fontRef idx="minor">
                          <a:schemeClr val="tx1"/>
                        </a:fontRef>
                      </a:style>
                    </a:cxnSp>
                    <a:sp>
                      <a:nvSpPr>
                        <a:cNvPr id="21" name="TextBox 20"/>
                        <a:cNvSpPr txBox="1"/>
                      </a:nvSpPr>
                      <a:spPr>
                        <a:xfrm>
                          <a:off x="323528" y="1196752"/>
                          <a:ext cx="2304256" cy="369332"/>
                        </a:xfrm>
                        <a:prstGeom prst="rect">
                          <a:avLst/>
                        </a:prstGeom>
                        <a:solidFill>
                          <a:schemeClr val="accent6">
                            <a:lumMod val="60000"/>
                            <a:lumOff val="40000"/>
                          </a:schemeClr>
                        </a:solidFill>
                        <a:ln>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err="1" smtClean="0"/>
                              <a:t>Actin</a:t>
                            </a:r>
                            <a:r>
                              <a:rPr lang="en-GB" dirty="0" smtClean="0"/>
                              <a:t>/</a:t>
                            </a:r>
                            <a:r>
                              <a:rPr lang="en-GB" dirty="0" err="1" smtClean="0"/>
                              <a:t>Metallothionein</a:t>
                            </a:r>
                            <a:endParaRPr lang="en-GB" dirty="0"/>
                          </a:p>
                        </a:txBody>
                        <a:useSpRect/>
                      </a:txSp>
                    </a:sp>
                    <a:sp>
                      <a:nvSpPr>
                        <a:cNvPr id="23" name="TextBox 22"/>
                        <a:cNvSpPr txBox="1"/>
                      </a:nvSpPr>
                      <a:spPr>
                        <a:xfrm>
                          <a:off x="2627784" y="1196752"/>
                          <a:ext cx="1512168" cy="369332"/>
                        </a:xfrm>
                        <a:prstGeom prst="rect">
                          <a:avLst/>
                        </a:prstGeom>
                        <a:solidFill>
                          <a:schemeClr val="accent2">
                            <a:lumMod val="60000"/>
                            <a:lumOff val="40000"/>
                          </a:schemeClr>
                        </a:solidFill>
                        <a:ln>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C A </a:t>
                            </a:r>
                            <a:r>
                              <a:rPr lang="en-GB" dirty="0" err="1" smtClean="0"/>
                              <a:t>A</a:t>
                            </a:r>
                            <a:r>
                              <a:rPr lang="en-GB" dirty="0" smtClean="0"/>
                              <a:t> C A T G</a:t>
                            </a:r>
                            <a:endParaRPr lang="en-GB" dirty="0"/>
                          </a:p>
                        </a:txBody>
                        <a:useSpRect/>
                      </a:txSp>
                    </a:sp>
                    <a:sp>
                      <a:nvSpPr>
                        <a:cNvPr id="24" name="TextBox 23"/>
                        <a:cNvSpPr txBox="1"/>
                      </a:nvSpPr>
                      <a:spPr>
                        <a:xfrm>
                          <a:off x="4139952" y="1196752"/>
                          <a:ext cx="3096344" cy="369332"/>
                        </a:xfrm>
                        <a:prstGeom prst="rect">
                          <a:avLst/>
                        </a:prstGeom>
                        <a:solidFill>
                          <a:schemeClr val="accent2">
                            <a:lumMod val="40000"/>
                            <a:lumOff val="60000"/>
                          </a:schemeClr>
                        </a:solidFill>
                        <a:ln>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err="1" smtClean="0"/>
                              <a:t>eGFP</a:t>
                            </a:r>
                            <a:r>
                              <a:rPr lang="en-GB" dirty="0" smtClean="0"/>
                              <a:t> ORF + PLH-SKL </a:t>
                            </a:r>
                            <a:endParaRPr lang="en-GB" dirty="0">
                              <a:effectLst>
                                <a:outerShdw blurRad="38100" dist="38100" dir="2700000" algn="tl">
                                  <a:srgbClr val="000000">
                                    <a:alpha val="43137"/>
                                  </a:srgbClr>
                                </a:outerShdw>
                              </a:effectLst>
                            </a:endParaRPr>
                          </a:p>
                        </a:txBody>
                        <a:useSpRect/>
                      </a:txSp>
                    </a:sp>
                    <a:sp>
                      <a:nvSpPr>
                        <a:cNvPr id="26" name="TextBox 25"/>
                        <a:cNvSpPr txBox="1"/>
                      </a:nvSpPr>
                      <a:spPr>
                        <a:xfrm>
                          <a:off x="7236296" y="1196752"/>
                          <a:ext cx="1152128" cy="369332"/>
                        </a:xfrm>
                        <a:prstGeom prst="rect">
                          <a:avLst/>
                        </a:prstGeom>
                        <a:solidFill>
                          <a:schemeClr val="accent3">
                            <a:lumMod val="60000"/>
                            <a:lumOff val="4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SV40</a:t>
                            </a:r>
                            <a:endParaRPr lang="en-GB" dirty="0"/>
                          </a:p>
                        </a:txBody>
                        <a:useSpRect/>
                      </a:txSp>
                    </a:sp>
                    <a:cxnSp>
                      <a:nvCxnSpPr>
                        <a:cNvPr id="28" name="Straight Connector 27"/>
                        <a:cNvCxnSpPr/>
                      </a:nvCxnSpPr>
                      <a:spPr>
                        <a:xfrm flipV="1">
                          <a:off x="7236296" y="1052736"/>
                          <a:ext cx="0" cy="648072"/>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sp>
                      <a:nvSpPr>
                        <a:cNvPr id="30" name="TextBox 29"/>
                        <a:cNvSpPr txBox="1"/>
                      </a:nvSpPr>
                      <a:spPr>
                        <a:xfrm>
                          <a:off x="6876256" y="692696"/>
                          <a:ext cx="64807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err="1" smtClean="0"/>
                              <a:t>XbaI</a:t>
                            </a:r>
                            <a:endParaRPr lang="en-GB" dirty="0"/>
                          </a:p>
                        </a:txBody>
                        <a:useSpRect/>
                      </a:txSp>
                    </a:sp>
                    <a:cxnSp>
                      <a:nvCxnSpPr>
                        <a:cNvPr id="34" name="Straight Connector 33"/>
                        <a:cNvCxnSpPr/>
                      </a:nvCxnSpPr>
                      <a:spPr>
                        <a:xfrm flipV="1">
                          <a:off x="2627784" y="1052736"/>
                          <a:ext cx="0" cy="648072"/>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sp>
                      <a:nvSpPr>
                        <a:cNvPr id="36" name="TextBox 35"/>
                        <a:cNvSpPr txBox="1"/>
                      </a:nvSpPr>
                      <a:spPr>
                        <a:xfrm>
                          <a:off x="2267744" y="692696"/>
                          <a:ext cx="72008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err="1" smtClean="0"/>
                              <a:t>EcoRI</a:t>
                            </a:r>
                            <a:endParaRPr lang="en-GB" dirty="0"/>
                          </a:p>
                        </a:txBody>
                        <a:useSpRect/>
                      </a:txSp>
                    </a:sp>
                    <a:sp>
                      <a:nvSpPr>
                        <a:cNvPr id="15" name="TextBox 14"/>
                        <a:cNvSpPr txBox="1"/>
                      </a:nvSpPr>
                      <a:spPr>
                        <a:xfrm>
                          <a:off x="395536" y="1772816"/>
                          <a:ext cx="223224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Promoter</a:t>
                            </a:r>
                            <a:endParaRPr lang="en-GB" dirty="0"/>
                          </a:p>
                        </a:txBody>
                        <a:useSpRect/>
                      </a:txSp>
                    </a:sp>
                    <a:sp>
                      <a:nvSpPr>
                        <a:cNvPr id="16" name="TextBox 15"/>
                        <a:cNvSpPr txBox="1"/>
                      </a:nvSpPr>
                      <a:spPr>
                        <a:xfrm>
                          <a:off x="2627784" y="1772816"/>
                          <a:ext cx="1728192"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err="1" smtClean="0"/>
                              <a:t>Kozak</a:t>
                            </a:r>
                            <a:r>
                              <a:rPr lang="en-GB" dirty="0" smtClean="0"/>
                              <a:t> sequence (shown with start </a:t>
                            </a:r>
                            <a:r>
                              <a:rPr lang="en-GB" dirty="0" err="1" smtClean="0"/>
                              <a:t>codon</a:t>
                            </a:r>
                            <a:r>
                              <a:rPr lang="en-GB" dirty="0" smtClean="0"/>
                              <a:t>)</a:t>
                            </a:r>
                            <a:endParaRPr lang="en-GB" dirty="0"/>
                          </a:p>
                        </a:txBody>
                        <a:useSpRect/>
                      </a:txSp>
                    </a:sp>
                    <a:sp>
                      <a:nvSpPr>
                        <a:cNvPr id="17" name="TextBox 16"/>
                        <a:cNvSpPr txBox="1"/>
                      </a:nvSpPr>
                      <a:spPr>
                        <a:xfrm>
                          <a:off x="4355976" y="1772816"/>
                          <a:ext cx="2592288"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Peroxisomal fluorescent marker</a:t>
                            </a:r>
                            <a:endParaRPr lang="en-GB" dirty="0"/>
                          </a:p>
                        </a:txBody>
                        <a:useSpRect/>
                      </a:txSp>
                    </a:sp>
                    <a:sp>
                      <a:nvSpPr>
                        <a:cNvPr id="18" name="TextBox 17"/>
                        <a:cNvSpPr txBox="1"/>
                      </a:nvSpPr>
                      <a:spPr>
                        <a:xfrm>
                          <a:off x="6948264" y="1772816"/>
                          <a:ext cx="144016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Transcription terminator</a:t>
                            </a:r>
                            <a:endParaRPr lang="en-GB" dirty="0"/>
                          </a:p>
                        </a:txBody>
                        <a:useSpRect/>
                      </a:txSp>
                    </a:sp>
                  </a:grpSp>
                </lc:lockedCanvas>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3.</w:t>
      </w:r>
      <w:r w:rsidR="00336CB9">
        <w:rPr>
          <w:rFonts w:asciiTheme="majorHAnsi" w:hAnsiTheme="majorHAnsi"/>
          <w:b/>
        </w:rPr>
        <w:t>2</w:t>
      </w:r>
      <w:r w:rsidR="004500E7" w:rsidRPr="0013327C">
        <w:rPr>
          <w:rFonts w:asciiTheme="majorHAnsi" w:hAnsiTheme="majorHAnsi"/>
          <w:b/>
        </w:rPr>
        <w:t>.</w:t>
      </w:r>
      <w:proofErr w:type="gramEnd"/>
      <w:r w:rsidRPr="0013327C">
        <w:rPr>
          <w:rFonts w:asciiTheme="majorHAnsi" w:hAnsiTheme="majorHAnsi"/>
          <w:b/>
        </w:rPr>
        <w:t xml:space="preserve"> </w:t>
      </w:r>
      <w:proofErr w:type="gramStart"/>
      <w:r w:rsidR="004500E7" w:rsidRPr="0013327C">
        <w:rPr>
          <w:rFonts w:asciiTheme="majorHAnsi" w:hAnsiTheme="majorHAnsi"/>
          <w:b/>
        </w:rPr>
        <w:t>eGFP-PTS1</w:t>
      </w:r>
      <w:proofErr w:type="gramEnd"/>
      <w:r w:rsidR="004500E7" w:rsidRPr="0013327C">
        <w:rPr>
          <w:rFonts w:asciiTheme="majorHAnsi" w:hAnsiTheme="majorHAnsi"/>
          <w:b/>
        </w:rPr>
        <w:t xml:space="preserve"> cloning schematic. </w:t>
      </w:r>
      <w:proofErr w:type="gramStart"/>
      <w:r w:rsidRPr="0013327C">
        <w:rPr>
          <w:rFonts w:asciiTheme="majorHAnsi" w:hAnsiTheme="majorHAnsi"/>
        </w:rPr>
        <w:t>A schematic representation of the enhanced green fluorescent protein (eGFP) peroxisomal marker.</w:t>
      </w:r>
      <w:proofErr w:type="gramEnd"/>
      <w:r w:rsidRPr="0013327C">
        <w:rPr>
          <w:rFonts w:asciiTheme="majorHAnsi" w:hAnsiTheme="majorHAnsi"/>
        </w:rPr>
        <w:t xml:space="preserve"> Two variations were made, one with the constitutive actin5 promoter and the other with the metallothionein promoter for controlled inducible expression. The eGFP ORF includes one variation of the </w:t>
      </w:r>
      <w:r w:rsidRPr="0013327C">
        <w:rPr>
          <w:rFonts w:asciiTheme="majorHAnsi" w:hAnsiTheme="majorHAnsi"/>
          <w:i/>
        </w:rPr>
        <w:t>Drosophila-</w:t>
      </w:r>
      <w:r w:rsidRPr="0013327C">
        <w:rPr>
          <w:rFonts w:asciiTheme="majorHAnsi" w:hAnsiTheme="majorHAnsi"/>
        </w:rPr>
        <w:t xml:space="preserve">specific </w:t>
      </w:r>
      <w:r w:rsidR="00AD7EF2" w:rsidRPr="0013327C">
        <w:rPr>
          <w:rFonts w:asciiTheme="majorHAnsi" w:hAnsiTheme="majorHAnsi"/>
        </w:rPr>
        <w:t>consensus Kozak</w:t>
      </w:r>
      <w:r w:rsidRPr="0013327C">
        <w:rPr>
          <w:rFonts w:asciiTheme="majorHAnsi" w:hAnsiTheme="majorHAnsi"/>
        </w:rPr>
        <w:t xml:space="preserve"> sequence (C/A-A-A-A/C-A-T-G) upstream from the start codon. Not to Scale.</w:t>
      </w:r>
    </w:p>
    <w:p w:rsidR="00597427" w:rsidRPr="0013327C" w:rsidRDefault="00597427" w:rsidP="00AE0264">
      <w:pPr>
        <w:jc w:val="both"/>
        <w:rPr>
          <w:rFonts w:asciiTheme="majorHAnsi" w:hAnsiTheme="majorHAnsi"/>
          <w:noProof/>
        </w:rPr>
      </w:pPr>
      <w:r w:rsidRPr="0013327C">
        <w:rPr>
          <w:rFonts w:asciiTheme="majorHAnsi" w:hAnsiTheme="majorHAnsi"/>
        </w:rPr>
        <w:t>The two expression constructs were each transfected to two different immortal cell-lines, S2R+</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"Schneider", "given" : "Imogene", "non-dropping-particle" : "", "parse-names" : false, "suffix" : "" } ], "container-title" : "Journal of Embriology and Experiment Morphology", "id" : "ITEM-1", "issue" : "1969", "issued" : { "date-parts" : [ [ "1972" ] ] }, "page" : "353-365", "title" : "Cell lines derived from late embryonic stages of Drosophila melanogaster", "type" : "article-journal", "volume" : "27" }, "uris" : [ "http://www.mendeley.com/documents/?uuid=a474dfbd-973b-4f15-94bf-c1856fef0996" ] } ], "mendeley" : { "manualFormatting" : "(Schneider, 1972)", "previouslyFormattedCitation" : "(Schneider 1972)"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(Schneider, 1972)</w:t>
      </w:r>
      <w:r w:rsidR="009A1FEC" w:rsidRPr="0013327C">
        <w:rPr>
          <w:rFonts w:asciiTheme="majorHAnsi" w:hAnsiTheme="majorHAnsi"/>
        </w:rPr>
        <w:fldChar w:fldCharType="end"/>
      </w:r>
      <w:r w:rsidRPr="0013327C">
        <w:rPr>
          <w:rFonts w:asciiTheme="majorHAnsi" w:hAnsiTheme="majorHAnsi"/>
        </w:rPr>
        <w:t xml:space="preserve"> and Kc167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"Echalier", "given" : "G", "non-dropping-particle" : "", "parse-names" : false, "suffix" : "" }, { "dropping-particle" : "", "family" : "Ohanessian", "given" : "A", "non-dropping-particle" : "", "parse-names" : false, "suffix" : "" } ], "container-title" : "C R Acad Sci Hebd Seances Acad Sci D", "id" : "ITEM-1", "issued" : { "date-parts" : [ [ "1969" ] ] }, "page" : "1771-3", "title" : "Isolation, in tissue culture, of Drosophila melangaster cell lines.", "type" : "article-journal", "volume" : "268" }, "uris" : [ "http://www.mendeley.com/documents/?uuid=cb6608a9-9f97-4a0e-befe-fc0d5d2401bd" ] } ], "mendeley" : { "manualFormatting" : "(Echalier &amp; Ohanessian, 1969)", "previouslyFormattedCitation" : "(Echalier &amp; Ohanessian 1969b)"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(Echalier &amp; Ohanessian, 1969)</w:t>
      </w:r>
      <w:r w:rsidR="009A1FEC" w:rsidRPr="0013327C">
        <w:rPr>
          <w:rFonts w:asciiTheme="majorHAnsi" w:hAnsiTheme="majorHAnsi"/>
        </w:rPr>
        <w:fldChar w:fldCharType="end"/>
      </w:r>
      <w:r w:rsidRPr="0013327C">
        <w:rPr>
          <w:rFonts w:asciiTheme="majorHAnsi" w:hAnsiTheme="majorHAnsi"/>
        </w:rPr>
        <w:t xml:space="preserve"> using Effectene according to Invitrogen’s protocol. </w:t>
      </w:r>
      <w:r w:rsidR="00AD7EF2">
        <w:rPr>
          <w:rFonts w:asciiTheme="majorHAnsi" w:hAnsiTheme="majorHAnsi"/>
        </w:rPr>
        <w:t xml:space="preserve">After </w:t>
      </w:r>
      <w:proofErr w:type="gramStart"/>
      <w:r w:rsidR="00AD7EF2">
        <w:rPr>
          <w:rFonts w:asciiTheme="majorHAnsi" w:hAnsiTheme="majorHAnsi"/>
        </w:rPr>
        <w:t>a 24</w:t>
      </w:r>
      <w:proofErr w:type="gramEnd"/>
      <w:r w:rsidR="00AD7EF2">
        <w:rPr>
          <w:rFonts w:asciiTheme="majorHAnsi" w:hAnsiTheme="majorHAnsi"/>
        </w:rPr>
        <w:t>-</w:t>
      </w:r>
      <w:r w:rsidR="00AD7EF2" w:rsidRPr="0013327C">
        <w:rPr>
          <w:rFonts w:asciiTheme="majorHAnsi" w:hAnsiTheme="majorHAnsi"/>
        </w:rPr>
        <w:t xml:space="preserve">hr incubation the transfection </w:t>
      </w:r>
      <w:r w:rsidR="00AD7EF2" w:rsidRPr="0013327C">
        <w:rPr>
          <w:rFonts w:asciiTheme="majorHAnsi" w:hAnsiTheme="majorHAnsi"/>
        </w:rPr>
        <w:lastRenderedPageBreak/>
        <w:t xml:space="preserve">medium was removed and replaced with 1X Schneider’s medium, for the pMt-eGFP-PTS1 the medium added contained 100µM CuSO4. </w:t>
      </w:r>
      <w:r w:rsidRPr="0013327C">
        <w:rPr>
          <w:rFonts w:asciiTheme="majorHAnsi" w:hAnsiTheme="majorHAnsi"/>
        </w:rPr>
        <w:t>After 16 hr cells were analysed by fluorescence microscopy. Approx. 10-20% of cells were expressing the fluorescent marker protein; more than 20 puncta per cell were observed.</w:t>
      </w:r>
    </w:p>
    <w:p w:rsidR="00597427" w:rsidRPr="0013327C" w:rsidRDefault="00784084" w:rsidP="00AE0264">
      <w:pPr>
        <w:jc w:val="both"/>
        <w:rPr>
          <w:rFonts w:asciiTheme="majorHAnsi" w:hAnsiTheme="majorHAnsi"/>
        </w:rPr>
      </w:pPr>
      <w:r>
        <w:rPr>
          <w:rFonts w:asciiTheme="majorHAnsi" w:hAnsiTheme="majorHAnsi"/>
          <w:noProof/>
          <w:lang w:eastAsia="en-GB"/>
        </w:rPr>
        <w:drawing>
          <wp:inline distT="0" distB="0" distL="0" distR="0">
            <wp:extent cx="5137125" cy="4468483"/>
            <wp:effectExtent l="0" t="0" r="6375"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5138882" cy="4470011"/>
                    </a:xfrm>
                    <a:prstGeom prst="rect">
                      <a:avLst/>
                    </a:prstGeom>
                    <a:noFill/>
                  </pic:spPr>
                </pic:pic>
              </a:graphicData>
            </a:graphic>
          </wp:inline>
        </w:drawing>
      </w:r>
    </w:p>
    <w:p w:rsidR="00597427" w:rsidRPr="00EC16F1" w:rsidRDefault="00597427" w:rsidP="00AE0264">
      <w:pPr>
        <w:jc w:val="both"/>
        <w:rPr>
          <w:rFonts w:asciiTheme="majorHAnsi" w:hAnsiTheme="majorHAnsi"/>
        </w:rPr>
      </w:pPr>
      <w:proofErr w:type="gramStart"/>
      <w:r w:rsidRPr="0013327C">
        <w:rPr>
          <w:rFonts w:asciiTheme="majorHAnsi" w:hAnsiTheme="majorHAnsi"/>
          <w:b/>
        </w:rPr>
        <w:t>Figure 3.</w:t>
      </w:r>
      <w:r w:rsidR="00C7131B">
        <w:rPr>
          <w:rFonts w:asciiTheme="majorHAnsi" w:hAnsiTheme="majorHAnsi"/>
          <w:b/>
        </w:rPr>
        <w:t>3</w:t>
      </w:r>
      <w:r w:rsidR="004500E7" w:rsidRPr="0013327C">
        <w:rPr>
          <w:rFonts w:asciiTheme="majorHAnsi" w:hAnsiTheme="majorHAnsi"/>
          <w:b/>
        </w:rPr>
        <w:t>.</w:t>
      </w:r>
      <w:proofErr w:type="gramEnd"/>
      <w:r w:rsidRPr="0013327C">
        <w:rPr>
          <w:rFonts w:asciiTheme="majorHAnsi" w:hAnsiTheme="majorHAnsi"/>
          <w:b/>
        </w:rPr>
        <w:t xml:space="preserve"> </w:t>
      </w:r>
      <w:proofErr w:type="gramStart"/>
      <w:r w:rsidR="007F7EDC" w:rsidRPr="0013327C">
        <w:rPr>
          <w:rFonts w:asciiTheme="majorHAnsi" w:hAnsiTheme="majorHAnsi"/>
          <w:b/>
        </w:rPr>
        <w:t>Cell-line and plasmid comparison.</w:t>
      </w:r>
      <w:proofErr w:type="gramEnd"/>
      <w:r w:rsidR="007F7EDC" w:rsidRPr="0013327C">
        <w:rPr>
          <w:rFonts w:asciiTheme="majorHAnsi" w:hAnsiTheme="majorHAnsi"/>
          <w:b/>
        </w:rPr>
        <w:t xml:space="preserve"> </w:t>
      </w:r>
      <w:r w:rsidRPr="0013327C">
        <w:rPr>
          <w:rFonts w:asciiTheme="majorHAnsi" w:hAnsiTheme="majorHAnsi"/>
        </w:rPr>
        <w:t>S2R+ and Kc167 cells were each transfected</w:t>
      </w:r>
      <w:r w:rsidRPr="0013327C">
        <w:rPr>
          <w:rFonts w:asciiTheme="majorHAnsi" w:hAnsiTheme="majorHAnsi"/>
          <w:b/>
        </w:rPr>
        <w:t xml:space="preserve"> </w:t>
      </w:r>
      <w:r w:rsidRPr="0013327C">
        <w:rPr>
          <w:rFonts w:asciiTheme="majorHAnsi" w:hAnsiTheme="majorHAnsi"/>
        </w:rPr>
        <w:t>with</w:t>
      </w:r>
      <w:r w:rsidRPr="0013327C">
        <w:rPr>
          <w:rFonts w:asciiTheme="majorHAnsi" w:hAnsiTheme="majorHAnsi"/>
          <w:b/>
        </w:rPr>
        <w:t xml:space="preserve"> </w:t>
      </w:r>
      <w:r w:rsidRPr="0013327C">
        <w:rPr>
          <w:rFonts w:asciiTheme="majorHAnsi" w:hAnsiTheme="majorHAnsi"/>
        </w:rPr>
        <w:t>both</w:t>
      </w:r>
      <w:r w:rsidRPr="0013327C">
        <w:rPr>
          <w:rFonts w:asciiTheme="majorHAnsi" w:hAnsiTheme="majorHAnsi"/>
          <w:b/>
        </w:rPr>
        <w:t xml:space="preserve"> </w:t>
      </w:r>
      <w:r w:rsidRPr="0013327C">
        <w:rPr>
          <w:rFonts w:asciiTheme="majorHAnsi" w:hAnsiTheme="majorHAnsi"/>
        </w:rPr>
        <w:t xml:space="preserve">the </w:t>
      </w:r>
      <w:r w:rsidR="00AD7EF2" w:rsidRPr="0013327C">
        <w:rPr>
          <w:rFonts w:asciiTheme="majorHAnsi" w:hAnsiTheme="majorHAnsi"/>
        </w:rPr>
        <w:t>pA</w:t>
      </w:r>
      <w:r w:rsidR="00AD7EF2">
        <w:rPr>
          <w:rFonts w:asciiTheme="majorHAnsi" w:hAnsiTheme="majorHAnsi"/>
        </w:rPr>
        <w:t>c</w:t>
      </w:r>
      <w:r w:rsidRPr="0013327C">
        <w:rPr>
          <w:rFonts w:asciiTheme="majorHAnsi" w:hAnsiTheme="majorHAnsi"/>
        </w:rPr>
        <w:t xml:space="preserve"> eGFP-PTS1 and pMt eGFP-PTS1. </w:t>
      </w:r>
      <w:r w:rsidR="00EC16F1">
        <w:rPr>
          <w:rFonts w:asciiTheme="majorHAnsi" w:hAnsiTheme="majorHAnsi"/>
        </w:rPr>
        <w:t>Cells were</w:t>
      </w:r>
      <w:r w:rsidR="00784084">
        <w:rPr>
          <w:rFonts w:asciiTheme="majorHAnsi" w:hAnsiTheme="majorHAnsi"/>
        </w:rPr>
        <w:t xml:space="preserve"> induced for 16 hours post transfection with 100µM</w:t>
      </w:r>
      <w:r w:rsidR="00EC16F1">
        <w:rPr>
          <w:rFonts w:asciiTheme="majorHAnsi" w:hAnsiTheme="majorHAnsi"/>
        </w:rPr>
        <w:t xml:space="preserve"> CuSO</w:t>
      </w:r>
      <w:r w:rsidR="00EC16F1">
        <w:rPr>
          <w:rFonts w:asciiTheme="majorHAnsi" w:hAnsiTheme="majorHAnsi"/>
          <w:vertAlign w:val="subscript"/>
        </w:rPr>
        <w:t>4</w:t>
      </w:r>
      <w:r w:rsidR="00EC16F1">
        <w:rPr>
          <w:rFonts w:asciiTheme="majorHAnsi" w:hAnsiTheme="majorHAnsi"/>
        </w:rPr>
        <w:t>. They were fixed and imaged at 40X magnification.</w:t>
      </w:r>
    </w:p>
    <w:p w:rsidR="00597427" w:rsidRPr="0013327C" w:rsidRDefault="00597427" w:rsidP="00AE0264">
      <w:pPr>
        <w:jc w:val="both"/>
        <w:rPr>
          <w:rFonts w:asciiTheme="majorHAnsi" w:hAnsiTheme="majorHAnsi"/>
        </w:rPr>
      </w:pPr>
      <w:r w:rsidRPr="0013327C">
        <w:rPr>
          <w:rFonts w:asciiTheme="majorHAnsi" w:hAnsiTheme="majorHAnsi"/>
        </w:rPr>
        <w:t xml:space="preserve"> As expected, a clear, punctate peroxisomal pattern was observed. The peroxisomal nature is confirmed later in this chapter by initial KDs with </w:t>
      </w:r>
      <w:r w:rsidR="000C26B2" w:rsidRPr="000C26B2">
        <w:rPr>
          <w:rFonts w:asciiTheme="majorHAnsi" w:hAnsiTheme="majorHAnsi"/>
          <w:i/>
        </w:rPr>
        <w:t>PEX</w:t>
      </w:r>
      <w:r w:rsidRPr="0013327C">
        <w:rPr>
          <w:rFonts w:asciiTheme="majorHAnsi" w:hAnsiTheme="majorHAnsi"/>
        </w:rPr>
        <w:t>5 long dsRNA. The most detailed fluorescent peroxisomal patterns were observed using S2R+ cells transfected with the conditional pMt-eGFP-PTS1 plasmid after 24hrs induction with 100µM CuSO</w:t>
      </w:r>
      <w:r w:rsidRPr="0013327C">
        <w:rPr>
          <w:rFonts w:asciiTheme="majorHAnsi" w:hAnsiTheme="majorHAnsi"/>
          <w:vertAlign w:val="subscript"/>
        </w:rPr>
        <w:t>4</w:t>
      </w:r>
      <w:r w:rsidRPr="0013327C">
        <w:rPr>
          <w:rFonts w:asciiTheme="majorHAnsi" w:hAnsiTheme="majorHAnsi"/>
        </w:rPr>
        <w:t xml:space="preserve">. Cells contained ≥20 peroxisomes, visible in a single image at 40X magnification. There was heterogeneity in the expression levels of the reporter, some cells’ peroxisomes were more brightly labelled than others, but this did not seem to have a morphological effect on the phenotype as peroxisome number and size and cell </w:t>
      </w:r>
      <w:r w:rsidRPr="0013327C">
        <w:rPr>
          <w:rFonts w:asciiTheme="majorHAnsi" w:hAnsiTheme="majorHAnsi"/>
        </w:rPr>
        <w:lastRenderedPageBreak/>
        <w:t xml:space="preserve">shape and size did not seem to be affected. Expression of the reporter in S2R+ cells transfected with </w:t>
      </w:r>
      <w:r w:rsidR="00372277" w:rsidRPr="0013327C">
        <w:rPr>
          <w:rFonts w:asciiTheme="majorHAnsi" w:hAnsiTheme="majorHAnsi"/>
        </w:rPr>
        <w:t>pAc</w:t>
      </w:r>
      <w:r w:rsidRPr="0013327C">
        <w:rPr>
          <w:rFonts w:asciiTheme="majorHAnsi" w:hAnsiTheme="majorHAnsi"/>
        </w:rPr>
        <w:t>-eGFP-PTS1 is so high that import into peroxisomes is saturated resulting in a high level of cytosolic fluorescence. The punctate pattern is masked by this high level of cytosolic fluorescence and contrast is lost.</w:t>
      </w:r>
    </w:p>
    <w:p w:rsidR="00597427" w:rsidRPr="0013327C" w:rsidRDefault="00597427" w:rsidP="00AE0264">
      <w:pPr>
        <w:jc w:val="both"/>
        <w:rPr>
          <w:rFonts w:asciiTheme="majorHAnsi" w:hAnsiTheme="majorHAnsi"/>
        </w:rPr>
      </w:pPr>
      <w:r w:rsidRPr="0013327C">
        <w:rPr>
          <w:rFonts w:asciiTheme="majorHAnsi" w:hAnsiTheme="majorHAnsi"/>
        </w:rPr>
        <w:t xml:space="preserve">In Kc167 cells the inducible plasmid resulted in only low levels of fluorescence, too low to obtain a detailed pattern. The expression of </w:t>
      </w:r>
      <w:r w:rsidR="00372277" w:rsidRPr="0013327C">
        <w:rPr>
          <w:rFonts w:asciiTheme="majorHAnsi" w:hAnsiTheme="majorHAnsi"/>
        </w:rPr>
        <w:t>pAc</w:t>
      </w:r>
      <w:r w:rsidRPr="0013327C">
        <w:rPr>
          <w:rFonts w:asciiTheme="majorHAnsi" w:hAnsiTheme="majorHAnsi"/>
        </w:rPr>
        <w:t xml:space="preserve">-eGFP-PTS1 resulted in good levels of expression for peroxisomal puncta but many of these puncta were out of focus. </w:t>
      </w:r>
      <w:r w:rsidR="00372277" w:rsidRPr="0013327C">
        <w:rPr>
          <w:rFonts w:asciiTheme="majorHAnsi" w:hAnsiTheme="majorHAnsi"/>
        </w:rPr>
        <w:t xml:space="preserve">The Kc167 cells are so tall when sat on the growth surface that not only are many of the puncta out of focus but their </w:t>
      </w:r>
      <w:r w:rsidR="00372277">
        <w:rPr>
          <w:rFonts w:asciiTheme="majorHAnsi" w:hAnsiTheme="majorHAnsi"/>
        </w:rPr>
        <w:t xml:space="preserve">peroxisome per cell quantities </w:t>
      </w:r>
      <w:r w:rsidR="00372277" w:rsidRPr="0013327C">
        <w:rPr>
          <w:rFonts w:asciiTheme="majorHAnsi" w:hAnsiTheme="majorHAnsi"/>
        </w:rPr>
        <w:t xml:space="preserve">are visibly reduced and the out of focus fluorescence reduces the contrast with the puncta. </w:t>
      </w:r>
      <w:r w:rsidRPr="0013327C">
        <w:rPr>
          <w:rFonts w:asciiTheme="majorHAnsi" w:hAnsiTheme="majorHAnsi"/>
        </w:rPr>
        <w:t>The image is improved with creating a composite image by z-stacking but this is impractical for a high-throughput screen such as this. 53 plates, each containing 384 wells, are to be photographed in 9 locations in two fluorescent channels; 366,336 images totalling nearly 2TB of digital storage space will be produced. Taking z-stacks of each location is not practical. The puncta of the S2R+ cells are almost all visible in one focal plane as the cellular periphery spreads out over the growth surface (see Fig. 3.1.5.3). With many cells spread over the growth surface it is possible to view many cells’ peroxisomes in one image.</w:t>
      </w:r>
    </w:p>
    <w:p w:rsidR="00597427" w:rsidRDefault="00597427" w:rsidP="00AE0264">
      <w:pPr>
        <w:jc w:val="both"/>
        <w:rPr>
          <w:rFonts w:asciiTheme="majorHAnsi" w:hAnsiTheme="majorHAnsi"/>
        </w:rPr>
      </w:pPr>
      <w:r w:rsidRPr="0013327C">
        <w:rPr>
          <w:rFonts w:asciiTheme="majorHAnsi" w:hAnsiTheme="majorHAnsi"/>
        </w:rPr>
        <w:t>It was decided that the S2R+ cell line would be used transfected with the pMt-eGFP-PTS1 inducible peroxisomal fluorescent marker. With this combination in a single image almost all the peroxisomes in all the transfected cells can be imaged, removing the need for merging a z-stack of images.</w:t>
      </w:r>
    </w:p>
    <w:p w:rsidR="00272C63" w:rsidRDefault="00272C63" w:rsidP="00AE0264">
      <w:pPr>
        <w:jc w:val="both"/>
        <w:rPr>
          <w:rFonts w:asciiTheme="majorHAnsi" w:hAnsiTheme="majorHAnsi"/>
        </w:rPr>
      </w:pPr>
    </w:p>
    <w:p w:rsidR="00272C63" w:rsidRPr="0013327C" w:rsidRDefault="00272C63" w:rsidP="00AE0264">
      <w:pPr>
        <w:jc w:val="both"/>
        <w:rPr>
          <w:rFonts w:asciiTheme="majorHAnsi" w:hAnsiTheme="majorHAnsi"/>
        </w:rPr>
      </w:pPr>
    </w:p>
    <w:p w:rsidR="00597427" w:rsidRPr="0013327C" w:rsidRDefault="00597427" w:rsidP="00AE0264">
      <w:pPr>
        <w:tabs>
          <w:tab w:val="left" w:pos="294"/>
        </w:tabs>
        <w:jc w:val="both"/>
        <w:rPr>
          <w:rFonts w:asciiTheme="majorHAnsi" w:hAnsiTheme="majorHAnsi"/>
        </w:rPr>
      </w:pPr>
      <w:r w:rsidRPr="0013327C">
        <w:rPr>
          <w:rFonts w:asciiTheme="majorHAnsi" w:hAnsiTheme="majorHAnsi"/>
          <w:noProof/>
          <w:lang w:eastAsia="en-GB"/>
        </w:rPr>
        <w:lastRenderedPageBreak/>
        <w:drawing>
          <wp:inline distT="0" distB="0" distL="0" distR="0">
            <wp:extent cx="5731510" cy="2649599"/>
            <wp:effectExtent l="19050" t="0" r="2540" b="0"/>
            <wp:docPr id="70"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32848" cy="3528392"/>
                      <a:chOff x="971600" y="1052736"/>
                      <a:chExt cx="7632848" cy="3528392"/>
                    </a:xfrm>
                  </a:grpSpPr>
                  <a:grpSp>
                    <a:nvGrpSpPr>
                      <a:cNvPr id="52" name="Group 51"/>
                      <a:cNvGrpSpPr/>
                    </a:nvGrpSpPr>
                    <a:grpSpPr>
                      <a:xfrm>
                        <a:off x="971600" y="1052736"/>
                        <a:ext cx="7632848" cy="3528392"/>
                        <a:chOff x="971600" y="1052736"/>
                        <a:chExt cx="7632848" cy="3528392"/>
                      </a:xfrm>
                    </a:grpSpPr>
                    <a:grpSp>
                      <a:nvGrpSpPr>
                        <a:cNvPr id="3" name="Group 52"/>
                        <a:cNvGrpSpPr/>
                      </a:nvGrpSpPr>
                      <a:grpSpPr>
                        <a:xfrm>
                          <a:off x="971600" y="1052736"/>
                          <a:ext cx="7632848" cy="3528392"/>
                          <a:chOff x="971600" y="1052736"/>
                          <a:chExt cx="7632848" cy="3528392"/>
                        </a:xfrm>
                      </a:grpSpPr>
                      <a:sp>
                        <a:nvSpPr>
                          <a:cNvPr id="4" name="Rectangle 3"/>
                          <a:cNvSpPr/>
                        </a:nvSpPr>
                        <a:spPr>
                          <a:xfrm>
                            <a:off x="971600" y="1052736"/>
                            <a:ext cx="7632848" cy="3528392"/>
                          </a:xfrm>
                          <a:prstGeom prst="rect">
                            <a:avLst/>
                          </a:prstGeom>
                          <a:solidFill>
                            <a:schemeClr val="bg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Oval 18"/>
                          <a:cNvSpPr>
                            <a:spLocks noChangeArrowheads="1"/>
                          </a:cNvSpPr>
                        </a:nvSpPr>
                        <a:spPr bwMode="auto">
                          <a:xfrm>
                            <a:off x="6236246" y="1844824"/>
                            <a:ext cx="857250" cy="504379"/>
                          </a:xfrm>
                          <a:prstGeom prst="ellipse">
                            <a:avLst/>
                          </a:prstGeom>
                          <a:solidFill>
                            <a:schemeClr val="tx1"/>
                          </a:solidFill>
                          <a:ln w="9525">
                            <a:solidFill>
                              <a:schemeClr val="bg1"/>
                            </a:solid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6" name="Line 8"/>
                          <a:cNvSpPr>
                            <a:spLocks noChangeShapeType="1"/>
                          </a:cNvSpPr>
                        </a:nvSpPr>
                        <a:spPr bwMode="auto">
                          <a:xfrm>
                            <a:off x="5076056" y="2348880"/>
                            <a:ext cx="3024188" cy="1587"/>
                          </a:xfrm>
                          <a:prstGeom prst="line">
                            <a:avLst/>
                          </a:prstGeom>
                          <a:noFill/>
                          <a:ln w="38100">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7" name="AutoShape 13"/>
                          <a:cNvSpPr>
                            <a:spLocks noChangeArrowheads="1"/>
                          </a:cNvSpPr>
                        </a:nvSpPr>
                        <a:spPr bwMode="auto">
                          <a:xfrm>
                            <a:off x="5363121" y="2132856"/>
                            <a:ext cx="2376487" cy="216024"/>
                          </a:xfrm>
                          <a:prstGeom prst="roundRect">
                            <a:avLst>
                              <a:gd name="adj" fmla="val 50000"/>
                            </a:avLst>
                          </a:prstGeom>
                          <a:solidFill>
                            <a:schemeClr val="tx1"/>
                          </a:solidFill>
                          <a:ln w="9525">
                            <a:solidFill>
                              <a:schemeClr val="tx1"/>
                            </a:solid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8" name="Oval 19"/>
                          <a:cNvSpPr>
                            <a:spLocks noChangeArrowheads="1"/>
                          </a:cNvSpPr>
                        </a:nvSpPr>
                        <a:spPr bwMode="auto">
                          <a:xfrm>
                            <a:off x="6084168" y="3501578"/>
                            <a:ext cx="1152127" cy="720725"/>
                          </a:xfrm>
                          <a:prstGeom prst="ellipse">
                            <a:avLst/>
                          </a:prstGeom>
                          <a:solidFill>
                            <a:schemeClr val="tx1"/>
                          </a:solidFill>
                          <a:ln w="9525">
                            <a:solidFill>
                              <a:schemeClr val="bg1"/>
                            </a:solid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9" name="Line 20"/>
                          <a:cNvSpPr>
                            <a:spLocks noChangeShapeType="1"/>
                          </a:cNvSpPr>
                        </a:nvSpPr>
                        <a:spPr bwMode="auto">
                          <a:xfrm>
                            <a:off x="5148064" y="4221089"/>
                            <a:ext cx="2952328" cy="0"/>
                          </a:xfrm>
                          <a:prstGeom prst="line">
                            <a:avLst/>
                          </a:prstGeom>
                          <a:noFill/>
                          <a:ln w="38100">
                            <a:solidFill>
                              <a:schemeClr val="tx1"/>
                            </a:solidFill>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10" name="Oval 21"/>
                          <a:cNvSpPr>
                            <a:spLocks noChangeArrowheads="1"/>
                          </a:cNvSpPr>
                        </a:nvSpPr>
                        <a:spPr bwMode="auto">
                          <a:xfrm>
                            <a:off x="6444208" y="3645024"/>
                            <a:ext cx="504056" cy="432048"/>
                          </a:xfrm>
                          <a:prstGeom prst="ellipse">
                            <a:avLst/>
                          </a:prstGeom>
                          <a:solidFill>
                            <a:schemeClr val="accent1"/>
                          </a:solidFill>
                          <a:ln w="9525">
                            <a:solidFill>
                              <a:schemeClr val="tx1"/>
                            </a:solid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5" name="Oval 29"/>
                          <a:cNvSpPr>
                            <a:spLocks noChangeArrowheads="1"/>
                          </a:cNvSpPr>
                        </a:nvSpPr>
                        <a:spPr bwMode="auto">
                          <a:xfrm>
                            <a:off x="6948264" y="3717032"/>
                            <a:ext cx="71437" cy="73025"/>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7" name="Oval 31"/>
                          <a:cNvSpPr>
                            <a:spLocks noChangeArrowheads="1"/>
                          </a:cNvSpPr>
                        </a:nvSpPr>
                        <a:spPr bwMode="auto">
                          <a:xfrm>
                            <a:off x="6372845" y="3788916"/>
                            <a:ext cx="71438" cy="73025"/>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8" name="Oval 32"/>
                          <a:cNvSpPr>
                            <a:spLocks noChangeArrowheads="1"/>
                          </a:cNvSpPr>
                        </a:nvSpPr>
                        <a:spPr bwMode="auto">
                          <a:xfrm>
                            <a:off x="6876256" y="4005064"/>
                            <a:ext cx="71437" cy="73025"/>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2" name="Oval 36"/>
                          <a:cNvSpPr>
                            <a:spLocks noChangeArrowheads="1"/>
                          </a:cNvSpPr>
                        </a:nvSpPr>
                        <a:spPr bwMode="auto">
                          <a:xfrm>
                            <a:off x="6493421" y="2096790"/>
                            <a:ext cx="93662" cy="109538"/>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29" name="Oval 9"/>
                          <a:cNvSpPr>
                            <a:spLocks noChangeArrowheads="1"/>
                          </a:cNvSpPr>
                        </a:nvSpPr>
                        <a:spPr bwMode="auto">
                          <a:xfrm>
                            <a:off x="6372200" y="1916832"/>
                            <a:ext cx="548258" cy="360040"/>
                          </a:xfrm>
                          <a:prstGeom prst="ellipse">
                            <a:avLst/>
                          </a:prstGeom>
                          <a:solidFill>
                            <a:schemeClr val="accent1"/>
                          </a:solidFill>
                          <a:ln w="9525">
                            <a:solidFill>
                              <a:schemeClr val="tx1"/>
                            </a:solid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33" name="Line 46"/>
                          <a:cNvSpPr>
                            <a:spLocks noChangeShapeType="1"/>
                          </a:cNvSpPr>
                        </a:nvSpPr>
                        <a:spPr bwMode="auto">
                          <a:xfrm>
                            <a:off x="5652120" y="3573016"/>
                            <a:ext cx="2087563" cy="0"/>
                          </a:xfrm>
                          <a:prstGeom prst="line">
                            <a:avLst/>
                          </a:prstGeom>
                          <a:noFill/>
                          <a:ln w="3175">
                            <a:solidFill>
                              <a:srgbClr val="FA2812"/>
                            </a:solidFill>
                            <a:prstDash val="sysDot"/>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34" name="Line 47"/>
                          <a:cNvSpPr>
                            <a:spLocks noChangeShapeType="1"/>
                          </a:cNvSpPr>
                        </a:nvSpPr>
                        <a:spPr bwMode="auto">
                          <a:xfrm>
                            <a:off x="5652120" y="3789040"/>
                            <a:ext cx="2087563" cy="0"/>
                          </a:xfrm>
                          <a:prstGeom prst="line">
                            <a:avLst/>
                          </a:prstGeom>
                          <a:noFill/>
                          <a:ln w="3175">
                            <a:solidFill>
                              <a:srgbClr val="FA2812"/>
                            </a:solidFill>
                            <a:prstDash val="sysDot"/>
                            <a:round/>
                            <a:headEnd/>
                            <a:tailEnd/>
                          </a:ln>
                        </a:spPr>
                        <a:txSp>
                          <a:txBody>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pic>
                        <a:nvPicPr>
                          <a:cNvPr id="36" name="Picture 7" descr="WT6daysind1Gonly"/>
                          <a:cNvPicPr>
                            <a:picLocks noChangeAspect="1" noChangeArrowheads="1"/>
                          </a:cNvPicPr>
                        </a:nvPicPr>
                        <a:blipFill>
                          <a:blip r:embed="rId40" cstate="print">
                            <a:lum bright="10000" contrast="24000"/>
                          </a:blip>
                          <a:srcRect l="29407" t="25055" r="53787" b="50608"/>
                          <a:stretch>
                            <a:fillRect/>
                          </a:stretch>
                        </a:blipFill>
                        <a:spPr>
                          <a:xfrm>
                            <a:off x="2195736" y="1124744"/>
                            <a:ext cx="1440160" cy="1512168"/>
                          </a:xfrm>
                          <a:prstGeom prst="rect">
                            <a:avLst/>
                          </a:prstGeom>
                          <a:noFill/>
                        </a:spPr>
                      </a:pic>
                      <a:pic>
                        <a:nvPicPr>
                          <a:cNvPr id="37" name="Picture 7" descr="WT6daysind1Gonly"/>
                          <a:cNvPicPr>
                            <a:picLocks noChangeAspect="1" noChangeArrowheads="1"/>
                          </a:cNvPicPr>
                        </a:nvPicPr>
                        <a:blipFill>
                          <a:blip r:embed="rId40" cstate="print">
                            <a:lum bright="10000" contrast="24000"/>
                          </a:blip>
                          <a:srcRect l="30246" t="50145" r="59920" b="35542"/>
                          <a:stretch>
                            <a:fillRect/>
                          </a:stretch>
                        </a:blipFill>
                        <a:spPr>
                          <a:xfrm>
                            <a:off x="2195736" y="2708920"/>
                            <a:ext cx="1440000" cy="1519822"/>
                          </a:xfrm>
                          <a:prstGeom prst="rect">
                            <a:avLst/>
                          </a:prstGeom>
                          <a:noFill/>
                        </a:spPr>
                      </a:pic>
                      <a:sp>
                        <a:nvSpPr>
                          <a:cNvPr id="38" name="TextBox 37"/>
                          <a:cNvSpPr txBox="1"/>
                        </a:nvSpPr>
                        <a:spPr>
                          <a:xfrm>
                            <a:off x="1187624" y="3284984"/>
                            <a:ext cx="72008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800" dirty="0"/>
                                <a:t>b</a:t>
                              </a:r>
                            </a:p>
                          </a:txBody>
                          <a:useSpRect/>
                        </a:txSp>
                      </a:sp>
                      <a:sp>
                        <a:nvSpPr>
                          <a:cNvPr id="39" name="TextBox 38"/>
                          <a:cNvSpPr txBox="1"/>
                        </a:nvSpPr>
                        <a:spPr>
                          <a:xfrm>
                            <a:off x="1196008" y="1637184"/>
                            <a:ext cx="72008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800" dirty="0" smtClean="0"/>
                                <a:t>a</a:t>
                              </a:r>
                              <a:endParaRPr lang="en-GB" sz="2800" dirty="0"/>
                            </a:p>
                          </a:txBody>
                          <a:useSpRect/>
                        </a:txSp>
                      </a:sp>
                      <a:cxnSp>
                        <a:nvCxnSpPr>
                          <a:cNvPr id="41" name="Straight Connector 40"/>
                          <a:cNvCxnSpPr/>
                        </a:nvCxnSpPr>
                        <a:spPr>
                          <a:xfrm flipH="1" flipV="1">
                            <a:off x="3779912" y="2780928"/>
                            <a:ext cx="1368152" cy="1224136"/>
                          </a:xfrm>
                          <a:prstGeom prst="line">
                            <a:avLst/>
                          </a:prstGeom>
                          <a:ln>
                            <a:solidFill>
                              <a:srgbClr val="FF0000"/>
                            </a:solidFill>
                            <a:prstDash val="dash"/>
                          </a:ln>
                        </a:spPr>
                        <a:style>
                          <a:lnRef idx="1">
                            <a:schemeClr val="accent1"/>
                          </a:lnRef>
                          <a:fillRef idx="0">
                            <a:schemeClr val="accent1"/>
                          </a:fillRef>
                          <a:effectRef idx="0">
                            <a:schemeClr val="accent1"/>
                          </a:effectRef>
                          <a:fontRef idx="minor">
                            <a:schemeClr val="tx1"/>
                          </a:fontRef>
                        </a:style>
                      </a:cxnSp>
                      <a:cxnSp>
                        <a:nvCxnSpPr>
                          <a:cNvPr id="42" name="Straight Connector 41"/>
                          <a:cNvCxnSpPr/>
                        </a:nvCxnSpPr>
                        <a:spPr>
                          <a:xfrm flipH="1">
                            <a:off x="3779912" y="4005064"/>
                            <a:ext cx="1368152" cy="216024"/>
                          </a:xfrm>
                          <a:prstGeom prst="line">
                            <a:avLst/>
                          </a:prstGeom>
                          <a:ln>
                            <a:solidFill>
                              <a:srgbClr val="FF0000"/>
                            </a:solidFill>
                            <a:prstDash val="dash"/>
                          </a:ln>
                        </a:spPr>
                        <a:style>
                          <a:lnRef idx="1">
                            <a:schemeClr val="accent1"/>
                          </a:lnRef>
                          <a:fillRef idx="0">
                            <a:schemeClr val="accent1"/>
                          </a:fillRef>
                          <a:effectRef idx="0">
                            <a:schemeClr val="accent1"/>
                          </a:effectRef>
                          <a:fontRef idx="minor">
                            <a:schemeClr val="tx1"/>
                          </a:fontRef>
                        </a:style>
                      </a:cxnSp>
                      <a:cxnSp>
                        <a:nvCxnSpPr>
                          <a:cNvPr id="45" name="Straight Connector 44"/>
                          <a:cNvCxnSpPr/>
                        </a:nvCxnSpPr>
                        <a:spPr>
                          <a:xfrm flipH="1" flipV="1">
                            <a:off x="3779912" y="1124744"/>
                            <a:ext cx="1368152" cy="1080120"/>
                          </a:xfrm>
                          <a:prstGeom prst="line">
                            <a:avLst/>
                          </a:prstGeom>
                          <a:ln>
                            <a:solidFill>
                              <a:srgbClr val="FF0000"/>
                            </a:solidFill>
                            <a:prstDash val="dash"/>
                          </a:ln>
                        </a:spPr>
                        <a:style>
                          <a:lnRef idx="1">
                            <a:schemeClr val="accent1"/>
                          </a:lnRef>
                          <a:fillRef idx="0">
                            <a:schemeClr val="accent1"/>
                          </a:fillRef>
                          <a:effectRef idx="0">
                            <a:schemeClr val="accent1"/>
                          </a:effectRef>
                          <a:fontRef idx="minor">
                            <a:schemeClr val="tx1"/>
                          </a:fontRef>
                        </a:style>
                      </a:cxnSp>
                      <a:cxnSp>
                        <a:nvCxnSpPr>
                          <a:cNvPr id="49" name="Straight Connector 48"/>
                          <a:cNvCxnSpPr/>
                        </a:nvCxnSpPr>
                        <a:spPr>
                          <a:xfrm flipH="1">
                            <a:off x="3779912" y="2204864"/>
                            <a:ext cx="1368152" cy="432048"/>
                          </a:xfrm>
                          <a:prstGeom prst="line">
                            <a:avLst/>
                          </a:prstGeom>
                          <a:ln>
                            <a:solidFill>
                              <a:srgbClr val="FF0000"/>
                            </a:solidFill>
                            <a:prstDash val="dash"/>
                          </a:ln>
                        </a:spPr>
                        <a:style>
                          <a:lnRef idx="1">
                            <a:schemeClr val="accent1"/>
                          </a:lnRef>
                          <a:fillRef idx="0">
                            <a:schemeClr val="accent1"/>
                          </a:fillRef>
                          <a:effectRef idx="0">
                            <a:schemeClr val="accent1"/>
                          </a:effectRef>
                          <a:fontRef idx="minor">
                            <a:schemeClr val="tx1"/>
                          </a:fontRef>
                        </a:style>
                      </a:cxnSp>
                    </a:grpSp>
                    <a:sp>
                      <a:nvSpPr>
                        <a:cNvPr id="54" name="Oval 30"/>
                        <a:cNvSpPr>
                          <a:spLocks noChangeArrowheads="1"/>
                        </a:cNvSpPr>
                      </a:nvSpPr>
                      <a:spPr bwMode="auto">
                        <a:xfrm>
                          <a:off x="6804248" y="3573016"/>
                          <a:ext cx="71438" cy="73025"/>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55" name="Oval 30"/>
                        <a:cNvSpPr>
                          <a:spLocks noChangeArrowheads="1"/>
                        </a:cNvSpPr>
                      </a:nvSpPr>
                      <a:spPr bwMode="auto">
                        <a:xfrm>
                          <a:off x="6444208" y="3573016"/>
                          <a:ext cx="71438" cy="73025"/>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60" name="Oval 29"/>
                        <a:cNvSpPr>
                          <a:spLocks noChangeArrowheads="1"/>
                        </a:cNvSpPr>
                      </a:nvSpPr>
                      <a:spPr bwMode="auto">
                        <a:xfrm>
                          <a:off x="7092280" y="3861048"/>
                          <a:ext cx="71437" cy="73025"/>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61" name="Oval 29"/>
                        <a:cNvSpPr>
                          <a:spLocks noChangeArrowheads="1"/>
                        </a:cNvSpPr>
                      </a:nvSpPr>
                      <a:spPr bwMode="auto">
                        <a:xfrm>
                          <a:off x="7092280" y="3717032"/>
                          <a:ext cx="71437" cy="73025"/>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63" name="Oval 29"/>
                        <a:cNvSpPr>
                          <a:spLocks noChangeArrowheads="1"/>
                        </a:cNvSpPr>
                      </a:nvSpPr>
                      <a:spPr bwMode="auto">
                        <a:xfrm>
                          <a:off x="6156176" y="3861048"/>
                          <a:ext cx="71437" cy="73025"/>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64" name="Oval 29"/>
                        <a:cNvSpPr>
                          <a:spLocks noChangeArrowheads="1"/>
                        </a:cNvSpPr>
                      </a:nvSpPr>
                      <a:spPr bwMode="auto">
                        <a:xfrm>
                          <a:off x="6300191" y="3645023"/>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65" name="Oval 29"/>
                        <a:cNvSpPr>
                          <a:spLocks noChangeArrowheads="1"/>
                        </a:cNvSpPr>
                      </a:nvSpPr>
                      <a:spPr bwMode="auto">
                        <a:xfrm>
                          <a:off x="6372200" y="4077072"/>
                          <a:ext cx="71437" cy="73025"/>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66" name="Oval 26"/>
                        <a:cNvSpPr>
                          <a:spLocks noChangeArrowheads="1"/>
                        </a:cNvSpPr>
                      </a:nvSpPr>
                      <a:spPr bwMode="auto">
                        <a:xfrm>
                          <a:off x="5436095" y="2204863"/>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67" name="Oval 26"/>
                        <a:cNvSpPr>
                          <a:spLocks noChangeArrowheads="1"/>
                        </a:cNvSpPr>
                      </a:nvSpPr>
                      <a:spPr bwMode="auto">
                        <a:xfrm>
                          <a:off x="5652119" y="2132855"/>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68" name="Oval 26"/>
                        <a:cNvSpPr>
                          <a:spLocks noChangeArrowheads="1"/>
                        </a:cNvSpPr>
                      </a:nvSpPr>
                      <a:spPr bwMode="auto">
                        <a:xfrm>
                          <a:off x="5940151" y="2204863"/>
                          <a:ext cx="72000" cy="72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69" name="Oval 26"/>
                        <a:cNvSpPr>
                          <a:spLocks noChangeArrowheads="1"/>
                        </a:cNvSpPr>
                      </a:nvSpPr>
                      <a:spPr bwMode="auto">
                        <a:xfrm>
                          <a:off x="6156175" y="2204863"/>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0" name="Oval 26"/>
                        <a:cNvSpPr>
                          <a:spLocks noChangeArrowheads="1"/>
                        </a:cNvSpPr>
                      </a:nvSpPr>
                      <a:spPr bwMode="auto">
                        <a:xfrm>
                          <a:off x="5796135" y="2204863"/>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1" name="Oval 26"/>
                        <a:cNvSpPr>
                          <a:spLocks noChangeArrowheads="1"/>
                        </a:cNvSpPr>
                      </a:nvSpPr>
                      <a:spPr bwMode="auto">
                        <a:xfrm>
                          <a:off x="6372199" y="2204863"/>
                          <a:ext cx="72000" cy="72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2" name="Oval 26"/>
                        <a:cNvSpPr>
                          <a:spLocks noChangeArrowheads="1"/>
                        </a:cNvSpPr>
                      </a:nvSpPr>
                      <a:spPr bwMode="auto">
                        <a:xfrm>
                          <a:off x="6300191" y="2060847"/>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3" name="Oval 26"/>
                        <a:cNvSpPr>
                          <a:spLocks noChangeArrowheads="1"/>
                        </a:cNvSpPr>
                      </a:nvSpPr>
                      <a:spPr bwMode="auto">
                        <a:xfrm>
                          <a:off x="6588224" y="1844824"/>
                          <a:ext cx="71437" cy="73025"/>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4" name="Oval 26"/>
                        <a:cNvSpPr>
                          <a:spLocks noChangeArrowheads="1"/>
                        </a:cNvSpPr>
                      </a:nvSpPr>
                      <a:spPr bwMode="auto">
                        <a:xfrm>
                          <a:off x="6948263" y="2060847"/>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5" name="Oval 26"/>
                        <a:cNvSpPr>
                          <a:spLocks noChangeArrowheads="1"/>
                        </a:cNvSpPr>
                      </a:nvSpPr>
                      <a:spPr bwMode="auto">
                        <a:xfrm>
                          <a:off x="7092279" y="2204863"/>
                          <a:ext cx="72000" cy="72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6" name="Oval 26"/>
                        <a:cNvSpPr>
                          <a:spLocks noChangeArrowheads="1"/>
                        </a:cNvSpPr>
                      </a:nvSpPr>
                      <a:spPr bwMode="auto">
                        <a:xfrm>
                          <a:off x="7308304" y="2132856"/>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7" name="Oval 26"/>
                        <a:cNvSpPr>
                          <a:spLocks noChangeArrowheads="1"/>
                        </a:cNvSpPr>
                      </a:nvSpPr>
                      <a:spPr bwMode="auto">
                        <a:xfrm>
                          <a:off x="7596335" y="2132855"/>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9" name="Oval 29"/>
                        <a:cNvSpPr>
                          <a:spLocks noChangeArrowheads="1"/>
                        </a:cNvSpPr>
                      </a:nvSpPr>
                      <a:spPr bwMode="auto">
                        <a:xfrm>
                          <a:off x="6156176" y="3717032"/>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80" name="Oval 29"/>
                        <a:cNvSpPr>
                          <a:spLocks noChangeArrowheads="1"/>
                        </a:cNvSpPr>
                      </a:nvSpPr>
                      <a:spPr bwMode="auto">
                        <a:xfrm>
                          <a:off x="7020272" y="3933056"/>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81" name="Oval 29"/>
                        <a:cNvSpPr>
                          <a:spLocks noChangeArrowheads="1"/>
                        </a:cNvSpPr>
                      </a:nvSpPr>
                      <a:spPr bwMode="auto">
                        <a:xfrm>
                          <a:off x="6516216" y="4077072"/>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82" name="Oval 29"/>
                        <a:cNvSpPr>
                          <a:spLocks noChangeArrowheads="1"/>
                        </a:cNvSpPr>
                      </a:nvSpPr>
                      <a:spPr bwMode="auto">
                        <a:xfrm>
                          <a:off x="6300192" y="3933056"/>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83" name="Oval 29"/>
                        <a:cNvSpPr>
                          <a:spLocks noChangeArrowheads="1"/>
                        </a:cNvSpPr>
                      </a:nvSpPr>
                      <a:spPr bwMode="auto">
                        <a:xfrm>
                          <a:off x="6588224" y="3501008"/>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84" name="Oval 29"/>
                        <a:cNvSpPr>
                          <a:spLocks noChangeArrowheads="1"/>
                        </a:cNvSpPr>
                      </a:nvSpPr>
                      <a:spPr bwMode="auto">
                        <a:xfrm>
                          <a:off x="6732240" y="4077072"/>
                          <a:ext cx="108000" cy="108000"/>
                        </a:xfrm>
                        <a:prstGeom prst="ellipse">
                          <a:avLst/>
                        </a:prstGeom>
                        <a:solidFill>
                          <a:srgbClr val="00FF00"/>
                        </a:solidFill>
                        <a:ln w="9525">
                          <a:noFill/>
                          <a:round/>
                          <a:headEnd/>
                          <a:tailEnd/>
                        </a:ln>
                      </a:spPr>
                      <a:txSp>
                        <a:txBody>
                          <a:bodyPr wrap="none"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cxnSp>
                      <a:nvCxnSpPr>
                        <a:cNvPr id="86" name="Straight Connector 85"/>
                        <a:cNvCxnSpPr/>
                      </a:nvCxnSpPr>
                      <a:spPr>
                        <a:xfrm>
                          <a:off x="5148064" y="2204864"/>
                          <a:ext cx="2952328" cy="0"/>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87" name="Straight Connector 86"/>
                        <a:cNvCxnSpPr/>
                      </a:nvCxnSpPr>
                      <a:spPr>
                        <a:xfrm>
                          <a:off x="5148064" y="4005064"/>
                          <a:ext cx="2952328" cy="0"/>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597427" w:rsidRPr="0013327C" w:rsidRDefault="007F7EDC" w:rsidP="00AE0264">
      <w:pPr>
        <w:tabs>
          <w:tab w:val="left" w:pos="294"/>
        </w:tabs>
        <w:jc w:val="both"/>
        <w:rPr>
          <w:rFonts w:asciiTheme="majorHAnsi" w:hAnsiTheme="majorHAnsi"/>
        </w:rPr>
      </w:pPr>
      <w:proofErr w:type="gramStart"/>
      <w:r w:rsidRPr="0013327C">
        <w:rPr>
          <w:rFonts w:asciiTheme="majorHAnsi" w:hAnsiTheme="majorHAnsi"/>
          <w:b/>
        </w:rPr>
        <w:t>Figure 3.</w:t>
      </w:r>
      <w:r w:rsidR="00A944F3">
        <w:rPr>
          <w:rFonts w:asciiTheme="majorHAnsi" w:hAnsiTheme="majorHAnsi"/>
          <w:b/>
        </w:rPr>
        <w:t>4</w:t>
      </w:r>
      <w:r w:rsidRPr="0013327C">
        <w:rPr>
          <w:rFonts w:asciiTheme="majorHAnsi" w:hAnsiTheme="majorHAnsi"/>
          <w:b/>
        </w:rPr>
        <w:t>.</w:t>
      </w:r>
      <w:proofErr w:type="gramEnd"/>
      <w:r w:rsidR="00597427" w:rsidRPr="0013327C">
        <w:rPr>
          <w:rFonts w:asciiTheme="majorHAnsi" w:hAnsiTheme="majorHAnsi"/>
          <w:b/>
        </w:rPr>
        <w:t xml:space="preserve"> </w:t>
      </w:r>
      <w:r w:rsidRPr="0013327C">
        <w:rPr>
          <w:rFonts w:asciiTheme="majorHAnsi" w:hAnsiTheme="majorHAnsi"/>
          <w:b/>
        </w:rPr>
        <w:t xml:space="preserve">Cross-section of S2R+ and Kc167 cells with pMt-eGFP-PTS1. </w:t>
      </w:r>
      <w:proofErr w:type="gramStart"/>
      <w:r w:rsidR="00597427" w:rsidRPr="0013327C">
        <w:rPr>
          <w:rFonts w:asciiTheme="majorHAnsi" w:hAnsiTheme="majorHAnsi"/>
        </w:rPr>
        <w:t>S2R+ cells (a) transiently transfected with pMt-eGFP-PTS1 after 16 hours of induction with 100µM CuSO</w:t>
      </w:r>
      <w:r w:rsidR="00597427" w:rsidRPr="0013327C">
        <w:rPr>
          <w:rFonts w:asciiTheme="majorHAnsi" w:hAnsiTheme="majorHAnsi"/>
          <w:vertAlign w:val="subscript"/>
        </w:rPr>
        <w:t>4</w:t>
      </w:r>
      <w:r w:rsidR="00597427" w:rsidRPr="0013327C">
        <w:rPr>
          <w:rFonts w:asciiTheme="majorHAnsi" w:hAnsiTheme="majorHAnsi"/>
        </w:rPr>
        <w:t>.</w:t>
      </w:r>
      <w:proofErr w:type="gramEnd"/>
      <w:r w:rsidR="00597427" w:rsidRPr="0013327C">
        <w:rPr>
          <w:rFonts w:asciiTheme="majorHAnsi" w:hAnsiTheme="majorHAnsi"/>
        </w:rPr>
        <w:t xml:space="preserve"> S2R+ cells in exponential growth phase adhere flat to the growth surface in a stellate shape.  Almost all of the peroxisomes in these cells are in one focal plane at 40X magnification. Kc167 cells (b) transiently transfected with pMt-eGFP-PTS1 grow taller in the z-dimension and are more rounded, consequently the peroxisomes are dispersed throughout the cellular body in more than one z-plane. This causes the peroxisomes that are out of focus to reduce the contrast between the peroxisomes in focus and the cytosol, consequently reducing the accuracy of the analysis software to identify the peroxisomes. The number of peroxisomes in focus is also reduced thus many peroxisomes will be missed by the analysis software.</w:t>
      </w:r>
    </w:p>
    <w:p w:rsidR="00597427" w:rsidRPr="0013327C" w:rsidRDefault="00597427" w:rsidP="00AE0264">
      <w:pPr>
        <w:jc w:val="both"/>
        <w:rPr>
          <w:rFonts w:asciiTheme="majorHAnsi" w:hAnsiTheme="majorHAnsi"/>
        </w:rPr>
      </w:pPr>
      <w:r w:rsidRPr="0013327C">
        <w:rPr>
          <w:rFonts w:asciiTheme="majorHAnsi" w:hAnsiTheme="majorHAnsi"/>
        </w:rPr>
        <w:t xml:space="preserve">In order to optimise the assay, it was decided to use the Class I peroxin, </w:t>
      </w:r>
      <w:r w:rsidR="000C26B2" w:rsidRPr="000C26B2">
        <w:rPr>
          <w:rFonts w:asciiTheme="majorHAnsi" w:hAnsiTheme="majorHAnsi"/>
          <w:i/>
        </w:rPr>
        <w:t>PEX</w:t>
      </w:r>
      <w:r w:rsidRPr="0013327C">
        <w:rPr>
          <w:rFonts w:asciiTheme="majorHAnsi" w:hAnsiTheme="majorHAnsi"/>
        </w:rPr>
        <w:t xml:space="preserve">5, for initial KD experiments. </w:t>
      </w:r>
      <w:r w:rsidR="000C26B2" w:rsidRPr="000C26B2">
        <w:rPr>
          <w:rFonts w:asciiTheme="majorHAnsi" w:hAnsiTheme="majorHAnsi"/>
          <w:i/>
        </w:rPr>
        <w:t>PEX</w:t>
      </w:r>
      <w:r w:rsidRPr="0013327C">
        <w:rPr>
          <w:rFonts w:asciiTheme="majorHAnsi" w:hAnsiTheme="majorHAnsi"/>
        </w:rPr>
        <w:t xml:space="preserve">5 is the receptor required for the recognition and binding of the PTS1 present on peroxisomal matrix proteins and is crucial for their subsequent targeting to and import into peroxisomes. The long dsRNA for </w:t>
      </w:r>
      <w:r w:rsidR="000C26B2" w:rsidRPr="000C26B2">
        <w:rPr>
          <w:rFonts w:asciiTheme="majorHAnsi" w:hAnsiTheme="majorHAnsi"/>
          <w:i/>
        </w:rPr>
        <w:t>PEX</w:t>
      </w:r>
      <w:r w:rsidRPr="0013327C">
        <w:rPr>
          <w:rFonts w:asciiTheme="majorHAnsi" w:hAnsiTheme="majorHAnsi"/>
        </w:rPr>
        <w:t>5 was designed using the “E-RNAi” website (see Methods section</w:t>
      </w:r>
      <w:r w:rsidR="00C3380A" w:rsidRPr="0013327C">
        <w:rPr>
          <w:rFonts w:asciiTheme="majorHAnsi" w:hAnsiTheme="majorHAnsi"/>
        </w:rPr>
        <w:t xml:space="preserve"> 2.6.6</w:t>
      </w:r>
      <w:r w:rsidRPr="0013327C">
        <w:rPr>
          <w:rFonts w:asciiTheme="majorHAnsi" w:hAnsiTheme="majorHAnsi"/>
        </w:rPr>
        <w:t xml:space="preserve">). We used a protocol adapted from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"Baum", "given" : "B.", "non-dropping-particle" : "", "parse-names" : false, "suffix" : "" }, { "dropping-particle" : "", "family" : "Cherbas", "given" : "L.", "non-dropping-particle" : "", "parse-names" : false, "suffix" : "" } ], "chapter-number" : "10", "container-title" : "Drosophila: Methods and Protocols", "editor" : [ { "dropping-particle" : "", "family" : "Dahman", "given" : "C.", "non-dropping-particle" : "", "parse-names" : false, "suffix" : "" } ], "id" : "ITEM-1", "issued" : { "date-parts" : [ [ "2008" ] ] }, "publisher" : "Humana Press, Totawa, NJ", "title" : "Drosophila cell lines as model systems and as an experimental tool.", "type" : "chapter" }, "uris" : [ "http://www.mendeley.com/documents/?uuid=942580e0-f1e3-48f2-87ea-bd881ad4d710" ] } ], "mendeley" : { "manualFormatting" : "Baum &amp; Cherbas (2008)", "previouslyFormattedCitation" : "(Baum &amp; Cherbas 2008)"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Baum &amp; Cherbas (2008)</w:t>
      </w:r>
      <w:r w:rsidR="009A1FEC" w:rsidRPr="0013327C">
        <w:rPr>
          <w:rFonts w:asciiTheme="majorHAnsi" w:hAnsiTheme="majorHAnsi"/>
        </w:rPr>
        <w:fldChar w:fldCharType="end"/>
      </w:r>
      <w:r w:rsidRPr="0013327C">
        <w:rPr>
          <w:rFonts w:asciiTheme="majorHAnsi" w:hAnsiTheme="majorHAnsi"/>
        </w:rPr>
        <w:t xml:space="preserve"> with dsRNA concentration comparable to that which will be used in the final genome-wide screen. </w:t>
      </w:r>
    </w:p>
    <w:p w:rsidR="00597427" w:rsidRPr="0013327C" w:rsidRDefault="00597427" w:rsidP="00AE0264">
      <w:pPr>
        <w:tabs>
          <w:tab w:val="left" w:pos="294"/>
        </w:tabs>
        <w:jc w:val="both"/>
        <w:rPr>
          <w:rFonts w:asciiTheme="majorHAnsi" w:hAnsiTheme="majorHAnsi"/>
        </w:rPr>
      </w:pPr>
    </w:p>
    <w:p w:rsidR="00597427" w:rsidRDefault="00597427" w:rsidP="00AE0264">
      <w:pPr>
        <w:jc w:val="both"/>
        <w:rPr>
          <w:rFonts w:asciiTheme="majorHAnsi" w:hAnsiTheme="majorHAnsi"/>
        </w:rPr>
      </w:pPr>
      <w:r w:rsidRPr="0013327C">
        <w:rPr>
          <w:rFonts w:asciiTheme="majorHAnsi" w:hAnsiTheme="majorHAnsi"/>
        </w:rPr>
        <w:t xml:space="preserve">S2R+ cells transfected with eGFP-PTS1 were resuspended and diluted in serum-free medium and grown on sterile coverslips in two wells of a 6-well plate. </w:t>
      </w:r>
      <w:r w:rsidR="000C26B2" w:rsidRPr="000C26B2">
        <w:rPr>
          <w:rFonts w:asciiTheme="majorHAnsi" w:hAnsiTheme="majorHAnsi"/>
          <w:i/>
        </w:rPr>
        <w:t>PEX</w:t>
      </w:r>
      <w:r w:rsidRPr="0013327C">
        <w:rPr>
          <w:rFonts w:asciiTheme="majorHAnsi" w:hAnsiTheme="majorHAnsi"/>
        </w:rPr>
        <w:t xml:space="preserve">5 dsRNA was added to the test well. They were allowed to incubate for an hour at </w:t>
      </w:r>
      <w:r w:rsidR="009D398D">
        <w:rPr>
          <w:rFonts w:asciiTheme="majorHAnsi" w:hAnsiTheme="majorHAnsi"/>
        </w:rPr>
        <w:t>room temperature</w:t>
      </w:r>
      <w:r w:rsidRPr="0013327C">
        <w:rPr>
          <w:rFonts w:asciiTheme="majorHAnsi" w:hAnsiTheme="majorHAnsi"/>
        </w:rPr>
        <w:t xml:space="preserve"> before an equal volume of medium containing 20% serum was added to </w:t>
      </w:r>
      <w:r w:rsidRPr="0013327C">
        <w:rPr>
          <w:rFonts w:asciiTheme="majorHAnsi" w:hAnsiTheme="majorHAnsi"/>
        </w:rPr>
        <w:lastRenderedPageBreak/>
        <w:t>the existing media. The cells were cultured for 3 days before being induced with medium containing 10% serum and 100 µM CuSO</w:t>
      </w:r>
      <w:r w:rsidRPr="0013327C">
        <w:rPr>
          <w:rFonts w:asciiTheme="majorHAnsi" w:hAnsiTheme="majorHAnsi"/>
          <w:vertAlign w:val="subscript"/>
        </w:rPr>
        <w:t>4</w:t>
      </w:r>
      <w:r w:rsidRPr="0013327C">
        <w:rPr>
          <w:rFonts w:asciiTheme="majorHAnsi" w:hAnsiTheme="majorHAnsi"/>
        </w:rPr>
        <w:t>. A 600 µM CuSO</w:t>
      </w:r>
      <w:r w:rsidRPr="0013327C">
        <w:rPr>
          <w:rFonts w:asciiTheme="majorHAnsi" w:hAnsiTheme="majorHAnsi"/>
          <w:vertAlign w:val="subscript"/>
        </w:rPr>
        <w:t>4</w:t>
      </w:r>
      <w:r w:rsidRPr="0013327C">
        <w:rPr>
          <w:rFonts w:asciiTheme="majorHAnsi" w:hAnsiTheme="majorHAnsi"/>
        </w:rPr>
        <w:t xml:space="preserve"> stock solution in 10% serum-containing medium was used throughout this chapter to induce expression of the reporter. The cells were incubated for a further 24 hours. The medium was removed and the cells were washed three times in PBS before being fixed in 3.6% formaldehyde. The cells were treated with 0.1M NH</w:t>
      </w:r>
      <w:r w:rsidRPr="0013327C">
        <w:rPr>
          <w:rFonts w:asciiTheme="majorHAnsi" w:hAnsiTheme="majorHAnsi"/>
          <w:vertAlign w:val="subscript"/>
        </w:rPr>
        <w:t>4</w:t>
      </w:r>
      <w:r w:rsidRPr="0013327C">
        <w:rPr>
          <w:rFonts w:asciiTheme="majorHAnsi" w:hAnsiTheme="majorHAnsi"/>
        </w:rPr>
        <w:t xml:space="preserve">Cl to block active aldehyde groups before being washed in PBS and mounted and imaged on microscope slides. Images were taken at 40X magnification. </w:t>
      </w:r>
    </w:p>
    <w:p w:rsidR="00942ACD" w:rsidRPr="0013327C" w:rsidRDefault="00942ACD" w:rsidP="00AE0264">
      <w:pPr>
        <w:jc w:val="both"/>
        <w:rPr>
          <w:rFonts w:asciiTheme="majorHAnsi" w:hAnsiTheme="majorHAnsi"/>
        </w:rPr>
      </w:pPr>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5731510" cy="1709656"/>
            <wp:effectExtent l="0" t="0" r="0" b="0"/>
            <wp:docPr id="71"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08912" cy="2448272"/>
                      <a:chOff x="323528" y="908720"/>
                      <a:chExt cx="8208912" cy="2448272"/>
                    </a:xfrm>
                  </a:grpSpPr>
                  <a:grpSp>
                    <a:nvGrpSpPr>
                      <a:cNvPr id="53" name="Group 52"/>
                      <a:cNvGrpSpPr/>
                    </a:nvGrpSpPr>
                    <a:grpSpPr>
                      <a:xfrm>
                        <a:off x="323528" y="908720"/>
                        <a:ext cx="8208912" cy="2448272"/>
                        <a:chOff x="323528" y="908720"/>
                        <a:chExt cx="8208912" cy="2448272"/>
                      </a:xfrm>
                    </a:grpSpPr>
                    <a:cxnSp>
                      <a:nvCxnSpPr>
                        <a:cNvPr id="21" name="Straight Connector 20"/>
                        <a:cNvCxnSpPr/>
                      </a:nvCxnSpPr>
                      <a:spPr>
                        <a:xfrm>
                          <a:off x="1043608" y="2852936"/>
                          <a:ext cx="7488832" cy="0"/>
                        </a:xfrm>
                        <a:prstGeom prst="line">
                          <a:avLst/>
                        </a:prstGeom>
                        <a:ln w="19050">
                          <a:solidFill>
                            <a:schemeClr val="tx1"/>
                          </a:solidFill>
                          <a:headEnd type="none" w="med" len="med"/>
                          <a:tailEnd type="arrow" w="med" len="med"/>
                        </a:ln>
                      </a:spPr>
                      <a:style>
                        <a:lnRef idx="1">
                          <a:schemeClr val="accent1"/>
                        </a:lnRef>
                        <a:fillRef idx="0">
                          <a:schemeClr val="accent1"/>
                        </a:fillRef>
                        <a:effectRef idx="0">
                          <a:schemeClr val="accent1"/>
                        </a:effectRef>
                        <a:fontRef idx="minor">
                          <a:schemeClr val="tx1"/>
                        </a:fontRef>
                      </a:style>
                    </a:cxnSp>
                    <a:cxnSp>
                      <a:nvCxnSpPr>
                        <a:cNvPr id="22" name="Straight Arrow Connector 21"/>
                        <a:cNvCxnSpPr/>
                      </a:nvCxnSpPr>
                      <a:spPr>
                        <a:xfrm>
                          <a:off x="971600" y="2204864"/>
                          <a:ext cx="0" cy="57606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3" name="TextBox 22"/>
                        <a:cNvSpPr txBox="1"/>
                      </a:nvSpPr>
                      <a:spPr>
                        <a:xfrm>
                          <a:off x="323528" y="1556792"/>
                          <a:ext cx="1296144"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dsRNA pre-seeded</a:t>
                            </a:r>
                            <a:endParaRPr lang="en-GB" dirty="0"/>
                          </a:p>
                        </a:txBody>
                        <a:useSpRect/>
                      </a:txSp>
                    </a:sp>
                    <a:cxnSp>
                      <a:nvCxnSpPr>
                        <a:cNvPr id="24" name="Straight Arrow Connector 23"/>
                        <a:cNvCxnSpPr/>
                      </a:nvCxnSpPr>
                      <a:spPr>
                        <a:xfrm>
                          <a:off x="2195736" y="2204864"/>
                          <a:ext cx="0" cy="57606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5" name="TextBox 24"/>
                        <a:cNvSpPr txBox="1"/>
                      </a:nvSpPr>
                      <a:spPr>
                        <a:xfrm>
                          <a:off x="1547664" y="908720"/>
                          <a:ext cx="1224136" cy="830997"/>
                        </a:xfrm>
                        <a:prstGeom prst="rect">
                          <a:avLst/>
                        </a:prstGeom>
                        <a:noFill/>
                        <a:ln w="6350">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600" dirty="0" smtClean="0"/>
                              <a:t>Day 1: Transfected cells seeded</a:t>
                            </a:r>
                            <a:endParaRPr lang="en-GB" sz="1600" dirty="0"/>
                          </a:p>
                        </a:txBody>
                        <a:useSpRect/>
                      </a:txSp>
                    </a:sp>
                    <a:cxnSp>
                      <a:nvCxnSpPr>
                        <a:cNvPr id="26" name="Straight Connector 25"/>
                        <a:cNvCxnSpPr/>
                      </a:nvCxnSpPr>
                      <a:spPr>
                        <a:xfrm>
                          <a:off x="2195736" y="2852936"/>
                          <a:ext cx="0" cy="504056"/>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 name="Straight Connector 26"/>
                        <a:cNvCxnSpPr/>
                      </a:nvCxnSpPr>
                      <a:spPr>
                        <a:xfrm>
                          <a:off x="3059832" y="2852936"/>
                          <a:ext cx="0" cy="504056"/>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 name="Straight Connector 27"/>
                        <a:cNvCxnSpPr/>
                      </a:nvCxnSpPr>
                      <a:spPr>
                        <a:xfrm>
                          <a:off x="3923928" y="2852936"/>
                          <a:ext cx="0" cy="504056"/>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 name="Straight Connector 28"/>
                        <a:cNvCxnSpPr/>
                      </a:nvCxnSpPr>
                      <a:spPr>
                        <a:xfrm>
                          <a:off x="4788024" y="2852936"/>
                          <a:ext cx="0" cy="504056"/>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 name="Straight Connector 29"/>
                        <a:cNvCxnSpPr/>
                      </a:nvCxnSpPr>
                      <a:spPr>
                        <a:xfrm>
                          <a:off x="5652120" y="2852936"/>
                          <a:ext cx="0" cy="504056"/>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sp>
                      <a:nvSpPr>
                        <a:cNvPr id="33" name="TextBox 32"/>
                        <a:cNvSpPr txBox="1"/>
                      </a:nvSpPr>
                      <a:spPr>
                        <a:xfrm>
                          <a:off x="4139952" y="908720"/>
                          <a:ext cx="1224136" cy="1077218"/>
                        </a:xfrm>
                        <a:prstGeom prst="rect">
                          <a:avLst/>
                        </a:prstGeom>
                        <a:noFill/>
                        <a:ln w="6350">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600" dirty="0" smtClean="0"/>
                              <a:t>Day 4: Induction with 100µM </a:t>
                            </a:r>
                            <a:r>
                              <a:rPr lang="en-GB" sz="1600" dirty="0" err="1"/>
                              <a:t>CuSO</a:t>
                            </a:r>
                            <a:r>
                              <a:rPr lang="en-GB" sz="1600" baseline="-25000" dirty="0" err="1"/>
                              <a:t>4</a:t>
                            </a:r>
                            <a:endParaRPr lang="en-GB" sz="1600" dirty="0"/>
                          </a:p>
                        </a:txBody>
                        <a:useSpRect/>
                      </a:txSp>
                    </a:sp>
                    <a:cxnSp>
                      <a:nvCxnSpPr>
                        <a:cNvPr id="34" name="Straight Arrow Connector 33"/>
                        <a:cNvCxnSpPr/>
                      </a:nvCxnSpPr>
                      <a:spPr>
                        <a:xfrm>
                          <a:off x="4788024" y="2204864"/>
                          <a:ext cx="0" cy="57606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7" name="TextBox 36"/>
                        <a:cNvSpPr txBox="1"/>
                      </a:nvSpPr>
                      <a:spPr>
                        <a:xfrm>
                          <a:off x="2267744" y="2915652"/>
                          <a:ext cx="2448272" cy="408623"/>
                        </a:xfrm>
                        <a:prstGeom prst="roundRect">
                          <a:avLst/>
                        </a:prstGeom>
                        <a:solidFill>
                          <a:schemeClr val="accent6"/>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3-day </a:t>
                            </a:r>
                            <a:r>
                              <a:rPr lang="en-GB" dirty="0" smtClean="0"/>
                              <a:t>growth</a:t>
                            </a:r>
                            <a:endParaRPr lang="en-GB" dirty="0"/>
                          </a:p>
                        </a:txBody>
                        <a:useSpRect/>
                      </a:txSp>
                    </a:sp>
                    <a:sp>
                      <a:nvSpPr>
                        <a:cNvPr id="39" name="Rounded Rectangle 38"/>
                        <a:cNvSpPr/>
                      </a:nvSpPr>
                      <a:spPr>
                        <a:xfrm>
                          <a:off x="4860032" y="2924944"/>
                          <a:ext cx="720080" cy="36004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lin ang="10800000" scaled="1"/>
                          <a:tileRect/>
                        </a:gra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TextBox 39"/>
                        <a:cNvSpPr txBox="1"/>
                      </a:nvSpPr>
                      <a:spPr>
                        <a:xfrm>
                          <a:off x="5436096" y="908720"/>
                          <a:ext cx="1296144" cy="1077218"/>
                        </a:xfrm>
                        <a:prstGeom prst="rect">
                          <a:avLst/>
                        </a:prstGeom>
                        <a:noFill/>
                        <a:ln w="6350">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600" dirty="0" smtClean="0"/>
                              <a:t>Day 5: Observation/ imaging after 4-day KD</a:t>
                            </a:r>
                            <a:endParaRPr lang="en-GB" sz="1600" dirty="0"/>
                          </a:p>
                        </a:txBody>
                        <a:useSpRect/>
                      </a:txSp>
                    </a:sp>
                    <a:cxnSp>
                      <a:nvCxnSpPr>
                        <a:cNvPr id="41" name="Straight Arrow Connector 40"/>
                        <a:cNvCxnSpPr/>
                      </a:nvCxnSpPr>
                      <a:spPr>
                        <a:xfrm>
                          <a:off x="5652120" y="2204864"/>
                          <a:ext cx="0" cy="57606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43" name="Straight Arrow Connector 42"/>
                        <a:cNvCxnSpPr/>
                      </a:nvCxnSpPr>
                      <a:spPr>
                        <a:xfrm>
                          <a:off x="1331640" y="3356992"/>
                          <a:ext cx="864096" cy="0"/>
                        </a:xfrm>
                        <a:prstGeom prst="straightConnector1">
                          <a:avLst/>
                        </a:prstGeom>
                        <a:ln>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44" name="TextBox 43"/>
                        <a:cNvSpPr txBox="1"/>
                      </a:nvSpPr>
                      <a:spPr>
                        <a:xfrm>
                          <a:off x="1403648" y="2924944"/>
                          <a:ext cx="72008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err="1" smtClean="0">
                                <a:solidFill>
                                  <a:srgbClr val="FF0000"/>
                                </a:solidFill>
                              </a:rPr>
                              <a:t>24hrs</a:t>
                            </a:r>
                            <a:endParaRPr lang="en-GB" dirty="0">
                              <a:solidFill>
                                <a:srgbClr val="FF0000"/>
                              </a:solidFill>
                            </a:endParaRPr>
                          </a:p>
                        </a:txBody>
                        <a:useSpRect/>
                      </a:txSp>
                    </a:sp>
                    <a:sp>
                      <a:nvSpPr>
                        <a:cNvPr id="56" name="TextBox 55"/>
                        <a:cNvSpPr txBox="1"/>
                      </a:nvSpPr>
                      <a:spPr>
                        <a:xfrm>
                          <a:off x="7812360" y="2555612"/>
                          <a:ext cx="72008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Time</a:t>
                            </a:r>
                            <a:endParaRPr lang="en-GB" dirty="0"/>
                          </a:p>
                        </a:txBody>
                        <a:useSpRect/>
                      </a:txSp>
                    </a:sp>
                    <a:sp>
                      <a:nvSpPr>
                        <a:cNvPr id="59" name="TextBox 58"/>
                        <a:cNvSpPr txBox="1"/>
                      </a:nvSpPr>
                      <a:spPr>
                        <a:xfrm>
                          <a:off x="395536" y="1052736"/>
                          <a:ext cx="792088"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800" dirty="0" smtClean="0"/>
                              <a:t>A</a:t>
                            </a:r>
                            <a:endParaRPr lang="en-GB" dirty="0"/>
                          </a:p>
                        </a:txBody>
                        <a:useSpRect/>
                      </a:txSp>
                    </a:sp>
                    <a:sp>
                      <a:nvSpPr>
                        <a:cNvPr id="63" name="TextBox 62"/>
                        <a:cNvSpPr txBox="1"/>
                      </a:nvSpPr>
                      <a:spPr>
                        <a:xfrm>
                          <a:off x="2843808" y="908720"/>
                          <a:ext cx="1224136" cy="1077218"/>
                        </a:xfrm>
                        <a:prstGeom prst="rect">
                          <a:avLst/>
                        </a:prstGeom>
                        <a:noFill/>
                        <a:ln w="6350">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600" dirty="0" smtClean="0"/>
                              <a:t>Day </a:t>
                            </a:r>
                            <a:r>
                              <a:rPr lang="en-GB" sz="1600" dirty="0" err="1" smtClean="0"/>
                              <a:t>2:Cells</a:t>
                            </a:r>
                            <a:r>
                              <a:rPr lang="en-GB" sz="1600" dirty="0" smtClean="0"/>
                              <a:t> transferred to 6-well plate</a:t>
                            </a:r>
                            <a:endParaRPr lang="en-GB" dirty="0"/>
                          </a:p>
                        </a:txBody>
                        <a:useSpRect/>
                      </a:txSp>
                    </a:sp>
                    <a:cxnSp>
                      <a:nvCxnSpPr>
                        <a:cNvPr id="64" name="Straight Arrow Connector 63"/>
                        <a:cNvCxnSpPr/>
                      </a:nvCxnSpPr>
                      <a:spPr>
                        <a:xfrm>
                          <a:off x="3059832" y="2204864"/>
                          <a:ext cx="0" cy="57606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7" name="Straight Connector 66"/>
                        <a:cNvCxnSpPr/>
                      </a:nvCxnSpPr>
                      <a:spPr>
                        <a:xfrm>
                          <a:off x="1331640" y="2852936"/>
                          <a:ext cx="0" cy="504056"/>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r w:rsidRPr="0013327C">
        <w:rPr>
          <w:rFonts w:asciiTheme="majorHAnsi" w:hAnsiTheme="majorHAnsi"/>
          <w:b/>
        </w:rPr>
        <w:t xml:space="preserve"> </w:t>
      </w:r>
      <w:proofErr w:type="gramStart"/>
      <w:r w:rsidRPr="0013327C">
        <w:rPr>
          <w:rFonts w:asciiTheme="majorHAnsi" w:hAnsiTheme="majorHAnsi"/>
          <w:b/>
        </w:rPr>
        <w:t>Figure 3.</w:t>
      </w:r>
      <w:r w:rsidR="00A944F3">
        <w:rPr>
          <w:rFonts w:asciiTheme="majorHAnsi" w:hAnsiTheme="majorHAnsi"/>
          <w:b/>
        </w:rPr>
        <w:t>5</w:t>
      </w:r>
      <w:r w:rsidRPr="0013327C">
        <w:rPr>
          <w:rFonts w:asciiTheme="majorHAnsi" w:hAnsiTheme="majorHAnsi"/>
          <w:b/>
        </w:rPr>
        <w:t>.</w:t>
      </w:r>
      <w:proofErr w:type="gramEnd"/>
      <w:r w:rsidRPr="0013327C">
        <w:rPr>
          <w:rFonts w:asciiTheme="majorHAnsi" w:hAnsiTheme="majorHAnsi"/>
          <w:b/>
        </w:rPr>
        <w:t xml:space="preserve"> </w:t>
      </w:r>
      <w:proofErr w:type="gramStart"/>
      <w:r w:rsidR="008624E3" w:rsidRPr="0013327C">
        <w:rPr>
          <w:rFonts w:asciiTheme="majorHAnsi" w:hAnsiTheme="majorHAnsi"/>
          <w:b/>
        </w:rPr>
        <w:t xml:space="preserve">Timeline for 4-day </w:t>
      </w:r>
      <w:r w:rsidR="00304281" w:rsidRPr="0013327C">
        <w:rPr>
          <w:rFonts w:asciiTheme="majorHAnsi" w:hAnsiTheme="majorHAnsi"/>
          <w:b/>
        </w:rPr>
        <w:t>KD.</w:t>
      </w:r>
      <w:proofErr w:type="gramEnd"/>
      <w:r w:rsidR="00304281">
        <w:rPr>
          <w:rFonts w:asciiTheme="majorHAnsi" w:hAnsiTheme="majorHAnsi"/>
          <w:b/>
        </w:rPr>
        <w:t xml:space="preserve"> </w:t>
      </w:r>
      <w:r w:rsidR="00304281" w:rsidRPr="0013327C">
        <w:rPr>
          <w:rFonts w:asciiTheme="majorHAnsi" w:hAnsiTheme="majorHAnsi"/>
        </w:rPr>
        <w:t>Timeline</w:t>
      </w:r>
      <w:r w:rsidRPr="0013327C">
        <w:rPr>
          <w:rFonts w:asciiTheme="majorHAnsi" w:hAnsiTheme="majorHAnsi"/>
        </w:rPr>
        <w:t xml:space="preserve"> representation for a 4-day KD of </w:t>
      </w:r>
      <w:r w:rsidR="000C26B2" w:rsidRPr="000C26B2">
        <w:rPr>
          <w:rFonts w:asciiTheme="majorHAnsi" w:hAnsiTheme="majorHAnsi"/>
          <w:i/>
        </w:rPr>
        <w:t>PEX</w:t>
      </w:r>
      <w:r w:rsidRPr="0013327C">
        <w:rPr>
          <w:rFonts w:asciiTheme="majorHAnsi" w:hAnsiTheme="majorHAnsi"/>
        </w:rPr>
        <w:t>5 in S2R+ cells transiently transfected with pMt-eGFP-PTS1 which were grown for 3 days before a 24hr induction with 100µM CuSO</w:t>
      </w:r>
      <w:r w:rsidRPr="0013327C">
        <w:rPr>
          <w:rFonts w:asciiTheme="majorHAnsi" w:hAnsiTheme="majorHAnsi"/>
          <w:vertAlign w:val="subscript"/>
        </w:rPr>
        <w:t>4</w:t>
      </w:r>
      <w:r w:rsidRPr="0013327C">
        <w:rPr>
          <w:rFonts w:asciiTheme="majorHAnsi" w:hAnsiTheme="majorHAnsi"/>
        </w:rPr>
        <w:t>.</w:t>
      </w:r>
    </w:p>
    <w:p w:rsidR="00597427" w:rsidRPr="0013327C" w:rsidRDefault="00597427" w:rsidP="00AE0264">
      <w:pPr>
        <w:jc w:val="both"/>
        <w:rPr>
          <w:rFonts w:asciiTheme="majorHAnsi" w:hAnsiTheme="majorHAnsi"/>
        </w:rPr>
      </w:pPr>
      <w:r w:rsidRPr="0013327C">
        <w:rPr>
          <w:rFonts w:asciiTheme="majorHAnsi" w:hAnsiTheme="majorHAnsi"/>
        </w:rPr>
        <w:t xml:space="preserve"> The mislocalisation of eGFP-PTS1 to the cytosol shows that the </w:t>
      </w:r>
      <w:r w:rsidR="000C26B2" w:rsidRPr="000C26B2">
        <w:rPr>
          <w:rFonts w:asciiTheme="majorHAnsi" w:hAnsiTheme="majorHAnsi"/>
          <w:i/>
        </w:rPr>
        <w:t>PEX</w:t>
      </w:r>
      <w:r w:rsidRPr="0013327C">
        <w:rPr>
          <w:rFonts w:asciiTheme="majorHAnsi" w:hAnsiTheme="majorHAnsi"/>
        </w:rPr>
        <w:t xml:space="preserve">5 long dsRNA probe has resulted in a </w:t>
      </w:r>
      <w:r w:rsidR="000C26B2" w:rsidRPr="000C26B2">
        <w:rPr>
          <w:rFonts w:asciiTheme="majorHAnsi" w:hAnsiTheme="majorHAnsi"/>
          <w:i/>
        </w:rPr>
        <w:t>PEX</w:t>
      </w:r>
      <w:r w:rsidRPr="0013327C">
        <w:rPr>
          <w:rFonts w:asciiTheme="majorHAnsi" w:hAnsiTheme="majorHAnsi"/>
        </w:rPr>
        <w:t>5 defect thereby affecting the import of eGFP-PTS1 into the peroxisomal matrix</w:t>
      </w:r>
      <w:r w:rsidR="008C1922">
        <w:rPr>
          <w:rFonts w:asciiTheme="majorHAnsi" w:hAnsiTheme="majorHAnsi"/>
        </w:rPr>
        <w:t xml:space="preserve"> (see Fig. 3.7)</w:t>
      </w:r>
      <w:r w:rsidRPr="0013327C">
        <w:rPr>
          <w:rFonts w:asciiTheme="majorHAnsi" w:hAnsiTheme="majorHAnsi"/>
        </w:rPr>
        <w:t xml:space="preserve">. Despite this the presence of green puncta much brighter than the cytosol indicates that there is still functional </w:t>
      </w:r>
      <w:r w:rsidR="000C26B2" w:rsidRPr="000C26B2">
        <w:rPr>
          <w:rFonts w:asciiTheme="majorHAnsi" w:hAnsiTheme="majorHAnsi"/>
          <w:i/>
        </w:rPr>
        <w:t>PEX</w:t>
      </w:r>
      <w:r w:rsidRPr="0013327C">
        <w:rPr>
          <w:rFonts w:asciiTheme="majorHAnsi" w:hAnsiTheme="majorHAnsi"/>
        </w:rPr>
        <w:t>5 acting on the peroxisomal marker and therefore a complete knockdown had not occurred</w:t>
      </w:r>
      <w:r w:rsidR="008624E3" w:rsidRPr="0013327C">
        <w:rPr>
          <w:rFonts w:asciiTheme="majorHAnsi" w:hAnsiTheme="majorHAnsi"/>
        </w:rPr>
        <w:t>.</w:t>
      </w:r>
      <w:r w:rsidRPr="0013327C">
        <w:rPr>
          <w:rFonts w:asciiTheme="majorHAnsi" w:hAnsiTheme="majorHAnsi"/>
        </w:rPr>
        <w:t xml:space="preserve"> </w:t>
      </w:r>
    </w:p>
    <w:p w:rsidR="00597427" w:rsidRPr="0013327C" w:rsidRDefault="00597427" w:rsidP="00AE0264">
      <w:pPr>
        <w:jc w:val="both"/>
        <w:rPr>
          <w:rFonts w:asciiTheme="majorHAnsi" w:hAnsiTheme="majorHAnsi"/>
        </w:rPr>
      </w:pPr>
      <w:r w:rsidRPr="0013327C">
        <w:rPr>
          <w:rFonts w:asciiTheme="majorHAnsi" w:hAnsiTheme="majorHAnsi"/>
        </w:rPr>
        <w:t>There are a number of reasons why a complete KD may not have been observed. Several factors determine the efficacy of a gene knockdown in a given cell, the most important of which are:</w:t>
      </w:r>
    </w:p>
    <w:p w:rsidR="00597427" w:rsidRPr="0013327C" w:rsidRDefault="00597427" w:rsidP="00AE0264">
      <w:pPr>
        <w:pStyle w:val="ListParagraph"/>
        <w:numPr>
          <w:ilvl w:val="0"/>
          <w:numId w:val="9"/>
        </w:numPr>
        <w:jc w:val="both"/>
        <w:rPr>
          <w:rFonts w:asciiTheme="majorHAnsi" w:hAnsiTheme="majorHAnsi"/>
        </w:rPr>
      </w:pPr>
      <w:r w:rsidRPr="0013327C">
        <w:rPr>
          <w:rFonts w:asciiTheme="majorHAnsi" w:hAnsiTheme="majorHAnsi"/>
        </w:rPr>
        <w:t>The mass of long dsRNA taken up by the cell.</w:t>
      </w:r>
    </w:p>
    <w:p w:rsidR="00597427" w:rsidRPr="0013327C" w:rsidRDefault="00597427" w:rsidP="00AE0264">
      <w:pPr>
        <w:pStyle w:val="ListParagraph"/>
        <w:numPr>
          <w:ilvl w:val="0"/>
          <w:numId w:val="9"/>
        </w:numPr>
        <w:jc w:val="both"/>
        <w:rPr>
          <w:rFonts w:asciiTheme="majorHAnsi" w:hAnsiTheme="majorHAnsi"/>
        </w:rPr>
      </w:pPr>
      <w:r w:rsidRPr="0013327C">
        <w:rPr>
          <w:rFonts w:asciiTheme="majorHAnsi" w:hAnsiTheme="majorHAnsi"/>
        </w:rPr>
        <w:t>The concentration of functional siRNAs in the cytosol (and nucleosol) produced from</w:t>
      </w:r>
      <w:r w:rsidR="00E01E46">
        <w:rPr>
          <w:rFonts w:asciiTheme="majorHAnsi" w:hAnsiTheme="majorHAnsi"/>
        </w:rPr>
        <w:t xml:space="preserve"> cleavage of</w:t>
      </w:r>
      <w:r w:rsidRPr="0013327C">
        <w:rPr>
          <w:rFonts w:asciiTheme="majorHAnsi" w:hAnsiTheme="majorHAnsi"/>
        </w:rPr>
        <w:t xml:space="preserve"> the long dsRNA probe.</w:t>
      </w:r>
    </w:p>
    <w:p w:rsidR="00597427" w:rsidRPr="0013327C" w:rsidRDefault="00597427" w:rsidP="00AE0264">
      <w:pPr>
        <w:pStyle w:val="ListParagraph"/>
        <w:numPr>
          <w:ilvl w:val="0"/>
          <w:numId w:val="9"/>
        </w:numPr>
        <w:jc w:val="both"/>
        <w:rPr>
          <w:rFonts w:asciiTheme="majorHAnsi" w:hAnsiTheme="majorHAnsi"/>
        </w:rPr>
      </w:pPr>
      <w:r w:rsidRPr="0013327C">
        <w:rPr>
          <w:rFonts w:asciiTheme="majorHAnsi" w:hAnsiTheme="majorHAnsi"/>
        </w:rPr>
        <w:t xml:space="preserve">The </w:t>
      </w:r>
      <w:r w:rsidR="00633AA9">
        <w:rPr>
          <w:rFonts w:asciiTheme="majorHAnsi" w:hAnsiTheme="majorHAnsi"/>
        </w:rPr>
        <w:t xml:space="preserve">residual </w:t>
      </w:r>
      <w:r w:rsidRPr="0013327C">
        <w:rPr>
          <w:rFonts w:asciiTheme="majorHAnsi" w:hAnsiTheme="majorHAnsi"/>
        </w:rPr>
        <w:t xml:space="preserve">equilibrium concentrations of target </w:t>
      </w:r>
      <w:r w:rsidR="00633AA9">
        <w:rPr>
          <w:rFonts w:asciiTheme="majorHAnsi" w:hAnsiTheme="majorHAnsi"/>
        </w:rPr>
        <w:t>pre-mRNA</w:t>
      </w:r>
      <w:r w:rsidRPr="0013327C">
        <w:rPr>
          <w:rFonts w:asciiTheme="majorHAnsi" w:hAnsiTheme="majorHAnsi"/>
        </w:rPr>
        <w:t xml:space="preserve"> </w:t>
      </w:r>
      <w:r w:rsidR="00633AA9">
        <w:rPr>
          <w:rFonts w:asciiTheme="majorHAnsi" w:hAnsiTheme="majorHAnsi"/>
        </w:rPr>
        <w:t xml:space="preserve">(if targeted) </w:t>
      </w:r>
      <w:r w:rsidRPr="0013327C">
        <w:rPr>
          <w:rFonts w:asciiTheme="majorHAnsi" w:hAnsiTheme="majorHAnsi"/>
        </w:rPr>
        <w:t>and mature mRNA at the time of administration.</w:t>
      </w:r>
    </w:p>
    <w:p w:rsidR="00597427" w:rsidRPr="0013327C" w:rsidRDefault="00597427" w:rsidP="00AE0264">
      <w:pPr>
        <w:pStyle w:val="ListParagraph"/>
        <w:numPr>
          <w:ilvl w:val="0"/>
          <w:numId w:val="9"/>
        </w:numPr>
        <w:jc w:val="both"/>
        <w:rPr>
          <w:rFonts w:asciiTheme="majorHAnsi" w:hAnsiTheme="majorHAnsi"/>
        </w:rPr>
      </w:pPr>
      <w:r w:rsidRPr="0013327C">
        <w:rPr>
          <w:rFonts w:asciiTheme="majorHAnsi" w:hAnsiTheme="majorHAnsi"/>
        </w:rPr>
        <w:t>The half-life of the translation product of the target mRNA.</w:t>
      </w:r>
    </w:p>
    <w:p w:rsidR="00597427" w:rsidRPr="0013327C" w:rsidRDefault="00597427" w:rsidP="00AE0264">
      <w:pPr>
        <w:pStyle w:val="ListParagraph"/>
        <w:numPr>
          <w:ilvl w:val="0"/>
          <w:numId w:val="9"/>
        </w:numPr>
        <w:jc w:val="both"/>
        <w:rPr>
          <w:rFonts w:asciiTheme="majorHAnsi" w:hAnsiTheme="majorHAnsi"/>
        </w:rPr>
      </w:pPr>
      <w:r w:rsidRPr="0013327C">
        <w:rPr>
          <w:rFonts w:asciiTheme="majorHAnsi" w:hAnsiTheme="majorHAnsi"/>
        </w:rPr>
        <w:lastRenderedPageBreak/>
        <w:t>The abundance of the target protein at the time of administration.</w:t>
      </w:r>
    </w:p>
    <w:p w:rsidR="00597427" w:rsidRPr="0013327C" w:rsidRDefault="00597427" w:rsidP="00AE0264">
      <w:pPr>
        <w:ind w:left="360"/>
        <w:jc w:val="both"/>
        <w:rPr>
          <w:rFonts w:asciiTheme="majorHAnsi" w:hAnsiTheme="majorHAnsi"/>
        </w:rPr>
      </w:pPr>
      <w:r w:rsidRPr="0013327C">
        <w:rPr>
          <w:rFonts w:asciiTheme="majorHAnsi" w:hAnsiTheme="majorHAnsi"/>
        </w:rPr>
        <w:t>The above factors will determine two crucial aspects of the assay. The first is the beginning of an effective, complete or partial knockdown determined by loss of protein function below a critical point. The second is the reintroduction of protein function by its synthesis and that of its mRNA due to the exhaustion of specific messenger-silencing siRNAs (and long dsRNA). This creates a window of effective knockdown (loss of protein function). For the knockdown to be observed the timing of induction of the reporter and its subsequent observation needs to take place between the beginning of the effective knockdown and its termination. Therefore a sixth factor crucial for observation is the timing of induction of the peroxisomal reporter.</w:t>
      </w:r>
    </w:p>
    <w:p w:rsidR="00597427" w:rsidRPr="0013327C" w:rsidRDefault="00597427" w:rsidP="00AE0264">
      <w:pPr>
        <w:jc w:val="both"/>
        <w:rPr>
          <w:rFonts w:asciiTheme="majorHAnsi" w:hAnsiTheme="majorHAnsi"/>
        </w:rPr>
      </w:pPr>
      <w:r w:rsidRPr="0013327C">
        <w:rPr>
          <w:rFonts w:asciiTheme="majorHAnsi" w:hAnsiTheme="majorHAnsi"/>
        </w:rPr>
        <w:t>It was decided that a five-day growth period rather than three before addition of CuSO</w:t>
      </w:r>
      <w:r w:rsidRPr="0013327C">
        <w:rPr>
          <w:rFonts w:asciiTheme="majorHAnsi" w:hAnsiTheme="majorHAnsi"/>
          <w:vertAlign w:val="subscript"/>
        </w:rPr>
        <w:t>4</w:t>
      </w:r>
      <w:r w:rsidRPr="0013327C">
        <w:rPr>
          <w:rFonts w:asciiTheme="majorHAnsi" w:hAnsiTheme="majorHAnsi"/>
        </w:rPr>
        <w:t xml:space="preserve"> to induce reporter expression would be attempted. The images from the </w:t>
      </w:r>
      <w:r w:rsidR="000C26B2" w:rsidRPr="000C26B2">
        <w:rPr>
          <w:rFonts w:asciiTheme="majorHAnsi" w:hAnsiTheme="majorHAnsi"/>
          <w:i/>
        </w:rPr>
        <w:t>PEX</w:t>
      </w:r>
      <w:r w:rsidRPr="0013327C">
        <w:rPr>
          <w:rFonts w:asciiTheme="majorHAnsi" w:hAnsiTheme="majorHAnsi"/>
        </w:rPr>
        <w:t>5 KD cells showed a complete loss of punctate signal in over 90% of transfected cells. The remaining transfected cells showed a variation from weak KD phenotype (as in the previous 3-day KD experiment) to no KD at all, indicating that up to 5% of the transfected cells did not experience an effective KD</w:t>
      </w:r>
      <w:r w:rsidR="00F14978">
        <w:rPr>
          <w:rFonts w:asciiTheme="majorHAnsi" w:hAnsiTheme="majorHAnsi"/>
        </w:rPr>
        <w:t>.</w:t>
      </w:r>
      <w:r w:rsidRPr="0013327C">
        <w:rPr>
          <w:rFonts w:asciiTheme="majorHAnsi" w:hAnsiTheme="majorHAnsi"/>
        </w:rPr>
        <w:t xml:space="preserve"> </w:t>
      </w: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r w:rsidRPr="0013327C">
        <w:rPr>
          <w:rFonts w:asciiTheme="majorHAnsi" w:hAnsiTheme="majorHAnsi"/>
          <w:b/>
          <w:noProof/>
          <w:lang w:eastAsia="en-GB"/>
        </w:rPr>
        <w:drawing>
          <wp:inline distT="0" distB="0" distL="0" distR="0">
            <wp:extent cx="5731510" cy="1759867"/>
            <wp:effectExtent l="0" t="0" r="0" b="0"/>
            <wp:docPr id="72"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08912" cy="2520280"/>
                      <a:chOff x="323528" y="3789040"/>
                      <a:chExt cx="8208912" cy="2520280"/>
                    </a:xfrm>
                  </a:grpSpPr>
                  <a:grpSp>
                    <a:nvGrpSpPr>
                      <a:cNvPr id="54" name="Group 53"/>
                      <a:cNvGrpSpPr/>
                    </a:nvGrpSpPr>
                    <a:grpSpPr>
                      <a:xfrm>
                        <a:off x="323528" y="3789040"/>
                        <a:ext cx="8208912" cy="2520280"/>
                        <a:chOff x="323528" y="3789040"/>
                        <a:chExt cx="8208912" cy="2520280"/>
                      </a:xfrm>
                    </a:grpSpPr>
                    <a:cxnSp>
                      <a:nvCxnSpPr>
                        <a:cNvPr id="7" name="Straight Connector 6"/>
                        <a:cNvCxnSpPr/>
                      </a:nvCxnSpPr>
                      <a:spPr>
                        <a:xfrm>
                          <a:off x="1043608" y="5733256"/>
                          <a:ext cx="7488832" cy="0"/>
                        </a:xfrm>
                        <a:prstGeom prst="line">
                          <a:avLst/>
                        </a:prstGeom>
                        <a:ln w="19050">
                          <a:solidFill>
                            <a:schemeClr val="tx1"/>
                          </a:solidFill>
                          <a:headEnd type="none" w="med" len="med"/>
                          <a:tailEnd type="arrow" w="med" len="med"/>
                        </a:ln>
                      </a:spPr>
                      <a:style>
                        <a:lnRef idx="1">
                          <a:schemeClr val="accent1"/>
                        </a:lnRef>
                        <a:fillRef idx="0">
                          <a:schemeClr val="accent1"/>
                        </a:fillRef>
                        <a:effectRef idx="0">
                          <a:schemeClr val="accent1"/>
                        </a:effectRef>
                        <a:fontRef idx="minor">
                          <a:schemeClr val="tx1"/>
                        </a:fontRef>
                      </a:style>
                    </a:cxnSp>
                    <a:cxnSp>
                      <a:nvCxnSpPr>
                        <a:cNvPr id="9" name="Straight Arrow Connector 8"/>
                        <a:cNvCxnSpPr/>
                      </a:nvCxnSpPr>
                      <a:spPr>
                        <a:xfrm>
                          <a:off x="971600" y="5085184"/>
                          <a:ext cx="0" cy="57606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0" name="TextBox 9"/>
                        <a:cNvSpPr txBox="1"/>
                      </a:nvSpPr>
                      <a:spPr>
                        <a:xfrm>
                          <a:off x="323528" y="4437112"/>
                          <a:ext cx="1296144"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dsRNA pre-seeded</a:t>
                            </a:r>
                            <a:endParaRPr lang="en-GB" dirty="0"/>
                          </a:p>
                        </a:txBody>
                        <a:useSpRect/>
                      </a:txSp>
                    </a:sp>
                    <a:cxnSp>
                      <a:nvCxnSpPr>
                        <a:cNvPr id="11" name="Straight Arrow Connector 10"/>
                        <a:cNvCxnSpPr/>
                      </a:nvCxnSpPr>
                      <a:spPr>
                        <a:xfrm>
                          <a:off x="2195736" y="5085184"/>
                          <a:ext cx="0" cy="57606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2" name="TextBox 11"/>
                        <a:cNvSpPr txBox="1"/>
                      </a:nvSpPr>
                      <a:spPr>
                        <a:xfrm>
                          <a:off x="1547664" y="3789040"/>
                          <a:ext cx="1224136" cy="830997"/>
                        </a:xfrm>
                        <a:prstGeom prst="rect">
                          <a:avLst/>
                        </a:prstGeom>
                        <a:noFill/>
                        <a:ln w="6350">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600" dirty="0" smtClean="0"/>
                              <a:t>Day 1: Transfected cells seeded</a:t>
                            </a:r>
                            <a:endParaRPr lang="en-GB" sz="1600" dirty="0"/>
                          </a:p>
                        </a:txBody>
                        <a:useSpRect/>
                      </a:txSp>
                    </a:sp>
                    <a:cxnSp>
                      <a:nvCxnSpPr>
                        <a:cNvPr id="14" name="Straight Connector 13"/>
                        <a:cNvCxnSpPr/>
                      </a:nvCxnSpPr>
                      <a:spPr>
                        <a:xfrm>
                          <a:off x="2195736" y="5733256"/>
                          <a:ext cx="0" cy="576064"/>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 name="Straight Connector 14"/>
                        <a:cNvCxnSpPr/>
                      </a:nvCxnSpPr>
                      <a:spPr>
                        <a:xfrm>
                          <a:off x="3059832" y="5733256"/>
                          <a:ext cx="0" cy="576064"/>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 name="Straight Connector 15"/>
                        <a:cNvCxnSpPr/>
                      </a:nvCxnSpPr>
                      <a:spPr>
                        <a:xfrm>
                          <a:off x="3923928" y="5733256"/>
                          <a:ext cx="0" cy="576064"/>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 name="Straight Connector 16"/>
                        <a:cNvCxnSpPr/>
                      </a:nvCxnSpPr>
                      <a:spPr>
                        <a:xfrm>
                          <a:off x="4788024" y="5733256"/>
                          <a:ext cx="0" cy="576064"/>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 name="Straight Connector 17"/>
                        <a:cNvCxnSpPr/>
                      </a:nvCxnSpPr>
                      <a:spPr>
                        <a:xfrm>
                          <a:off x="5652120" y="5733256"/>
                          <a:ext cx="0" cy="576064"/>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 name="Straight Connector 18"/>
                        <a:cNvCxnSpPr/>
                      </a:nvCxnSpPr>
                      <a:spPr>
                        <a:xfrm>
                          <a:off x="6516216" y="5733256"/>
                          <a:ext cx="0" cy="576064"/>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 name="Straight Connector 19"/>
                        <a:cNvCxnSpPr/>
                      </a:nvCxnSpPr>
                      <a:spPr>
                        <a:xfrm>
                          <a:off x="7380312" y="5733256"/>
                          <a:ext cx="0" cy="576064"/>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sp>
                      <a:nvSpPr>
                        <a:cNvPr id="45" name="TextBox 44"/>
                        <a:cNvSpPr txBox="1"/>
                      </a:nvSpPr>
                      <a:spPr>
                        <a:xfrm>
                          <a:off x="2267744" y="5805264"/>
                          <a:ext cx="4176464" cy="408623"/>
                        </a:xfrm>
                        <a:prstGeom prst="roundRect">
                          <a:avLst/>
                        </a:prstGeom>
                        <a:solidFill>
                          <a:schemeClr val="accent6"/>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a:t>5</a:t>
                            </a:r>
                            <a:r>
                              <a:rPr lang="en-GB" dirty="0" smtClean="0"/>
                              <a:t>-day </a:t>
                            </a:r>
                            <a:r>
                              <a:rPr lang="en-GB" dirty="0" smtClean="0"/>
                              <a:t>growth</a:t>
                            </a:r>
                            <a:endParaRPr lang="en-GB" dirty="0"/>
                          </a:p>
                        </a:txBody>
                        <a:useSpRect/>
                      </a:txSp>
                    </a:sp>
                    <a:sp>
                      <a:nvSpPr>
                        <a:cNvPr id="46" name="TextBox 45"/>
                        <a:cNvSpPr txBox="1"/>
                      </a:nvSpPr>
                      <a:spPr>
                        <a:xfrm>
                          <a:off x="5580112" y="3789040"/>
                          <a:ext cx="1368152" cy="1077218"/>
                        </a:xfrm>
                        <a:prstGeom prst="rect">
                          <a:avLst/>
                        </a:prstGeom>
                        <a:noFill/>
                        <a:ln w="6350">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600" dirty="0" smtClean="0"/>
                              <a:t>Day 6: Induction with 100µM </a:t>
                            </a:r>
                            <a:r>
                              <a:rPr lang="en-GB" sz="1600" dirty="0" err="1"/>
                              <a:t>CuSO</a:t>
                            </a:r>
                            <a:r>
                              <a:rPr lang="en-GB" sz="1600" baseline="-25000" dirty="0" err="1"/>
                              <a:t>4</a:t>
                            </a:r>
                            <a:endParaRPr lang="en-GB" sz="1600" dirty="0"/>
                          </a:p>
                        </a:txBody>
                        <a:useSpRect/>
                      </a:txSp>
                    </a:sp>
                    <a:cxnSp>
                      <a:nvCxnSpPr>
                        <a:cNvPr id="47" name="Straight Arrow Connector 46"/>
                        <a:cNvCxnSpPr/>
                      </a:nvCxnSpPr>
                      <a:spPr>
                        <a:xfrm>
                          <a:off x="6516216" y="5061377"/>
                          <a:ext cx="0" cy="57606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8" name="Rounded Rectangle 47"/>
                        <a:cNvSpPr/>
                      </a:nvSpPr>
                      <a:spPr>
                        <a:xfrm>
                          <a:off x="6588224" y="5805264"/>
                          <a:ext cx="720080" cy="36004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lin ang="10800000" scaled="1"/>
                          <a:tileRect/>
                        </a:gra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9" name="TextBox 48"/>
                        <a:cNvSpPr txBox="1"/>
                      </a:nvSpPr>
                      <a:spPr>
                        <a:xfrm>
                          <a:off x="7020272" y="3789040"/>
                          <a:ext cx="1512168" cy="1077218"/>
                        </a:xfrm>
                        <a:prstGeom prst="rect">
                          <a:avLst/>
                        </a:prstGeom>
                        <a:noFill/>
                        <a:ln w="6350">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600" dirty="0" smtClean="0"/>
                              <a:t>Day 7: Observation/ imaging after 6-day KD</a:t>
                            </a:r>
                            <a:endParaRPr lang="en-GB" sz="1600" dirty="0"/>
                          </a:p>
                        </a:txBody>
                        <a:useSpRect/>
                      </a:txSp>
                    </a:sp>
                    <a:cxnSp>
                      <a:nvCxnSpPr>
                        <a:cNvPr id="50" name="Straight Arrow Connector 49"/>
                        <a:cNvCxnSpPr/>
                      </a:nvCxnSpPr>
                      <a:spPr>
                        <a:xfrm>
                          <a:off x="7380312" y="5085184"/>
                          <a:ext cx="0" cy="57606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1" name="Straight Arrow Connector 50"/>
                        <a:cNvCxnSpPr/>
                      </a:nvCxnSpPr>
                      <a:spPr>
                        <a:xfrm>
                          <a:off x="1331640" y="6237312"/>
                          <a:ext cx="864096" cy="0"/>
                        </a:xfrm>
                        <a:prstGeom prst="straightConnector1">
                          <a:avLst/>
                        </a:prstGeom>
                        <a:ln>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52" name="TextBox 51"/>
                        <a:cNvSpPr txBox="1"/>
                      </a:nvSpPr>
                      <a:spPr>
                        <a:xfrm>
                          <a:off x="1403648" y="5805264"/>
                          <a:ext cx="72008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err="1" smtClean="0">
                                <a:solidFill>
                                  <a:srgbClr val="FF0000"/>
                                </a:solidFill>
                              </a:rPr>
                              <a:t>24hrs</a:t>
                            </a:r>
                            <a:endParaRPr lang="en-GB" dirty="0">
                              <a:solidFill>
                                <a:srgbClr val="FF0000"/>
                              </a:solidFill>
                            </a:endParaRPr>
                          </a:p>
                        </a:txBody>
                        <a:useSpRect/>
                      </a:txSp>
                    </a:sp>
                    <a:sp>
                      <a:nvSpPr>
                        <a:cNvPr id="57" name="TextBox 56"/>
                        <a:cNvSpPr txBox="1"/>
                      </a:nvSpPr>
                      <a:spPr>
                        <a:xfrm>
                          <a:off x="7812360" y="5435932"/>
                          <a:ext cx="72008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Time</a:t>
                            </a:r>
                            <a:endParaRPr lang="en-GB" dirty="0"/>
                          </a:p>
                        </a:txBody>
                        <a:useSpRect/>
                      </a:txSp>
                    </a:sp>
                    <a:sp>
                      <a:nvSpPr>
                        <a:cNvPr id="60" name="TextBox 59"/>
                        <a:cNvSpPr txBox="1"/>
                      </a:nvSpPr>
                      <a:spPr>
                        <a:xfrm>
                          <a:off x="395536" y="3985900"/>
                          <a:ext cx="792088"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800" dirty="0"/>
                              <a:t>B</a:t>
                            </a:r>
                            <a:endParaRPr lang="en-GB" dirty="0"/>
                          </a:p>
                        </a:txBody>
                        <a:useSpRect/>
                      </a:txSp>
                    </a:sp>
                    <a:cxnSp>
                      <a:nvCxnSpPr>
                        <a:cNvPr id="68" name="Straight Connector 67"/>
                        <a:cNvCxnSpPr/>
                      </a:nvCxnSpPr>
                      <a:spPr>
                        <a:xfrm>
                          <a:off x="1331640" y="5733256"/>
                          <a:ext cx="0" cy="576064"/>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sp>
                      <a:nvSpPr>
                        <a:cNvPr id="118" name="TextBox 117"/>
                        <a:cNvSpPr txBox="1"/>
                      </a:nvSpPr>
                      <a:spPr>
                        <a:xfrm>
                          <a:off x="2843808" y="3789040"/>
                          <a:ext cx="1224136" cy="1077218"/>
                        </a:xfrm>
                        <a:prstGeom prst="rect">
                          <a:avLst/>
                        </a:prstGeom>
                        <a:noFill/>
                        <a:ln w="6350">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600" dirty="0" smtClean="0"/>
                              <a:t>Day </a:t>
                            </a:r>
                            <a:r>
                              <a:rPr lang="en-GB" sz="1600" dirty="0" err="1" smtClean="0"/>
                              <a:t>2:Cells</a:t>
                            </a:r>
                            <a:r>
                              <a:rPr lang="en-GB" sz="1600" dirty="0" smtClean="0"/>
                              <a:t> transferred to 6-well plate</a:t>
                            </a:r>
                            <a:endParaRPr lang="en-GB" dirty="0"/>
                          </a:p>
                        </a:txBody>
                        <a:useSpRect/>
                      </a:txSp>
                    </a:sp>
                    <a:cxnSp>
                      <a:nvCxnSpPr>
                        <a:cNvPr id="119" name="Straight Arrow Connector 118"/>
                        <a:cNvCxnSpPr/>
                      </a:nvCxnSpPr>
                      <a:spPr>
                        <a:xfrm>
                          <a:off x="3059832" y="5085184"/>
                          <a:ext cx="0" cy="57606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grpSp>
                </lc:lockedCanvas>
              </a:graphicData>
            </a:graphic>
          </wp:inline>
        </w:drawing>
      </w:r>
      <w:proofErr w:type="gramStart"/>
      <w:r w:rsidRPr="0013327C">
        <w:rPr>
          <w:rFonts w:asciiTheme="majorHAnsi" w:hAnsiTheme="majorHAnsi"/>
          <w:b/>
        </w:rPr>
        <w:t>Figure 3.</w:t>
      </w:r>
      <w:r w:rsidR="00A944F3">
        <w:rPr>
          <w:rFonts w:asciiTheme="majorHAnsi" w:hAnsiTheme="majorHAnsi"/>
          <w:b/>
        </w:rPr>
        <w:t>6</w:t>
      </w:r>
      <w:r w:rsidRPr="0013327C">
        <w:rPr>
          <w:rFonts w:asciiTheme="majorHAnsi" w:hAnsiTheme="majorHAnsi"/>
          <w:b/>
        </w:rPr>
        <w:t>.</w:t>
      </w:r>
      <w:proofErr w:type="gramEnd"/>
      <w:r w:rsidRPr="0013327C">
        <w:rPr>
          <w:rFonts w:asciiTheme="majorHAnsi" w:hAnsiTheme="majorHAnsi"/>
          <w:b/>
        </w:rPr>
        <w:t xml:space="preserve"> </w:t>
      </w:r>
      <w:proofErr w:type="gramStart"/>
      <w:r w:rsidR="008624E3" w:rsidRPr="0013327C">
        <w:rPr>
          <w:rFonts w:asciiTheme="majorHAnsi" w:hAnsiTheme="majorHAnsi"/>
          <w:b/>
        </w:rPr>
        <w:t>Timeline for 6-day KD.</w:t>
      </w:r>
      <w:proofErr w:type="gramEnd"/>
      <w:r w:rsidR="008624E3" w:rsidRPr="0013327C">
        <w:rPr>
          <w:rFonts w:asciiTheme="majorHAnsi" w:hAnsiTheme="majorHAnsi"/>
          <w:b/>
        </w:rPr>
        <w:t xml:space="preserve"> </w:t>
      </w:r>
      <w:proofErr w:type="gramStart"/>
      <w:r w:rsidRPr="0013327C">
        <w:rPr>
          <w:rFonts w:asciiTheme="majorHAnsi" w:hAnsiTheme="majorHAnsi"/>
        </w:rPr>
        <w:t xml:space="preserve">Timeline representation for the 6-day KD of </w:t>
      </w:r>
      <w:r w:rsidR="000C26B2" w:rsidRPr="000C26B2">
        <w:rPr>
          <w:rFonts w:asciiTheme="majorHAnsi" w:hAnsiTheme="majorHAnsi"/>
          <w:i/>
        </w:rPr>
        <w:t>PEX</w:t>
      </w:r>
      <w:r w:rsidRPr="0013327C">
        <w:rPr>
          <w:rFonts w:asciiTheme="majorHAnsi" w:hAnsiTheme="majorHAnsi"/>
        </w:rPr>
        <w:t>5.</w:t>
      </w:r>
      <w:proofErr w:type="gramEnd"/>
      <w:r w:rsidRPr="0013327C">
        <w:rPr>
          <w:rFonts w:asciiTheme="majorHAnsi" w:hAnsiTheme="majorHAnsi"/>
        </w:rPr>
        <w:t xml:space="preserve"> S2R+ cells transiently transfected with pMt-eGFP-PTS1 which were grown for 5 days before a 24hr induction with 100µM CuSO</w:t>
      </w:r>
      <w:r w:rsidRPr="0013327C">
        <w:rPr>
          <w:rFonts w:asciiTheme="majorHAnsi" w:hAnsiTheme="majorHAnsi"/>
          <w:vertAlign w:val="subscript"/>
        </w:rPr>
        <w:t>4</w:t>
      </w:r>
      <w:r w:rsidRPr="0013327C">
        <w:rPr>
          <w:rFonts w:asciiTheme="majorHAnsi" w:hAnsiTheme="majorHAnsi"/>
        </w:rPr>
        <w:t>.</w:t>
      </w:r>
    </w:p>
    <w:p w:rsidR="00597427" w:rsidRPr="0013327C" w:rsidRDefault="005C05D1" w:rsidP="00AE0264">
      <w:pPr>
        <w:jc w:val="both"/>
        <w:rPr>
          <w:rFonts w:asciiTheme="majorHAnsi" w:hAnsiTheme="majorHAnsi"/>
        </w:rPr>
      </w:pPr>
      <w:r>
        <w:rPr>
          <w:rFonts w:asciiTheme="majorHAnsi" w:hAnsiTheme="majorHAnsi"/>
          <w:noProof/>
          <w:lang w:eastAsia="en-GB"/>
        </w:rPr>
        <w:lastRenderedPageBreak/>
        <w:drawing>
          <wp:inline distT="0" distB="0" distL="0" distR="0">
            <wp:extent cx="5451475" cy="3624225"/>
            <wp:effectExtent l="19050" t="0" r="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5457568" cy="3628276"/>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 xml:space="preserve">Figure </w:t>
      </w:r>
      <w:r w:rsidR="00820476">
        <w:rPr>
          <w:rFonts w:asciiTheme="majorHAnsi" w:hAnsiTheme="majorHAnsi"/>
          <w:b/>
        </w:rPr>
        <w:t>3.7</w:t>
      </w:r>
      <w:r w:rsidR="00304281" w:rsidRPr="0013327C">
        <w:rPr>
          <w:rFonts w:asciiTheme="majorHAnsi" w:hAnsiTheme="majorHAnsi"/>
          <w:b/>
        </w:rPr>
        <w:t>.</w:t>
      </w:r>
      <w:proofErr w:type="gramEnd"/>
      <w:r w:rsidR="00304281">
        <w:rPr>
          <w:rFonts w:asciiTheme="majorHAnsi" w:hAnsiTheme="majorHAnsi"/>
          <w:b/>
        </w:rPr>
        <w:t xml:space="preserve"> I</w:t>
      </w:r>
      <w:r w:rsidR="00304281" w:rsidRPr="0013327C">
        <w:rPr>
          <w:rFonts w:asciiTheme="majorHAnsi" w:hAnsiTheme="majorHAnsi"/>
          <w:b/>
        </w:rPr>
        <w:t>mages</w:t>
      </w:r>
      <w:r w:rsidR="008624E3" w:rsidRPr="0013327C">
        <w:rPr>
          <w:rFonts w:asciiTheme="majorHAnsi" w:hAnsiTheme="majorHAnsi"/>
          <w:b/>
        </w:rPr>
        <w:t xml:space="preserve"> of 4-day and 6-day</w:t>
      </w:r>
      <w:r w:rsidRPr="0013327C">
        <w:rPr>
          <w:rFonts w:asciiTheme="majorHAnsi" w:hAnsiTheme="majorHAnsi"/>
          <w:b/>
        </w:rPr>
        <w:t xml:space="preserve"> </w:t>
      </w:r>
      <w:r w:rsidR="00D93535" w:rsidRPr="00D93535">
        <w:rPr>
          <w:rFonts w:asciiTheme="majorHAnsi" w:hAnsiTheme="majorHAnsi"/>
          <w:b/>
          <w:i/>
        </w:rPr>
        <w:t>PEX</w:t>
      </w:r>
      <w:r w:rsidR="00820476">
        <w:rPr>
          <w:rFonts w:asciiTheme="majorHAnsi" w:hAnsiTheme="majorHAnsi"/>
          <w:b/>
        </w:rPr>
        <w:t xml:space="preserve">5 </w:t>
      </w:r>
      <w:r w:rsidR="008624E3" w:rsidRPr="0013327C">
        <w:rPr>
          <w:rFonts w:asciiTheme="majorHAnsi" w:hAnsiTheme="majorHAnsi"/>
          <w:b/>
        </w:rPr>
        <w:t>KDs.</w:t>
      </w:r>
      <w:r w:rsidR="008624E3" w:rsidRPr="0013327C">
        <w:rPr>
          <w:rFonts w:asciiTheme="majorHAnsi" w:hAnsiTheme="majorHAnsi"/>
        </w:rPr>
        <w:t xml:space="preserve"> </w:t>
      </w:r>
      <w:r w:rsidR="001D1A18">
        <w:rPr>
          <w:rFonts w:asciiTheme="majorHAnsi" w:hAnsiTheme="majorHAnsi"/>
        </w:rPr>
        <w:t xml:space="preserve">S2R+ cells were transiently transfected with eGFP-PTS1 and knocked down with </w:t>
      </w:r>
      <w:r w:rsidR="00D93535" w:rsidRPr="00D93535">
        <w:rPr>
          <w:rFonts w:asciiTheme="majorHAnsi" w:hAnsiTheme="majorHAnsi"/>
          <w:i/>
        </w:rPr>
        <w:t>PEX</w:t>
      </w:r>
      <w:r w:rsidR="001D1A18">
        <w:rPr>
          <w:rFonts w:asciiTheme="majorHAnsi" w:hAnsiTheme="majorHAnsi"/>
        </w:rPr>
        <w:t xml:space="preserve">5 dsRNA for </w:t>
      </w:r>
      <w:r w:rsidR="0076217A">
        <w:rPr>
          <w:rFonts w:asciiTheme="majorHAnsi" w:hAnsiTheme="majorHAnsi"/>
        </w:rPr>
        <w:t xml:space="preserve">either </w:t>
      </w:r>
      <w:r w:rsidR="001D1A18">
        <w:rPr>
          <w:rFonts w:asciiTheme="majorHAnsi" w:hAnsiTheme="majorHAnsi"/>
        </w:rPr>
        <w:t>3</w:t>
      </w:r>
      <w:r w:rsidR="0076217A">
        <w:rPr>
          <w:rFonts w:asciiTheme="majorHAnsi" w:hAnsiTheme="majorHAnsi"/>
        </w:rPr>
        <w:t xml:space="preserve"> or 5</w:t>
      </w:r>
      <w:r w:rsidR="001D1A18">
        <w:rPr>
          <w:rFonts w:asciiTheme="majorHAnsi" w:hAnsiTheme="majorHAnsi"/>
        </w:rPr>
        <w:t xml:space="preserve"> days before induction with 100µM CuSO</w:t>
      </w:r>
      <w:r w:rsidR="001D1A18">
        <w:rPr>
          <w:rFonts w:asciiTheme="majorHAnsi" w:hAnsiTheme="majorHAnsi"/>
          <w:vertAlign w:val="subscript"/>
        </w:rPr>
        <w:t>4</w:t>
      </w:r>
      <w:r w:rsidR="0076217A">
        <w:rPr>
          <w:rFonts w:asciiTheme="majorHAnsi" w:hAnsiTheme="majorHAnsi"/>
        </w:rPr>
        <w:t xml:space="preserve"> for 24 hours</w:t>
      </w:r>
      <w:r w:rsidR="001D1A18">
        <w:rPr>
          <w:rFonts w:asciiTheme="majorHAnsi" w:hAnsiTheme="majorHAnsi"/>
        </w:rPr>
        <w:t xml:space="preserve">. Cells were fixed with 3.6% formaldehyde and mounted </w:t>
      </w:r>
      <w:r w:rsidR="0076217A">
        <w:rPr>
          <w:rFonts w:asciiTheme="majorHAnsi" w:hAnsiTheme="majorHAnsi"/>
        </w:rPr>
        <w:t xml:space="preserve">onto coverslips </w:t>
      </w:r>
      <w:r w:rsidR="005C05D1">
        <w:rPr>
          <w:rFonts w:asciiTheme="majorHAnsi" w:hAnsiTheme="majorHAnsi"/>
        </w:rPr>
        <w:t xml:space="preserve">with Moviol </w:t>
      </w:r>
      <w:r w:rsidR="0076217A">
        <w:rPr>
          <w:rFonts w:asciiTheme="majorHAnsi" w:hAnsiTheme="majorHAnsi"/>
        </w:rPr>
        <w:t>for imaging</w:t>
      </w:r>
      <w:r w:rsidR="005C05D1">
        <w:rPr>
          <w:rFonts w:asciiTheme="majorHAnsi" w:hAnsiTheme="majorHAnsi"/>
        </w:rPr>
        <w:t xml:space="preserve"> at 40X magnification</w:t>
      </w:r>
      <w:r w:rsidR="0076217A">
        <w:rPr>
          <w:rFonts w:asciiTheme="majorHAnsi" w:hAnsiTheme="majorHAnsi"/>
        </w:rPr>
        <w:t>.</w:t>
      </w:r>
      <w:r w:rsidR="001D1A18">
        <w:rPr>
          <w:rFonts w:asciiTheme="majorHAnsi" w:hAnsiTheme="majorHAnsi"/>
        </w:rPr>
        <w:t xml:space="preserve"> </w:t>
      </w:r>
      <w:r w:rsidRPr="0013327C">
        <w:rPr>
          <w:rFonts w:asciiTheme="majorHAnsi" w:hAnsiTheme="majorHAnsi"/>
        </w:rPr>
        <w:t xml:space="preserve">A 4 day KD displays only a partial inhibition of </w:t>
      </w:r>
      <w:r w:rsidR="000C26B2" w:rsidRPr="000C26B2">
        <w:rPr>
          <w:rFonts w:asciiTheme="majorHAnsi" w:hAnsiTheme="majorHAnsi"/>
          <w:i/>
        </w:rPr>
        <w:t>PEX</w:t>
      </w:r>
      <w:r w:rsidRPr="0013327C">
        <w:rPr>
          <w:rFonts w:asciiTheme="majorHAnsi" w:hAnsiTheme="majorHAnsi"/>
        </w:rPr>
        <w:t xml:space="preserve">5 function, shown by dim cytosolic eGFP accompanied by brighter puncta. The number of puncta per cell appears to be normal. 6 day KDs display both strong and weak phenotypes within the same sample, the majority are </w:t>
      </w:r>
      <w:r w:rsidR="00304281" w:rsidRPr="0013327C">
        <w:rPr>
          <w:rFonts w:asciiTheme="majorHAnsi" w:hAnsiTheme="majorHAnsi"/>
        </w:rPr>
        <w:t>strong</w:t>
      </w:r>
      <w:r w:rsidRPr="0013327C">
        <w:rPr>
          <w:rFonts w:asciiTheme="majorHAnsi" w:hAnsiTheme="majorHAnsi"/>
        </w:rPr>
        <w:t>. The strongest KDs have very few or no visible puncta against a strong cytosolic presence of eGFP.</w:t>
      </w:r>
      <w:r w:rsidR="0076217A">
        <w:rPr>
          <w:rFonts w:asciiTheme="majorHAnsi" w:hAnsiTheme="majorHAnsi"/>
        </w:rPr>
        <w:t xml:space="preserve"> WT controls were induced at the same time and imaged for comparison.</w:t>
      </w:r>
      <w:r w:rsidR="005C05D1">
        <w:rPr>
          <w:rFonts w:asciiTheme="majorHAnsi" w:hAnsiTheme="majorHAnsi"/>
        </w:rPr>
        <w:t xml:space="preserve"> Bar = 20µm.</w:t>
      </w:r>
    </w:p>
    <w:p w:rsidR="00597427" w:rsidRPr="0013327C" w:rsidRDefault="00597427" w:rsidP="00AE0264">
      <w:pPr>
        <w:jc w:val="both"/>
        <w:rPr>
          <w:rFonts w:asciiTheme="majorHAnsi" w:hAnsiTheme="majorHAnsi"/>
        </w:rPr>
      </w:pPr>
      <w:r w:rsidRPr="0013327C">
        <w:rPr>
          <w:rFonts w:asciiTheme="majorHAnsi" w:hAnsiTheme="majorHAnsi"/>
        </w:rPr>
        <w:t>It was decided that the peroxisomal matrix reporter eGFP-PTS1 should be used with S2R+ cells under the CuSO</w:t>
      </w:r>
      <w:r w:rsidRPr="0013327C">
        <w:rPr>
          <w:rFonts w:asciiTheme="majorHAnsi" w:hAnsiTheme="majorHAnsi"/>
          <w:vertAlign w:val="subscript"/>
        </w:rPr>
        <w:t>4</w:t>
      </w:r>
      <w:r w:rsidRPr="0013327C">
        <w:rPr>
          <w:rFonts w:asciiTheme="majorHAnsi" w:hAnsiTheme="majorHAnsi"/>
        </w:rPr>
        <w:t>-</w:t>
      </w:r>
      <w:r w:rsidR="00304281" w:rsidRPr="0013327C">
        <w:rPr>
          <w:rFonts w:asciiTheme="majorHAnsi" w:hAnsiTheme="majorHAnsi"/>
        </w:rPr>
        <w:t>inducible expression</w:t>
      </w:r>
      <w:r w:rsidRPr="0013327C">
        <w:rPr>
          <w:rFonts w:asciiTheme="majorHAnsi" w:hAnsiTheme="majorHAnsi"/>
        </w:rPr>
        <w:t xml:space="preserve"> of the pMt promoter. These decisions were made due to the supporting evidence that it is an effective marker in fly cells, can differentiate phenotypes between </w:t>
      </w:r>
      <w:r w:rsidR="000C26B2" w:rsidRPr="000C26B2">
        <w:rPr>
          <w:rFonts w:asciiTheme="majorHAnsi" w:hAnsiTheme="majorHAnsi"/>
          <w:i/>
        </w:rPr>
        <w:t>PEX</w:t>
      </w:r>
      <w:r w:rsidRPr="0013327C">
        <w:rPr>
          <w:rFonts w:asciiTheme="majorHAnsi" w:hAnsiTheme="majorHAnsi"/>
        </w:rPr>
        <w:t xml:space="preserve"> KDs and WT cells and that low to moderate expression does not alter peroxisome morphology nor WT phenotype despite variations in expression inherent to the population of S2 cells. </w:t>
      </w:r>
    </w:p>
    <w:p w:rsidR="00597427" w:rsidRPr="0013327C" w:rsidRDefault="00597427" w:rsidP="00AE0264">
      <w:pPr>
        <w:jc w:val="both"/>
        <w:rPr>
          <w:rFonts w:asciiTheme="majorHAnsi" w:hAnsiTheme="majorHAnsi"/>
        </w:rPr>
      </w:pPr>
      <w:r w:rsidRPr="0013327C">
        <w:rPr>
          <w:rFonts w:asciiTheme="majorHAnsi" w:hAnsiTheme="majorHAnsi"/>
        </w:rPr>
        <w:t xml:space="preserve">An inducible reporter is also desirable for a further important reason. The ability to control the induction of expression of the peroxisomal reporter avoids the labelling of </w:t>
      </w:r>
      <w:r w:rsidRPr="0013327C">
        <w:rPr>
          <w:rFonts w:asciiTheme="majorHAnsi" w:hAnsiTheme="majorHAnsi"/>
        </w:rPr>
        <w:lastRenderedPageBreak/>
        <w:t xml:space="preserve">import-competent peroxisomes prior to efficient KD, as would be observed with a constitutively expressed marker. </w:t>
      </w:r>
    </w:p>
    <w:p w:rsidR="00597427" w:rsidRPr="0013327C" w:rsidRDefault="00597427" w:rsidP="00AE0264">
      <w:pPr>
        <w:pStyle w:val="Heading2"/>
        <w:jc w:val="both"/>
      </w:pPr>
      <w:bookmarkStart w:id="89" w:name="_Toc348423341"/>
      <w:r w:rsidRPr="0013327C">
        <w:t>Optimising transfection efficiency of peroxisomal eGFP</w:t>
      </w:r>
      <w:bookmarkEnd w:id="89"/>
    </w:p>
    <w:p w:rsidR="00597427" w:rsidRPr="0013327C" w:rsidRDefault="00597427" w:rsidP="00AE0264">
      <w:pPr>
        <w:jc w:val="both"/>
        <w:rPr>
          <w:rFonts w:asciiTheme="majorHAnsi" w:hAnsiTheme="majorHAnsi"/>
        </w:rPr>
      </w:pPr>
      <w:r w:rsidRPr="0013327C">
        <w:rPr>
          <w:rFonts w:asciiTheme="majorHAnsi" w:hAnsiTheme="majorHAnsi"/>
        </w:rPr>
        <w:t xml:space="preserve">The exact protocol for liposome-mediated transfection using Effectene (Quiagen) required optimisation specific to the assay as recommended by the Effectene manufacturer. There were </w:t>
      </w:r>
      <w:r w:rsidR="00304281" w:rsidRPr="0013327C">
        <w:rPr>
          <w:rFonts w:asciiTheme="majorHAnsi" w:hAnsiTheme="majorHAnsi"/>
        </w:rPr>
        <w:t>potentially</w:t>
      </w:r>
      <w:r w:rsidRPr="0013327C">
        <w:rPr>
          <w:rFonts w:asciiTheme="majorHAnsi" w:hAnsiTheme="majorHAnsi"/>
        </w:rPr>
        <w:t xml:space="preserve"> six </w:t>
      </w:r>
      <w:r w:rsidR="00304281" w:rsidRPr="0013327C">
        <w:rPr>
          <w:rFonts w:asciiTheme="majorHAnsi" w:hAnsiTheme="majorHAnsi"/>
        </w:rPr>
        <w:t>parameters</w:t>
      </w:r>
      <w:r w:rsidRPr="0013327C">
        <w:rPr>
          <w:rFonts w:asciiTheme="majorHAnsi" w:hAnsiTheme="majorHAnsi"/>
        </w:rPr>
        <w:t xml:space="preserve"> for optimisation; the number of cells, the mass of plasmid DNA, the volume of transfection buffer, the volume of “Enhancer”, the volume of “Effectene” and the volume of medium that they are all mixed with. In 1 well of a 6-well plate the buffer volume (100µl) and the medium </w:t>
      </w:r>
      <w:r w:rsidR="00304281" w:rsidRPr="0013327C">
        <w:rPr>
          <w:rFonts w:asciiTheme="majorHAnsi" w:hAnsiTheme="majorHAnsi"/>
        </w:rPr>
        <w:t>volume (2400µl in total) was</w:t>
      </w:r>
      <w:r w:rsidRPr="0013327C">
        <w:rPr>
          <w:rFonts w:asciiTheme="majorHAnsi" w:hAnsiTheme="majorHAnsi"/>
        </w:rPr>
        <w:t xml:space="preserve"> kept constant. The Enhancer has a strict 1µg of </w:t>
      </w:r>
      <w:r w:rsidR="00304281" w:rsidRPr="0013327C">
        <w:rPr>
          <w:rFonts w:asciiTheme="majorHAnsi" w:hAnsiTheme="majorHAnsi"/>
        </w:rPr>
        <w:t>DNA:</w:t>
      </w:r>
      <w:r w:rsidRPr="0013327C">
        <w:rPr>
          <w:rFonts w:asciiTheme="majorHAnsi" w:hAnsiTheme="majorHAnsi"/>
        </w:rPr>
        <w:t xml:space="preserve"> 8µl Enhancer ratio which did not change. This left the Effectene and the number of cells as the main variable factors. The first to be varied was the Effectene. This was tested in parallel at DNA (µg) to Effectene (µl) ratios of 1:10, 1:25 and 1:50 as recommended in the manufacturer’s manual, all with 2x10</w:t>
      </w:r>
      <w:r w:rsidRPr="0013327C">
        <w:rPr>
          <w:rFonts w:asciiTheme="majorHAnsi" w:hAnsiTheme="majorHAnsi"/>
          <w:vertAlign w:val="superscript"/>
        </w:rPr>
        <w:t>6</w:t>
      </w:r>
      <w:r w:rsidRPr="0013327C">
        <w:rPr>
          <w:rFonts w:asciiTheme="majorHAnsi" w:hAnsiTheme="majorHAnsi"/>
        </w:rPr>
        <w:t xml:space="preserve"> cells. There appeared not to be any real difference in efficiency itself, all at approximately 20%. Since the increasing cell toxicities of the higher ratios had caused more cells to die it was decided to use the lowest ratio. The experiment was repeated in triplicate with 2x10</w:t>
      </w:r>
      <w:r w:rsidRPr="0013327C">
        <w:rPr>
          <w:rFonts w:asciiTheme="majorHAnsi" w:hAnsiTheme="majorHAnsi"/>
          <w:vertAlign w:val="superscript"/>
        </w:rPr>
        <w:t>6</w:t>
      </w:r>
      <w:r w:rsidRPr="0013327C">
        <w:rPr>
          <w:rFonts w:asciiTheme="majorHAnsi" w:hAnsiTheme="majorHAnsi"/>
        </w:rPr>
        <w:t xml:space="preserve"> cells, 1x10</w:t>
      </w:r>
      <w:r w:rsidRPr="0013327C">
        <w:rPr>
          <w:rFonts w:asciiTheme="majorHAnsi" w:hAnsiTheme="majorHAnsi"/>
          <w:vertAlign w:val="superscript"/>
        </w:rPr>
        <w:t>6</w:t>
      </w:r>
      <w:r w:rsidRPr="0013327C">
        <w:rPr>
          <w:rFonts w:asciiTheme="majorHAnsi" w:hAnsiTheme="majorHAnsi"/>
        </w:rPr>
        <w:t xml:space="preserve"> cells and 5x10</w:t>
      </w:r>
      <w:r w:rsidRPr="0013327C">
        <w:rPr>
          <w:rFonts w:asciiTheme="majorHAnsi" w:hAnsiTheme="majorHAnsi"/>
          <w:vertAlign w:val="superscript"/>
        </w:rPr>
        <w:t>5</w:t>
      </w:r>
      <w:r w:rsidRPr="0013327C">
        <w:rPr>
          <w:rFonts w:asciiTheme="majorHAnsi" w:hAnsiTheme="majorHAnsi"/>
        </w:rPr>
        <w:t xml:space="preserve"> cells per well. All had a 1:10 ratio of DNA to Effectene. After 24 hours incubation and 24 hours induction no test seemed to excel against the others as all returned efficiencies of approximately 20%.  After a repetition of both experiments it was concluded that no particular DNA to Effectene ratio held any advantage over the others as far as transfection efficiency was observed.</w:t>
      </w:r>
    </w:p>
    <w:p w:rsidR="00597427" w:rsidRPr="0013327C" w:rsidRDefault="00597427" w:rsidP="00AE0264">
      <w:pPr>
        <w:jc w:val="both"/>
        <w:rPr>
          <w:rFonts w:asciiTheme="majorHAnsi" w:hAnsiTheme="majorHAnsi"/>
        </w:rPr>
      </w:pPr>
      <w:r w:rsidRPr="0013327C">
        <w:rPr>
          <w:rFonts w:asciiTheme="majorHAnsi" w:hAnsiTheme="majorHAnsi"/>
        </w:rPr>
        <w:t xml:space="preserve"> Based on my observations it was decided to transfect in a 6-well plate using 100µl buffer, 1µg DNA and 2400µl fresh medium with 10% serum, using 2x10</w:t>
      </w:r>
      <w:r w:rsidRPr="0013327C">
        <w:rPr>
          <w:rFonts w:asciiTheme="majorHAnsi" w:hAnsiTheme="majorHAnsi"/>
          <w:vertAlign w:val="superscript"/>
        </w:rPr>
        <w:t>6</w:t>
      </w:r>
      <w:r w:rsidRPr="0013327C">
        <w:rPr>
          <w:rFonts w:asciiTheme="majorHAnsi" w:hAnsiTheme="majorHAnsi"/>
        </w:rPr>
        <w:t xml:space="preserve"> cells, 8µl of Enhancer and 10µl of Effectene. Some transfection variation was observed using these conditions, frequently producing efficiencies of 20-30% of cells. During the course of this research we acquired a new 40X objective and renewed the fluorescent filters the combination of which made the fluorescent peroxisomes appear much brighter. This had the effect of apparently increasing the transfection efficiency in subsequent experiments as peroxisomes not previously observable due to their dim appearance became visible.</w:t>
      </w:r>
    </w:p>
    <w:p w:rsidR="00597427" w:rsidRPr="0013327C" w:rsidRDefault="00597427" w:rsidP="00AE0264">
      <w:pPr>
        <w:pStyle w:val="Heading2"/>
        <w:jc w:val="both"/>
      </w:pPr>
      <w:bookmarkStart w:id="90" w:name="_Toc348423342"/>
      <w:proofErr w:type="gramStart"/>
      <w:r w:rsidRPr="0013327C">
        <w:lastRenderedPageBreak/>
        <w:t xml:space="preserve">Knockdowns of </w:t>
      </w:r>
      <w:r w:rsidRPr="0013327C">
        <w:rPr>
          <w:i/>
        </w:rPr>
        <w:t>Drosophila</w:t>
      </w:r>
      <w:r w:rsidRPr="0013327C">
        <w:t xml:space="preserve"> </w:t>
      </w:r>
      <w:r w:rsidR="000C26B2" w:rsidRPr="000C26B2">
        <w:rPr>
          <w:i/>
        </w:rPr>
        <w:t>PEX</w:t>
      </w:r>
      <w:r w:rsidRPr="0013327C">
        <w:t xml:space="preserve"> orthologues using RNAi in S2R+ cells.</w:t>
      </w:r>
      <w:bookmarkEnd w:id="90"/>
      <w:proofErr w:type="gramEnd"/>
    </w:p>
    <w:p w:rsidR="00597427" w:rsidRPr="0013327C" w:rsidRDefault="00597427" w:rsidP="00AE0264">
      <w:pPr>
        <w:jc w:val="both"/>
        <w:rPr>
          <w:rFonts w:asciiTheme="majorHAnsi" w:hAnsiTheme="majorHAnsi"/>
        </w:rPr>
      </w:pPr>
      <w:r w:rsidRPr="0013327C">
        <w:rPr>
          <w:rFonts w:asciiTheme="majorHAnsi" w:hAnsiTheme="majorHAnsi"/>
        </w:rPr>
        <w:t>Performing specific gene knockdowns (KDs) required the specificity of each dsRNA probe to target only the desired gene transcripts and must not target those of other genes. The design of gene-specific KD probes is described in detail in the materials and methods (</w:t>
      </w:r>
      <w:r w:rsidR="00C3380A" w:rsidRPr="0013327C">
        <w:rPr>
          <w:rFonts w:asciiTheme="majorHAnsi" w:hAnsiTheme="majorHAnsi"/>
        </w:rPr>
        <w:t>2.6.6</w:t>
      </w:r>
      <w:r w:rsidRPr="0013327C">
        <w:rPr>
          <w:rFonts w:asciiTheme="majorHAnsi" w:hAnsiTheme="majorHAnsi"/>
        </w:rPr>
        <w:t xml:space="preserve">). In short, gene-specific amplicons were created by PCR using primers incorporating 5’ T7 RNA polymerase promoter sequences. These amplicons are transcribed </w:t>
      </w:r>
      <w:r w:rsidRPr="0013327C">
        <w:rPr>
          <w:rFonts w:asciiTheme="majorHAnsi" w:hAnsiTheme="majorHAnsi"/>
          <w:i/>
        </w:rPr>
        <w:t>in vitro</w:t>
      </w:r>
      <w:r w:rsidRPr="0013327C">
        <w:rPr>
          <w:rFonts w:asciiTheme="majorHAnsi" w:hAnsiTheme="majorHAnsi"/>
        </w:rPr>
        <w:t xml:space="preserve"> using MEGAScript (Ambion) T7 RNA polymerase </w:t>
      </w:r>
      <w:r w:rsidRPr="0013327C">
        <w:rPr>
          <w:rFonts w:asciiTheme="majorHAnsi" w:hAnsiTheme="majorHAnsi"/>
          <w:i/>
        </w:rPr>
        <w:t>in vitro</w:t>
      </w:r>
      <w:r w:rsidRPr="0013327C">
        <w:rPr>
          <w:rFonts w:asciiTheme="majorHAnsi" w:hAnsiTheme="majorHAnsi"/>
        </w:rPr>
        <w:t xml:space="preserve"> transcription kit. The reaction synthesises two anti-parallel RNA strands simultaneously that anneal to from a dsRNA. The DNA template is subsequently removed by digestion with DNAse (Ambion). The quality of the </w:t>
      </w:r>
      <w:r w:rsidR="000C26B2" w:rsidRPr="000C26B2">
        <w:rPr>
          <w:rFonts w:asciiTheme="majorHAnsi" w:hAnsiTheme="majorHAnsi"/>
          <w:i/>
        </w:rPr>
        <w:t>PEX</w:t>
      </w:r>
      <w:r w:rsidRPr="0013327C">
        <w:rPr>
          <w:rFonts w:asciiTheme="majorHAnsi" w:hAnsiTheme="majorHAnsi"/>
        </w:rPr>
        <w:t xml:space="preserve">19 probe seems low. Repeated attempts to improve the quality and concentration of the probe, including the design of a second </w:t>
      </w:r>
      <w:r w:rsidR="000C26B2" w:rsidRPr="000C26B2">
        <w:rPr>
          <w:rFonts w:asciiTheme="majorHAnsi" w:hAnsiTheme="majorHAnsi"/>
          <w:i/>
        </w:rPr>
        <w:t>PEX</w:t>
      </w:r>
      <w:r w:rsidRPr="0013327C">
        <w:rPr>
          <w:rFonts w:asciiTheme="majorHAnsi" w:hAnsiTheme="majorHAnsi"/>
        </w:rPr>
        <w:t xml:space="preserve">19-specific long dsRNA failed to achieve probe qualities seen for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 xml:space="preserve">16. </w:t>
      </w:r>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5040560" cy="2961620"/>
            <wp:effectExtent l="19050" t="0" r="0" b="0"/>
            <wp:docPr id="74"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40560" cy="2961620"/>
                      <a:chOff x="2267744" y="1340768"/>
                      <a:chExt cx="5040560" cy="2961620"/>
                    </a:xfrm>
                  </a:grpSpPr>
                  <a:grpSp>
                    <a:nvGrpSpPr>
                      <a:cNvPr id="13" name="Group 12"/>
                      <a:cNvGrpSpPr/>
                    </a:nvGrpSpPr>
                    <a:grpSpPr>
                      <a:xfrm>
                        <a:off x="2267744" y="1340768"/>
                        <a:ext cx="5040560" cy="2961620"/>
                        <a:chOff x="2267744" y="1340768"/>
                        <a:chExt cx="5040560" cy="2961620"/>
                      </a:xfrm>
                    </a:grpSpPr>
                    <a:grpSp>
                      <a:nvGrpSpPr>
                        <a:cNvPr id="3" name="Group 5"/>
                        <a:cNvGrpSpPr/>
                      </a:nvGrpSpPr>
                      <a:grpSpPr>
                        <a:xfrm>
                          <a:off x="2267744" y="1340768"/>
                          <a:ext cx="3790950" cy="2961620"/>
                          <a:chOff x="2267744" y="1340768"/>
                          <a:chExt cx="3790950" cy="2961620"/>
                        </a:xfrm>
                      </a:grpSpPr>
                      <a:pic>
                        <a:nvPicPr>
                          <a:cNvPr id="1026" name="Picture 2"/>
                          <a:cNvPicPr>
                            <a:picLocks noChangeAspect="1" noChangeArrowheads="1"/>
                          </a:cNvPicPr>
                        </a:nvPicPr>
                        <a:blipFill>
                          <a:blip r:embed="rId42"/>
                          <a:srcRect/>
                          <a:stretch>
                            <a:fillRect/>
                          </a:stretch>
                        </a:blipFill>
                        <a:spPr bwMode="auto">
                          <a:xfrm>
                            <a:off x="2267744" y="1340768"/>
                            <a:ext cx="3790950" cy="2505075"/>
                          </a:xfrm>
                          <a:prstGeom prst="rect">
                            <a:avLst/>
                          </a:prstGeom>
                          <a:noFill/>
                          <a:ln w="9525">
                            <a:noFill/>
                            <a:miter lim="800000"/>
                            <a:headEnd/>
                            <a:tailEnd/>
                          </a:ln>
                          <a:effectLst/>
                        </a:spPr>
                      </a:pic>
                      <a:sp>
                        <a:nvSpPr>
                          <a:cNvPr id="5" name="TextBox 4"/>
                          <a:cNvSpPr txBox="1"/>
                        </a:nvSpPr>
                        <a:spPr>
                          <a:xfrm>
                            <a:off x="2267744" y="3933056"/>
                            <a:ext cx="338437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 A      B       C      D     1     2     3      4</a:t>
                              </a:r>
                              <a:endParaRPr lang="en-GB" dirty="0"/>
                            </a:p>
                          </a:txBody>
                          <a:useSpRect/>
                        </a:txSp>
                      </a:sp>
                    </a:grpSp>
                    <a:sp>
                      <a:nvSpPr>
                        <a:cNvPr id="7" name="TextBox 6"/>
                        <a:cNvSpPr txBox="1"/>
                      </a:nvSpPr>
                      <a:spPr>
                        <a:xfrm>
                          <a:off x="6084168" y="1855857"/>
                          <a:ext cx="122413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1500bp</a:t>
                            </a:r>
                            <a:endParaRPr lang="en-GB" sz="1600" dirty="0"/>
                          </a:p>
                        </a:txBody>
                        <a:useSpRect/>
                      </a:txSp>
                    </a:sp>
                    <a:sp>
                      <a:nvSpPr>
                        <a:cNvPr id="8" name="TextBox 7"/>
                        <a:cNvSpPr txBox="1"/>
                      </a:nvSpPr>
                      <a:spPr>
                        <a:xfrm>
                          <a:off x="6084168" y="2185119"/>
                          <a:ext cx="122413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1000bp</a:t>
                            </a:r>
                            <a:endParaRPr lang="en-GB" sz="1600" dirty="0"/>
                          </a:p>
                        </a:txBody>
                        <a:useSpRect/>
                      </a:txSp>
                    </a:sp>
                    <a:sp>
                      <a:nvSpPr>
                        <a:cNvPr id="9" name="TextBox 8"/>
                        <a:cNvSpPr txBox="1"/>
                      </a:nvSpPr>
                      <a:spPr>
                        <a:xfrm>
                          <a:off x="6084168" y="2359913"/>
                          <a:ext cx="122413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a:t>8</a:t>
                            </a:r>
                            <a:r>
                              <a:rPr lang="en-GB" sz="1200" dirty="0" err="1" smtClean="0"/>
                              <a:t>00bp</a:t>
                            </a:r>
                            <a:endParaRPr lang="en-GB" sz="1600" dirty="0"/>
                          </a:p>
                        </a:txBody>
                        <a:useSpRect/>
                      </a:txSp>
                    </a:sp>
                    <a:sp>
                      <a:nvSpPr>
                        <a:cNvPr id="10" name="TextBox 9"/>
                        <a:cNvSpPr txBox="1"/>
                      </a:nvSpPr>
                      <a:spPr>
                        <a:xfrm>
                          <a:off x="6084168" y="2647945"/>
                          <a:ext cx="122413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600bp</a:t>
                            </a:r>
                            <a:endParaRPr lang="en-GB" sz="1600" dirty="0"/>
                          </a:p>
                        </a:txBody>
                        <a:useSpRect/>
                      </a:txSp>
                    </a:sp>
                    <a:sp>
                      <a:nvSpPr>
                        <a:cNvPr id="11" name="TextBox 10"/>
                        <a:cNvSpPr txBox="1"/>
                      </a:nvSpPr>
                      <a:spPr>
                        <a:xfrm>
                          <a:off x="6084168" y="3007985"/>
                          <a:ext cx="122413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a:t>4</a:t>
                            </a:r>
                            <a:r>
                              <a:rPr lang="en-GB" sz="1200" dirty="0" err="1" smtClean="0"/>
                              <a:t>00bp</a:t>
                            </a:r>
                            <a:endParaRPr lang="en-GB" sz="1600" dirty="0"/>
                          </a:p>
                        </a:txBody>
                        <a:useSpRect/>
                      </a:txSp>
                    </a:sp>
                    <a:sp>
                      <a:nvSpPr>
                        <a:cNvPr id="12" name="TextBox 11"/>
                        <a:cNvSpPr txBox="1"/>
                      </a:nvSpPr>
                      <a:spPr>
                        <a:xfrm>
                          <a:off x="6084168" y="3512041"/>
                          <a:ext cx="122413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200bp</a:t>
                            </a:r>
                            <a:endParaRPr lang="en-GB" sz="1600" dirty="0"/>
                          </a:p>
                        </a:txBody>
                        <a:useSpRect/>
                      </a:txSp>
                    </a:sp>
                  </a:grpSp>
                </lc:lockedCanvas>
              </a:graphicData>
            </a:graphic>
          </wp:inline>
        </w:drawing>
      </w:r>
      <w:r w:rsidRPr="0013327C">
        <w:rPr>
          <w:rFonts w:asciiTheme="majorHAnsi" w:hAnsiTheme="majorHAnsi"/>
          <w:b/>
        </w:rPr>
        <w:t xml:space="preserve"> </w:t>
      </w:r>
      <w:proofErr w:type="gramStart"/>
      <w:r w:rsidR="00B34F43" w:rsidRPr="0013327C">
        <w:rPr>
          <w:rFonts w:asciiTheme="majorHAnsi" w:hAnsiTheme="majorHAnsi"/>
          <w:b/>
        </w:rPr>
        <w:t>Figure</w:t>
      </w:r>
      <w:r w:rsidR="00B34F43">
        <w:rPr>
          <w:rFonts w:asciiTheme="majorHAnsi" w:hAnsiTheme="majorHAnsi"/>
          <w:b/>
        </w:rPr>
        <w:t xml:space="preserve"> </w:t>
      </w:r>
      <w:r w:rsidR="006149E0">
        <w:rPr>
          <w:rFonts w:asciiTheme="majorHAnsi" w:hAnsiTheme="majorHAnsi"/>
          <w:b/>
        </w:rPr>
        <w:t>3.8</w:t>
      </w:r>
      <w:r w:rsidR="007549AC" w:rsidRPr="0013327C">
        <w:rPr>
          <w:rFonts w:asciiTheme="majorHAnsi" w:hAnsiTheme="majorHAnsi"/>
          <w:b/>
        </w:rPr>
        <w:t>.</w:t>
      </w:r>
      <w:proofErr w:type="gramEnd"/>
      <w:r w:rsidR="007549AC" w:rsidRPr="0013327C">
        <w:rPr>
          <w:rFonts w:asciiTheme="majorHAnsi" w:hAnsiTheme="majorHAnsi"/>
          <w:b/>
        </w:rPr>
        <w:t xml:space="preserve"> </w:t>
      </w:r>
      <w:proofErr w:type="gramStart"/>
      <w:r w:rsidR="007549AC" w:rsidRPr="006149E0">
        <w:rPr>
          <w:rFonts w:asciiTheme="majorHAnsi" w:hAnsiTheme="majorHAnsi"/>
          <w:b/>
        </w:rPr>
        <w:t>DNA amplicon templates and long dsRNAs</w:t>
      </w:r>
      <w:r w:rsidRPr="0013327C">
        <w:rPr>
          <w:rFonts w:asciiTheme="majorHAnsi" w:hAnsiTheme="majorHAnsi"/>
        </w:rPr>
        <w:t>.</w:t>
      </w:r>
      <w:proofErr w:type="gramEnd"/>
      <w:r w:rsidRPr="0013327C">
        <w:rPr>
          <w:rFonts w:asciiTheme="majorHAnsi" w:hAnsiTheme="majorHAnsi"/>
          <w:b/>
        </w:rPr>
        <w:t xml:space="preserve"> </w:t>
      </w:r>
      <w:proofErr w:type="gramStart"/>
      <w:r w:rsidRPr="0013327C">
        <w:rPr>
          <w:rFonts w:asciiTheme="majorHAnsi" w:hAnsiTheme="majorHAnsi"/>
        </w:rPr>
        <w:t>A photograph of an agarose gel electrophoresis.</w:t>
      </w:r>
      <w:proofErr w:type="gramEnd"/>
      <w:r w:rsidRPr="0013327C">
        <w:rPr>
          <w:rFonts w:asciiTheme="majorHAnsi" w:hAnsiTheme="majorHAnsi"/>
        </w:rPr>
        <w:t xml:space="preserve"> A-D are 1µl samples from a 50µl PCR reaction mixture showing amplicons designed for the transcription of long dsRNA, </w:t>
      </w:r>
      <w:r w:rsidRPr="0013327C">
        <w:rPr>
          <w:rFonts w:asciiTheme="majorHAnsi" w:hAnsiTheme="majorHAnsi"/>
          <w:b/>
        </w:rPr>
        <w:t>A</w:t>
      </w:r>
      <w:r w:rsidRPr="0013327C">
        <w:rPr>
          <w:rFonts w:asciiTheme="majorHAnsi" w:hAnsiTheme="majorHAnsi"/>
        </w:rPr>
        <w:t xml:space="preserve"> </w:t>
      </w:r>
      <w:r w:rsidR="000C26B2" w:rsidRPr="000C26B2">
        <w:rPr>
          <w:rFonts w:asciiTheme="majorHAnsi" w:hAnsiTheme="majorHAnsi"/>
          <w:i/>
        </w:rPr>
        <w:t>PEX</w:t>
      </w:r>
      <w:r w:rsidRPr="0013327C">
        <w:rPr>
          <w:rFonts w:asciiTheme="majorHAnsi" w:hAnsiTheme="majorHAnsi"/>
        </w:rPr>
        <w:t>3</w:t>
      </w:r>
      <w:r w:rsidR="00D6305D">
        <w:rPr>
          <w:rFonts w:asciiTheme="majorHAnsi" w:hAnsiTheme="majorHAnsi"/>
        </w:rPr>
        <w:t xml:space="preserve"> (448bp)</w:t>
      </w:r>
      <w:r w:rsidRPr="0013327C">
        <w:rPr>
          <w:rFonts w:asciiTheme="majorHAnsi" w:hAnsiTheme="majorHAnsi"/>
        </w:rPr>
        <w:t xml:space="preserve">, </w:t>
      </w:r>
      <w:r w:rsidRPr="0013327C">
        <w:rPr>
          <w:rFonts w:asciiTheme="majorHAnsi" w:hAnsiTheme="majorHAnsi"/>
          <w:b/>
        </w:rPr>
        <w:t>B</w:t>
      </w:r>
      <w:r w:rsidRPr="0013327C">
        <w:rPr>
          <w:rFonts w:asciiTheme="majorHAnsi" w:hAnsiTheme="majorHAnsi"/>
        </w:rPr>
        <w:t xml:space="preserve"> </w:t>
      </w:r>
      <w:r w:rsidR="000C26B2" w:rsidRPr="000C26B2">
        <w:rPr>
          <w:rFonts w:asciiTheme="majorHAnsi" w:hAnsiTheme="majorHAnsi"/>
          <w:i/>
        </w:rPr>
        <w:t>PEX</w:t>
      </w:r>
      <w:r w:rsidRPr="0013327C">
        <w:rPr>
          <w:rFonts w:asciiTheme="majorHAnsi" w:hAnsiTheme="majorHAnsi"/>
        </w:rPr>
        <w:t>5</w:t>
      </w:r>
      <w:r w:rsidR="00D6305D">
        <w:rPr>
          <w:rFonts w:asciiTheme="majorHAnsi" w:hAnsiTheme="majorHAnsi"/>
        </w:rPr>
        <w:t xml:space="preserve"> (642bp)</w:t>
      </w:r>
      <w:r w:rsidRPr="0013327C">
        <w:rPr>
          <w:rFonts w:asciiTheme="majorHAnsi" w:hAnsiTheme="majorHAnsi"/>
        </w:rPr>
        <w:t xml:space="preserve">, </w:t>
      </w:r>
      <w:r w:rsidRPr="0013327C">
        <w:rPr>
          <w:rFonts w:asciiTheme="majorHAnsi" w:hAnsiTheme="majorHAnsi"/>
          <w:b/>
        </w:rPr>
        <w:t xml:space="preserve">C </w:t>
      </w:r>
      <w:r w:rsidR="000C26B2" w:rsidRPr="000C26B2">
        <w:rPr>
          <w:rFonts w:asciiTheme="majorHAnsi" w:hAnsiTheme="majorHAnsi"/>
          <w:i/>
        </w:rPr>
        <w:t>PEX</w:t>
      </w:r>
      <w:r w:rsidRPr="0013327C">
        <w:rPr>
          <w:rFonts w:asciiTheme="majorHAnsi" w:hAnsiTheme="majorHAnsi"/>
        </w:rPr>
        <w:t xml:space="preserve">16 </w:t>
      </w:r>
      <w:r w:rsidR="00D6305D">
        <w:rPr>
          <w:rFonts w:asciiTheme="majorHAnsi" w:hAnsiTheme="majorHAnsi"/>
        </w:rPr>
        <w:t xml:space="preserve">(562bp) </w:t>
      </w:r>
      <w:r w:rsidRPr="0013327C">
        <w:rPr>
          <w:rFonts w:asciiTheme="majorHAnsi" w:hAnsiTheme="majorHAnsi"/>
        </w:rPr>
        <w:t xml:space="preserve">and </w:t>
      </w:r>
      <w:r w:rsidRPr="0013327C">
        <w:rPr>
          <w:rFonts w:asciiTheme="majorHAnsi" w:hAnsiTheme="majorHAnsi"/>
          <w:b/>
        </w:rPr>
        <w:t xml:space="preserve">D </w:t>
      </w:r>
      <w:r w:rsidR="000C26B2" w:rsidRPr="000C26B2">
        <w:rPr>
          <w:rFonts w:asciiTheme="majorHAnsi" w:hAnsiTheme="majorHAnsi"/>
          <w:i/>
        </w:rPr>
        <w:t>PEX</w:t>
      </w:r>
      <w:r w:rsidRPr="0013327C">
        <w:rPr>
          <w:rFonts w:asciiTheme="majorHAnsi" w:hAnsiTheme="majorHAnsi"/>
        </w:rPr>
        <w:t>19</w:t>
      </w:r>
      <w:r w:rsidR="00D6305D">
        <w:rPr>
          <w:rFonts w:asciiTheme="majorHAnsi" w:hAnsiTheme="majorHAnsi"/>
        </w:rPr>
        <w:t xml:space="preserve"> (925bp)</w:t>
      </w:r>
      <w:r w:rsidRPr="0013327C">
        <w:rPr>
          <w:rFonts w:asciiTheme="majorHAnsi" w:hAnsiTheme="majorHAnsi"/>
        </w:rPr>
        <w:t xml:space="preserve">. 1-4 are 1µl samples from the 100µl dilutions of the long dsRNAs produced from the </w:t>
      </w:r>
      <w:r w:rsidRPr="0013327C">
        <w:rPr>
          <w:rFonts w:asciiTheme="majorHAnsi" w:hAnsiTheme="majorHAnsi"/>
          <w:i/>
        </w:rPr>
        <w:t>in vitro</w:t>
      </w:r>
      <w:r w:rsidRPr="0013327C">
        <w:rPr>
          <w:rFonts w:asciiTheme="majorHAnsi" w:hAnsiTheme="majorHAnsi"/>
        </w:rPr>
        <w:t xml:space="preserve"> transcription reactions (after DNA digestion) made with those corresponding DNA amplicons.</w:t>
      </w:r>
    </w:p>
    <w:p w:rsidR="00597427" w:rsidRPr="0013327C" w:rsidRDefault="00597427" w:rsidP="00AE0264">
      <w:pPr>
        <w:pStyle w:val="Heading2"/>
        <w:jc w:val="both"/>
      </w:pPr>
      <w:bookmarkStart w:id="91" w:name="_Toc348423343"/>
      <w:r w:rsidRPr="0013327C">
        <w:lastRenderedPageBreak/>
        <w:t>Determination of assay duration</w:t>
      </w:r>
      <w:bookmarkEnd w:id="91"/>
    </w:p>
    <w:p w:rsidR="00597427" w:rsidRPr="0013327C" w:rsidRDefault="00597427" w:rsidP="00AE0264">
      <w:pPr>
        <w:jc w:val="both"/>
        <w:rPr>
          <w:rFonts w:asciiTheme="majorHAnsi" w:hAnsiTheme="majorHAnsi"/>
          <w:color w:val="FF0000"/>
        </w:rPr>
      </w:pPr>
      <w:r w:rsidRPr="0013327C">
        <w:rPr>
          <w:rFonts w:asciiTheme="majorHAnsi" w:hAnsiTheme="majorHAnsi"/>
        </w:rPr>
        <w:t>Experiments were started-off in 96-well plates. 0.5µg of dsRNA was added per well in 10µl of nuclease-free water and immediately added to it were 40µl of serum-free medium (SFM) containing 2x10</w:t>
      </w:r>
      <w:r w:rsidRPr="0013327C">
        <w:rPr>
          <w:rFonts w:asciiTheme="majorHAnsi" w:hAnsiTheme="majorHAnsi"/>
          <w:vertAlign w:val="superscript"/>
        </w:rPr>
        <w:t>4</w:t>
      </w:r>
      <w:r w:rsidRPr="0013327C">
        <w:rPr>
          <w:rFonts w:asciiTheme="majorHAnsi" w:hAnsiTheme="majorHAnsi"/>
        </w:rPr>
        <w:t xml:space="preserve"> S2R+ cells. After an hour, 50µl of 20% serum-containing medium was added to this for a final serum concentration of 10%. 24hrs later the cells were resuspended and transferred to sterile coverslips in 6-well plates. After 3 and 5 days cells were induced with 100µM CuSO</w:t>
      </w:r>
      <w:r w:rsidRPr="0013327C">
        <w:rPr>
          <w:rFonts w:asciiTheme="majorHAnsi" w:hAnsiTheme="majorHAnsi"/>
          <w:vertAlign w:val="subscript"/>
        </w:rPr>
        <w:t>4</w:t>
      </w:r>
      <w:r w:rsidRPr="0013327C">
        <w:rPr>
          <w:rFonts w:asciiTheme="majorHAnsi" w:hAnsiTheme="majorHAnsi"/>
        </w:rPr>
        <w:t>. After a 24hr induction cells were fixed as described in the Methods section</w:t>
      </w:r>
      <w:r w:rsidR="00C3380A" w:rsidRPr="0013327C">
        <w:rPr>
          <w:rFonts w:asciiTheme="majorHAnsi" w:hAnsiTheme="majorHAnsi"/>
        </w:rPr>
        <w:t xml:space="preserve"> 2.7.9.</w:t>
      </w:r>
    </w:p>
    <w:p w:rsidR="00597427" w:rsidRPr="0013327C" w:rsidRDefault="00597427" w:rsidP="00AE0264">
      <w:pPr>
        <w:jc w:val="both"/>
        <w:rPr>
          <w:rFonts w:asciiTheme="majorHAnsi" w:hAnsiTheme="majorHAnsi"/>
        </w:rPr>
      </w:pPr>
      <w:r w:rsidRPr="0013327C">
        <w:rPr>
          <w:rFonts w:asciiTheme="majorHAnsi" w:hAnsiTheme="majorHAnsi"/>
        </w:rPr>
        <w:t xml:space="preserve">Phenotypes of 4-day KDs and 6-day KDs were compared. The knockdowns performed on S2R+ cells were probes against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16 and </w:t>
      </w:r>
      <w:proofErr w:type="gramStart"/>
      <w:r w:rsidR="000C26B2" w:rsidRPr="000C26B2">
        <w:rPr>
          <w:rFonts w:asciiTheme="majorHAnsi" w:hAnsiTheme="majorHAnsi"/>
          <w:i/>
        </w:rPr>
        <w:t>PEX</w:t>
      </w:r>
      <w:r w:rsidRPr="0013327C">
        <w:rPr>
          <w:rFonts w:asciiTheme="majorHAnsi" w:hAnsiTheme="majorHAnsi"/>
        </w:rPr>
        <w:t>19,</w:t>
      </w:r>
      <w:proofErr w:type="gramEnd"/>
      <w:r w:rsidRPr="0013327C">
        <w:rPr>
          <w:rFonts w:asciiTheme="majorHAnsi" w:hAnsiTheme="majorHAnsi"/>
        </w:rPr>
        <w:t xml:space="preserve"> </w:t>
      </w:r>
      <w:r w:rsidR="000C26B2" w:rsidRPr="000C26B2">
        <w:rPr>
          <w:rFonts w:asciiTheme="majorHAnsi" w:hAnsiTheme="majorHAnsi"/>
          <w:i/>
        </w:rPr>
        <w:t>PEX</w:t>
      </w:r>
      <w:r w:rsidRPr="0013327C">
        <w:rPr>
          <w:rFonts w:asciiTheme="majorHAnsi" w:hAnsiTheme="majorHAnsi"/>
        </w:rPr>
        <w:t xml:space="preserve">5 was used as a control (not shown). In the first experiment after 3 days of incubation the cells were induced for 24hrs, a 4-day KD in total. After this period only a very weakly observable effect could be observed. Cytosolic presence of GFP was very weak in all cases, and was comparable to that of a much higher than normal expression level of a WT cell, with the exception of </w:t>
      </w:r>
      <w:r w:rsidR="000C26B2" w:rsidRPr="000C26B2">
        <w:rPr>
          <w:rFonts w:asciiTheme="majorHAnsi" w:hAnsiTheme="majorHAnsi"/>
          <w:i/>
        </w:rPr>
        <w:t>PEX</w:t>
      </w:r>
      <w:r w:rsidRPr="0013327C">
        <w:rPr>
          <w:rFonts w:asciiTheme="majorHAnsi" w:hAnsiTheme="majorHAnsi"/>
        </w:rPr>
        <w:t xml:space="preserve">19 which showed none. </w:t>
      </w:r>
      <w:r w:rsidR="000C26B2" w:rsidRPr="000C26B2">
        <w:rPr>
          <w:rFonts w:asciiTheme="majorHAnsi" w:hAnsiTheme="majorHAnsi"/>
          <w:i/>
        </w:rPr>
        <w:t>PEX</w:t>
      </w:r>
      <w:r w:rsidRPr="0013327C">
        <w:rPr>
          <w:rFonts w:asciiTheme="majorHAnsi" w:hAnsiTheme="majorHAnsi"/>
        </w:rPr>
        <w:t xml:space="preserve">19 showed no noticeable reduction in peroxisomes while </w:t>
      </w:r>
      <w:r w:rsidR="000C26B2" w:rsidRPr="000C26B2">
        <w:rPr>
          <w:rFonts w:asciiTheme="majorHAnsi" w:hAnsiTheme="majorHAnsi"/>
          <w:i/>
        </w:rPr>
        <w:t>PEX</w:t>
      </w:r>
      <w:r w:rsidRPr="0013327C">
        <w:rPr>
          <w:rFonts w:asciiTheme="majorHAnsi" w:hAnsiTheme="majorHAnsi"/>
        </w:rPr>
        <w:t xml:space="preserve">3 and </w:t>
      </w:r>
      <w:r w:rsidR="000C26B2" w:rsidRPr="000C26B2">
        <w:rPr>
          <w:rFonts w:asciiTheme="majorHAnsi" w:hAnsiTheme="majorHAnsi"/>
          <w:i/>
        </w:rPr>
        <w:t>PEX</w:t>
      </w:r>
      <w:r w:rsidRPr="0013327C">
        <w:rPr>
          <w:rFonts w:asciiTheme="majorHAnsi" w:hAnsiTheme="majorHAnsi"/>
        </w:rPr>
        <w:t>16 showed peroxisome number to have apparently decreased slightly and to have increased in size and brightness (images not shown). These findings could not at this stage be numerically determined but would be confirmed in later tests with computer-aided analysis software.</w:t>
      </w:r>
    </w:p>
    <w:p w:rsidR="00597427" w:rsidRPr="0013327C" w:rsidRDefault="00597427" w:rsidP="00AE0264">
      <w:pPr>
        <w:jc w:val="both"/>
        <w:rPr>
          <w:rFonts w:asciiTheme="majorHAnsi" w:hAnsiTheme="majorHAnsi"/>
        </w:rPr>
      </w:pPr>
      <w:r w:rsidRPr="0013327C">
        <w:rPr>
          <w:rFonts w:asciiTheme="majorHAnsi" w:hAnsiTheme="majorHAnsi"/>
        </w:rPr>
        <w:t xml:space="preserve">However after a 6-day KD, </w:t>
      </w:r>
      <w:r w:rsidR="000C26B2" w:rsidRPr="000C26B2">
        <w:rPr>
          <w:rFonts w:asciiTheme="majorHAnsi" w:hAnsiTheme="majorHAnsi"/>
          <w:i/>
        </w:rPr>
        <w:t>PEX</w:t>
      </w:r>
      <w:r w:rsidRPr="0013327C">
        <w:rPr>
          <w:rFonts w:asciiTheme="majorHAnsi" w:hAnsiTheme="majorHAnsi"/>
        </w:rPr>
        <w:t xml:space="preserve">3 KD showed a strong reduction in peroxisome number, approximately 1-5 per cell, and an increase in cytosolic GFP. </w:t>
      </w:r>
      <w:r w:rsidR="00E61543">
        <w:rPr>
          <w:rFonts w:asciiTheme="majorHAnsi" w:hAnsiTheme="majorHAnsi"/>
        </w:rPr>
        <w:t>Peroxisomes also appeared larger than in WT cells</w:t>
      </w:r>
      <w:r w:rsidR="00B97D72">
        <w:rPr>
          <w:rFonts w:asciiTheme="majorHAnsi" w:hAnsiTheme="majorHAnsi"/>
        </w:rPr>
        <w:t xml:space="preserve">. </w:t>
      </w:r>
      <w:r w:rsidRPr="0013327C">
        <w:rPr>
          <w:rFonts w:asciiTheme="majorHAnsi" w:hAnsiTheme="majorHAnsi"/>
        </w:rPr>
        <w:t xml:space="preserve">In the </w:t>
      </w:r>
      <w:r w:rsidR="000C26B2" w:rsidRPr="000C26B2">
        <w:rPr>
          <w:rFonts w:asciiTheme="majorHAnsi" w:hAnsiTheme="majorHAnsi"/>
          <w:i/>
        </w:rPr>
        <w:t>PEX</w:t>
      </w:r>
      <w:r w:rsidRPr="0013327C">
        <w:rPr>
          <w:rFonts w:asciiTheme="majorHAnsi" w:hAnsiTheme="majorHAnsi"/>
        </w:rPr>
        <w:t xml:space="preserve">16 KD no punctate pattern could be observed indicating either that the peroxisomal GFP is fainter than that of the cytosol </w:t>
      </w:r>
      <w:r w:rsidR="00B97D72">
        <w:rPr>
          <w:rFonts w:asciiTheme="majorHAnsi" w:hAnsiTheme="majorHAnsi"/>
        </w:rPr>
        <w:t xml:space="preserve">to the point of no visible contrast </w:t>
      </w:r>
      <w:r w:rsidRPr="0013327C">
        <w:rPr>
          <w:rFonts w:asciiTheme="majorHAnsi" w:hAnsiTheme="majorHAnsi"/>
        </w:rPr>
        <w:t xml:space="preserve">or that there are no peroxisomes present to concentrate the GFP expression. The latter is more likely as </w:t>
      </w:r>
      <w:r w:rsidR="000C26B2" w:rsidRPr="000C26B2">
        <w:rPr>
          <w:rFonts w:asciiTheme="majorHAnsi" w:hAnsiTheme="majorHAnsi"/>
          <w:i/>
        </w:rPr>
        <w:t>PEX</w:t>
      </w:r>
      <w:r w:rsidRPr="0013327C">
        <w:rPr>
          <w:rFonts w:asciiTheme="majorHAnsi" w:hAnsiTheme="majorHAnsi"/>
        </w:rPr>
        <w:t xml:space="preserve">16 loss-of-function in human patients is characterised by a lack of peroxisomal structures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"10.1016/j.braindev.2011.03.004", "abstract" : "Peroxisomal diseases are categorized into three large groups - peroxisome biogenesis disorders (PBD), single enzyme deficiencies (SED) and contiguous gene syndrome. Thirteen complementation groups and PEX genes responsible for all subgroups of PBD, plus 10 diseases and their responsible genes in SED have been identified. We have established a diagnostic system for peroxisomal diseases in Japan, and identified 45 Japanese patients with PBD, 12 patients with beta-oxidation enzyme deficiencies and more than 100 patients with adrenoleukodystrophy (ALD). It is important for effective therapy of the cerebral form of ALD to diagnose earlier after onset, and pre-symptomatic diagnosis should also be valuable. The division of diagnostic system into several specified centers of peroxisomal diseases in the whole world should be functional for overcoming these rare inherited neurometabolic diseases.", "author" : [ { "dropping-particle" : "", "family" : "Shimozawa", "given" : "Nobuyuki", "non-dropping-particle" : "", "parse-names" : false, "suffix" : "" } ], "container-title" : "Brain &amp; development", "id" : "ITEM-1", "issue" : "9", "issued" : { "date-parts" : [ [ "2011", "10" ] ] }, "page" : "770-6", "publisher" : "The Japanese Society of Child Neurology", "title" : "Molecular and clinical findings and diagnostic flowchart of peroxisomal diseases.", "type" : "article-journal", "volume" : "33" }, "uris" : [ "http://www.mendeley.com/documents/?uuid=6cdc5d7d-0201-4aa1-bda4-1ca18739718e" ] } ], "mendeley" : { "manualFormatting" : "(Shimozawa, 2011)", "previouslyFormattedCitation" : "(Shimozawa 2011)"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(Shimozawa, 2011)</w:t>
      </w:r>
      <w:r w:rsidR="009A1FEC" w:rsidRPr="0013327C">
        <w:rPr>
          <w:rFonts w:asciiTheme="majorHAnsi" w:hAnsiTheme="majorHAnsi"/>
        </w:rPr>
        <w:fldChar w:fldCharType="end"/>
      </w:r>
      <w:r w:rsidRPr="0013327C">
        <w:rPr>
          <w:rFonts w:asciiTheme="majorHAnsi" w:hAnsiTheme="majorHAnsi"/>
        </w:rPr>
        <w:t xml:space="preserve">. The </w:t>
      </w:r>
      <w:r w:rsidR="000C26B2" w:rsidRPr="000C26B2">
        <w:rPr>
          <w:rFonts w:asciiTheme="majorHAnsi" w:hAnsiTheme="majorHAnsi"/>
          <w:i/>
        </w:rPr>
        <w:t>PEX</w:t>
      </w:r>
      <w:r w:rsidRPr="0013327C">
        <w:rPr>
          <w:rFonts w:asciiTheme="majorHAnsi" w:hAnsiTheme="majorHAnsi"/>
        </w:rPr>
        <w:t xml:space="preserve">19 KD was the weakest of those tested, peroxisome number had lowered slightly and there was a small increase in cytosolic staining. This could be a result of the lower concentration of </w:t>
      </w:r>
      <w:r w:rsidR="00A02F07">
        <w:rPr>
          <w:rFonts w:asciiTheme="majorHAnsi" w:hAnsiTheme="majorHAnsi"/>
        </w:rPr>
        <w:t>the probe visible in Figure 3.10</w:t>
      </w:r>
      <w:r w:rsidRPr="0013327C">
        <w:rPr>
          <w:rFonts w:asciiTheme="majorHAnsi" w:hAnsiTheme="majorHAnsi"/>
        </w:rPr>
        <w:t xml:space="preserve">. It is unlikely that the probe design itself is inefficient as all long dsRNAs produced for this research by E-RNAi had efficiency scores of 45-55% (of the total number of different siRNAs produced and analysed </w:t>
      </w:r>
      <w:r w:rsidRPr="0013327C">
        <w:rPr>
          <w:rFonts w:asciiTheme="majorHAnsi" w:hAnsiTheme="majorHAnsi"/>
          <w:i/>
        </w:rPr>
        <w:t>in silico</w:t>
      </w:r>
      <w:r w:rsidRPr="0013327C">
        <w:rPr>
          <w:rFonts w:asciiTheme="majorHAnsi" w:hAnsiTheme="majorHAnsi"/>
        </w:rPr>
        <w:t>). As discussed previously observation of phenotypes is dependent on several specific variables (see Chapter 3.5).</w:t>
      </w:r>
    </w:p>
    <w:p w:rsidR="00597427" w:rsidRPr="0013327C" w:rsidRDefault="00597427" w:rsidP="00AE0264">
      <w:pPr>
        <w:jc w:val="both"/>
        <w:rPr>
          <w:rFonts w:asciiTheme="majorHAnsi" w:hAnsiTheme="majorHAnsi"/>
        </w:rPr>
      </w:pPr>
      <w:r w:rsidRPr="0013327C">
        <w:rPr>
          <w:rFonts w:asciiTheme="majorHAnsi" w:hAnsiTheme="majorHAnsi"/>
        </w:rPr>
        <w:lastRenderedPageBreak/>
        <w:t xml:space="preserve">In all cases there was variability in the degree of each knockdown with some cells appearing like wild type suggesting that there was no KD in a small proportion of cells. Approximately 95% of transfected cells show a knockdown phenotype for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16</w:t>
      </w:r>
      <w:r w:rsidR="00A34BF8">
        <w:rPr>
          <w:rFonts w:asciiTheme="majorHAnsi" w:hAnsiTheme="majorHAnsi"/>
        </w:rPr>
        <w:t xml:space="preserve"> in approximately 200 cells examined</w:t>
      </w:r>
      <w:r w:rsidRPr="0013327C">
        <w:rPr>
          <w:rFonts w:asciiTheme="majorHAnsi" w:hAnsiTheme="majorHAnsi"/>
        </w:rPr>
        <w:t>.</w:t>
      </w:r>
    </w:p>
    <w:p w:rsidR="00597427" w:rsidRPr="0013327C" w:rsidRDefault="006F54BD" w:rsidP="00AE0264">
      <w:pPr>
        <w:jc w:val="both"/>
        <w:rPr>
          <w:rFonts w:asciiTheme="majorHAnsi" w:hAnsiTheme="majorHAnsi"/>
          <w:b/>
        </w:rPr>
      </w:pPr>
      <w:r>
        <w:rPr>
          <w:rFonts w:asciiTheme="majorHAnsi" w:hAnsiTheme="majorHAnsi"/>
          <w:b/>
          <w:noProof/>
          <w:lang w:eastAsia="en-GB"/>
        </w:rPr>
        <w:drawing>
          <wp:inline distT="0" distB="0" distL="0" distR="0">
            <wp:extent cx="5529989" cy="4959458"/>
            <wp:effectExtent l="19050" t="0" r="0" b="0"/>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5533979" cy="4963037"/>
                    </a:xfrm>
                    <a:prstGeom prst="rect">
                      <a:avLst/>
                    </a:prstGeom>
                    <a:noFill/>
                  </pic:spPr>
                </pic:pic>
              </a:graphicData>
            </a:graphic>
          </wp:inline>
        </w:drawing>
      </w:r>
      <w:proofErr w:type="gramStart"/>
      <w:r w:rsidR="00597427" w:rsidRPr="0013327C">
        <w:rPr>
          <w:rFonts w:asciiTheme="majorHAnsi" w:hAnsiTheme="majorHAnsi"/>
          <w:b/>
        </w:rPr>
        <w:t>Figure 3</w:t>
      </w:r>
      <w:r w:rsidR="00D01B46" w:rsidRPr="0013327C">
        <w:rPr>
          <w:rFonts w:asciiTheme="majorHAnsi" w:hAnsiTheme="majorHAnsi"/>
          <w:b/>
        </w:rPr>
        <w:t>.</w:t>
      </w:r>
      <w:r w:rsidR="006149E0">
        <w:rPr>
          <w:rFonts w:asciiTheme="majorHAnsi" w:hAnsiTheme="majorHAnsi"/>
          <w:b/>
        </w:rPr>
        <w:t>9</w:t>
      </w:r>
      <w:r w:rsidR="00D01B46" w:rsidRPr="0013327C">
        <w:rPr>
          <w:rFonts w:asciiTheme="majorHAnsi" w:hAnsiTheme="majorHAnsi"/>
          <w:b/>
        </w:rPr>
        <w:t>.</w:t>
      </w:r>
      <w:proofErr w:type="gramEnd"/>
      <w:r w:rsidR="00D01B46" w:rsidRPr="0013327C">
        <w:rPr>
          <w:rFonts w:asciiTheme="majorHAnsi" w:hAnsiTheme="majorHAnsi"/>
          <w:b/>
        </w:rPr>
        <w:t xml:space="preserve"> </w:t>
      </w:r>
      <w:proofErr w:type="gramStart"/>
      <w:r w:rsidR="00D01B46" w:rsidRPr="00B34F43">
        <w:rPr>
          <w:rFonts w:asciiTheme="majorHAnsi" w:hAnsiTheme="majorHAnsi"/>
          <w:b/>
        </w:rPr>
        <w:t xml:space="preserve">6-day KDs of </w:t>
      </w:r>
      <w:r w:rsidR="000C26B2" w:rsidRPr="00B34F43">
        <w:rPr>
          <w:rFonts w:asciiTheme="majorHAnsi" w:hAnsiTheme="majorHAnsi"/>
          <w:b/>
          <w:i/>
        </w:rPr>
        <w:t>PEX</w:t>
      </w:r>
      <w:r w:rsidR="00D01B46" w:rsidRPr="00B34F43">
        <w:rPr>
          <w:rFonts w:asciiTheme="majorHAnsi" w:hAnsiTheme="majorHAnsi"/>
          <w:b/>
        </w:rPr>
        <w:t xml:space="preserve">3, </w:t>
      </w:r>
      <w:r w:rsidR="000C26B2" w:rsidRPr="00B34F43">
        <w:rPr>
          <w:rFonts w:asciiTheme="majorHAnsi" w:hAnsiTheme="majorHAnsi"/>
          <w:b/>
          <w:i/>
        </w:rPr>
        <w:t>PEX</w:t>
      </w:r>
      <w:r w:rsidR="00D01B46" w:rsidRPr="00B34F43">
        <w:rPr>
          <w:rFonts w:asciiTheme="majorHAnsi" w:hAnsiTheme="majorHAnsi"/>
          <w:b/>
        </w:rPr>
        <w:t xml:space="preserve">16 and </w:t>
      </w:r>
      <w:r w:rsidR="000C26B2" w:rsidRPr="00B34F43">
        <w:rPr>
          <w:rFonts w:asciiTheme="majorHAnsi" w:hAnsiTheme="majorHAnsi"/>
          <w:b/>
          <w:i/>
        </w:rPr>
        <w:t>PEX</w:t>
      </w:r>
      <w:r w:rsidR="00D01B46" w:rsidRPr="00B34F43">
        <w:rPr>
          <w:rFonts w:asciiTheme="majorHAnsi" w:hAnsiTheme="majorHAnsi"/>
          <w:b/>
        </w:rPr>
        <w:t>19 in S2R+ cells.</w:t>
      </w:r>
      <w:proofErr w:type="gramEnd"/>
      <w:r w:rsidR="00597427" w:rsidRPr="0013327C">
        <w:rPr>
          <w:rFonts w:asciiTheme="majorHAnsi" w:hAnsiTheme="majorHAnsi"/>
          <w:b/>
        </w:rPr>
        <w:t xml:space="preserve"> </w:t>
      </w:r>
      <w:r w:rsidR="00597427" w:rsidRPr="0013327C">
        <w:rPr>
          <w:rFonts w:asciiTheme="majorHAnsi" w:hAnsiTheme="majorHAnsi"/>
        </w:rPr>
        <w:t>S2R+ cells transiently transfected with pMt-eGFP-PTS1 grown for 5 days before a 24hr induction with 100µM CuSO</w:t>
      </w:r>
      <w:r w:rsidR="00597427" w:rsidRPr="0013327C">
        <w:rPr>
          <w:rFonts w:asciiTheme="majorHAnsi" w:hAnsiTheme="majorHAnsi"/>
          <w:vertAlign w:val="subscript"/>
        </w:rPr>
        <w:t>4</w:t>
      </w:r>
      <w:r w:rsidR="00597427" w:rsidRPr="0013327C">
        <w:rPr>
          <w:rFonts w:asciiTheme="majorHAnsi" w:hAnsiTheme="majorHAnsi"/>
        </w:rPr>
        <w:t xml:space="preserve">. Effective knockdowns can be observed for the </w:t>
      </w:r>
      <w:r w:rsidR="000C26B2" w:rsidRPr="000C26B2">
        <w:rPr>
          <w:rFonts w:asciiTheme="majorHAnsi" w:hAnsiTheme="majorHAnsi"/>
          <w:i/>
        </w:rPr>
        <w:t>PEX</w:t>
      </w:r>
      <w:r w:rsidR="00597427" w:rsidRPr="0013327C">
        <w:rPr>
          <w:rFonts w:asciiTheme="majorHAnsi" w:hAnsiTheme="majorHAnsi"/>
        </w:rPr>
        <w:t xml:space="preserve">3 and </w:t>
      </w:r>
      <w:r w:rsidR="000C26B2" w:rsidRPr="000C26B2">
        <w:rPr>
          <w:rFonts w:asciiTheme="majorHAnsi" w:hAnsiTheme="majorHAnsi"/>
          <w:i/>
        </w:rPr>
        <w:t>PEX</w:t>
      </w:r>
      <w:r w:rsidR="00597427" w:rsidRPr="0013327C">
        <w:rPr>
          <w:rFonts w:asciiTheme="majorHAnsi" w:hAnsiTheme="majorHAnsi"/>
        </w:rPr>
        <w:t xml:space="preserve">16 genes. </w:t>
      </w:r>
      <w:r w:rsidR="00B34F43" w:rsidRPr="000C26B2">
        <w:rPr>
          <w:rFonts w:asciiTheme="majorHAnsi" w:hAnsiTheme="majorHAnsi"/>
          <w:i/>
        </w:rPr>
        <w:t>PEX</w:t>
      </w:r>
      <w:r w:rsidR="00B34F43" w:rsidRPr="0013327C">
        <w:rPr>
          <w:rFonts w:asciiTheme="majorHAnsi" w:hAnsiTheme="majorHAnsi"/>
        </w:rPr>
        <w:t>19 does not give such an effective KD however it does not present as WT cells</w:t>
      </w:r>
      <w:r w:rsidR="00B34F43">
        <w:rPr>
          <w:rFonts w:asciiTheme="majorHAnsi" w:hAnsiTheme="majorHAnsi"/>
        </w:rPr>
        <w:t xml:space="preserve"> either</w:t>
      </w:r>
      <w:r w:rsidR="00BF0E13">
        <w:rPr>
          <w:rFonts w:asciiTheme="majorHAnsi" w:hAnsiTheme="majorHAnsi"/>
        </w:rPr>
        <w:t xml:space="preserve"> with partial mislocalisation of eGFP-PTS1 to the cytosol. Bar = 20µm.</w:t>
      </w:r>
    </w:p>
    <w:p w:rsidR="00597427" w:rsidRPr="0013327C" w:rsidRDefault="00597427" w:rsidP="00AE0264">
      <w:pPr>
        <w:pStyle w:val="Heading2"/>
        <w:jc w:val="both"/>
      </w:pPr>
      <w:bookmarkStart w:id="92" w:name="_Toc348423344"/>
      <w:r w:rsidRPr="0013327C">
        <w:t>Down-scaling and optimisation of the knockdown assay for 384-well microtitre plates</w:t>
      </w:r>
      <w:bookmarkEnd w:id="92"/>
    </w:p>
    <w:p w:rsidR="00597427" w:rsidRPr="0013327C" w:rsidRDefault="00597427" w:rsidP="00AE0264">
      <w:pPr>
        <w:jc w:val="both"/>
        <w:rPr>
          <w:rFonts w:asciiTheme="majorHAnsi" w:hAnsiTheme="majorHAnsi"/>
        </w:rPr>
      </w:pPr>
      <w:r w:rsidRPr="0013327C">
        <w:rPr>
          <w:rFonts w:asciiTheme="majorHAnsi" w:hAnsiTheme="majorHAnsi"/>
        </w:rPr>
        <w:t xml:space="preserve">The genome-wide screen is conducted in 53 384-well microtitre plates. Each well is pre-seeded with 250ng of long dsRNA specifically targeted to a gene transcript, dissolved in nuclease-free distilled water. As part of the assay development the SRSF </w:t>
      </w:r>
      <w:r w:rsidRPr="0013327C">
        <w:rPr>
          <w:rFonts w:asciiTheme="majorHAnsi" w:hAnsiTheme="majorHAnsi"/>
        </w:rPr>
        <w:lastRenderedPageBreak/>
        <w:t xml:space="preserve">designed an “Assay Plate”, a single copy of a 384-well plate that contains long dsRNAs for developing the assay. The dsRNAs are arranged in 60 quadrants, 3 wells each of which contain a long dsRNA that targets a different </w:t>
      </w:r>
      <w:r w:rsidRPr="0013327C">
        <w:rPr>
          <w:rFonts w:asciiTheme="majorHAnsi" w:hAnsiTheme="majorHAnsi"/>
          <w:i/>
        </w:rPr>
        <w:t>D. melanogaster</w:t>
      </w:r>
      <w:r w:rsidRPr="0013327C">
        <w:rPr>
          <w:rFonts w:asciiTheme="majorHAnsi" w:hAnsiTheme="majorHAnsi"/>
        </w:rPr>
        <w:t xml:space="preserve"> kinase per quadrant. Fourth is one that targets a </w:t>
      </w:r>
      <w:r w:rsidRPr="0013327C">
        <w:rPr>
          <w:rFonts w:asciiTheme="majorHAnsi" w:hAnsiTheme="majorHAnsi"/>
          <w:i/>
        </w:rPr>
        <w:t>C. elegans</w:t>
      </w:r>
      <w:r w:rsidRPr="0013327C">
        <w:rPr>
          <w:rFonts w:asciiTheme="majorHAnsi" w:hAnsiTheme="majorHAnsi"/>
        </w:rPr>
        <w:t xml:space="preserve"> gene. All of which are intended to be negative controls thus enabling the user to generate a large amount of WT data and analyse it for mean and variance of data. A series of these assay plates would be used to optimise the assay before genomic screening could commence.</w:t>
      </w:r>
      <w:r w:rsidR="00B36D6B">
        <w:rPr>
          <w:rFonts w:asciiTheme="majorHAnsi" w:hAnsiTheme="majorHAnsi"/>
        </w:rPr>
        <w:t xml:space="preserve"> Each plate also contains 16 wells for 8 duplicates of controls arranged in anti-parallel</w:t>
      </w:r>
      <w:r w:rsidR="00DC7AEC">
        <w:rPr>
          <w:rFonts w:asciiTheme="majorHAnsi" w:hAnsiTheme="majorHAnsi"/>
        </w:rPr>
        <w:t xml:space="preserve">. This </w:t>
      </w:r>
      <w:r w:rsidR="00A778DF">
        <w:rPr>
          <w:rFonts w:asciiTheme="majorHAnsi" w:hAnsiTheme="majorHAnsi"/>
        </w:rPr>
        <w:t xml:space="preserve">allows for inter-plate comparisons facilitated by normalisation software </w:t>
      </w:r>
      <w:r w:rsidR="00553525">
        <w:rPr>
          <w:rFonts w:asciiTheme="majorHAnsi" w:hAnsiTheme="majorHAnsi"/>
        </w:rPr>
        <w:t>(see Ch. 4.7).</w:t>
      </w:r>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5650173" cy="3388035"/>
            <wp:effectExtent l="0" t="0" r="0" b="0"/>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5648115" cy="3386801"/>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3.</w:t>
      </w:r>
      <w:r w:rsidR="00D01B46" w:rsidRPr="0013327C">
        <w:rPr>
          <w:rFonts w:asciiTheme="majorHAnsi" w:hAnsiTheme="majorHAnsi"/>
          <w:b/>
        </w:rPr>
        <w:t>1</w:t>
      </w:r>
      <w:r w:rsidR="00D64FA4">
        <w:rPr>
          <w:rFonts w:asciiTheme="majorHAnsi" w:hAnsiTheme="majorHAnsi"/>
          <w:b/>
        </w:rPr>
        <w:t>0</w:t>
      </w:r>
      <w:r w:rsidRPr="0013327C">
        <w:rPr>
          <w:rFonts w:asciiTheme="majorHAnsi" w:hAnsiTheme="majorHAnsi"/>
          <w:b/>
        </w:rPr>
        <w:t>.</w:t>
      </w:r>
      <w:proofErr w:type="gramEnd"/>
      <w:r w:rsidRPr="0013327C">
        <w:rPr>
          <w:rFonts w:asciiTheme="majorHAnsi" w:hAnsiTheme="majorHAnsi"/>
          <w:b/>
        </w:rPr>
        <w:t xml:space="preserve"> </w:t>
      </w:r>
      <w:proofErr w:type="gramStart"/>
      <w:r w:rsidRPr="00B34F43">
        <w:rPr>
          <w:rFonts w:asciiTheme="majorHAnsi" w:hAnsiTheme="majorHAnsi"/>
          <w:b/>
        </w:rPr>
        <w:t>A schematic of the layout of the assay plate.</w:t>
      </w:r>
      <w:proofErr w:type="gramEnd"/>
      <w:r w:rsidRPr="0013327C">
        <w:rPr>
          <w:rFonts w:asciiTheme="majorHAnsi" w:hAnsiTheme="majorHAnsi"/>
        </w:rPr>
        <w:t xml:space="preserve"> Sixty kinases (red) arranged in triplicate in quadrants with a </w:t>
      </w:r>
      <w:r w:rsidRPr="0013327C">
        <w:rPr>
          <w:rFonts w:asciiTheme="majorHAnsi" w:hAnsiTheme="majorHAnsi"/>
          <w:i/>
        </w:rPr>
        <w:t xml:space="preserve">C. elegans </w:t>
      </w:r>
      <w:r w:rsidRPr="0013327C">
        <w:rPr>
          <w:rFonts w:asciiTheme="majorHAnsi" w:hAnsiTheme="majorHAnsi"/>
        </w:rPr>
        <w:t xml:space="preserve">negative control (yellow) in the bottom-right position of the quadrant. Those </w:t>
      </w:r>
      <w:r w:rsidRPr="0013327C">
        <w:rPr>
          <w:rFonts w:asciiTheme="majorHAnsi" w:hAnsiTheme="majorHAnsi"/>
          <w:i/>
        </w:rPr>
        <w:t>C. elegans</w:t>
      </w:r>
      <w:r w:rsidRPr="0013327C">
        <w:rPr>
          <w:rFonts w:asciiTheme="majorHAnsi" w:hAnsiTheme="majorHAnsi"/>
        </w:rPr>
        <w:t xml:space="preserve"> probes displaced by controls (green) in columns 9 and 17 are arranged along row N. 4 DIAP (Drosophila Inhibitor of Apoptosis-lethal) controls are included in the top left quadrant.</w:t>
      </w:r>
      <w:r w:rsidR="00EF6601">
        <w:rPr>
          <w:rFonts w:asciiTheme="majorHAnsi" w:hAnsiTheme="majorHAnsi"/>
        </w:rPr>
        <w:t xml:space="preserve"> </w:t>
      </w:r>
      <w:r w:rsidR="00940A94">
        <w:rPr>
          <w:rFonts w:asciiTheme="majorHAnsi" w:hAnsiTheme="majorHAnsi"/>
        </w:rPr>
        <w:t xml:space="preserve">The controls are added in an anti-parallel arrangement. In Screen 1 the controls were (top to bottom in column 9, bottom to top in column 17) </w:t>
      </w:r>
      <w:r w:rsidR="00D93535" w:rsidRPr="00D93535">
        <w:rPr>
          <w:rFonts w:asciiTheme="majorHAnsi" w:hAnsiTheme="majorHAnsi"/>
          <w:i/>
        </w:rPr>
        <w:t>PEX</w:t>
      </w:r>
      <w:r w:rsidR="00940A94">
        <w:rPr>
          <w:rFonts w:asciiTheme="majorHAnsi" w:hAnsiTheme="majorHAnsi"/>
        </w:rPr>
        <w:t xml:space="preserve">3, </w:t>
      </w:r>
      <w:r w:rsidR="00D93535" w:rsidRPr="00D93535">
        <w:rPr>
          <w:rFonts w:asciiTheme="majorHAnsi" w:hAnsiTheme="majorHAnsi"/>
          <w:i/>
        </w:rPr>
        <w:t>PEX</w:t>
      </w:r>
      <w:r w:rsidR="00940A94">
        <w:rPr>
          <w:rFonts w:asciiTheme="majorHAnsi" w:hAnsiTheme="majorHAnsi"/>
        </w:rPr>
        <w:t xml:space="preserve">5, </w:t>
      </w:r>
      <w:r w:rsidR="00D93535" w:rsidRPr="00D93535">
        <w:rPr>
          <w:rFonts w:asciiTheme="majorHAnsi" w:hAnsiTheme="majorHAnsi"/>
          <w:i/>
        </w:rPr>
        <w:t>PEX</w:t>
      </w:r>
      <w:r w:rsidR="00940A94">
        <w:rPr>
          <w:rFonts w:asciiTheme="majorHAnsi" w:hAnsiTheme="majorHAnsi"/>
        </w:rPr>
        <w:t xml:space="preserve">16, </w:t>
      </w:r>
      <w:r w:rsidR="00D93535" w:rsidRPr="00D93535">
        <w:rPr>
          <w:rFonts w:asciiTheme="majorHAnsi" w:hAnsiTheme="majorHAnsi"/>
          <w:i/>
        </w:rPr>
        <w:t>PEX</w:t>
      </w:r>
      <w:r w:rsidR="00940A94">
        <w:rPr>
          <w:rFonts w:asciiTheme="majorHAnsi" w:hAnsiTheme="majorHAnsi"/>
        </w:rPr>
        <w:t xml:space="preserve">19 and Tango11. Leaving 3 control wells </w:t>
      </w:r>
      <w:r w:rsidR="00C96B32">
        <w:rPr>
          <w:rFonts w:asciiTheme="majorHAnsi" w:hAnsiTheme="majorHAnsi"/>
        </w:rPr>
        <w:t>empty of dsRNA.</w:t>
      </w:r>
    </w:p>
    <w:p w:rsidR="00597427" w:rsidRPr="0013327C" w:rsidRDefault="00597427" w:rsidP="00AE0264">
      <w:pPr>
        <w:jc w:val="both"/>
        <w:rPr>
          <w:rFonts w:asciiTheme="majorHAnsi" w:hAnsiTheme="majorHAnsi"/>
        </w:rPr>
      </w:pPr>
      <w:r w:rsidRPr="0013327C">
        <w:rPr>
          <w:rFonts w:asciiTheme="majorHAnsi" w:hAnsiTheme="majorHAnsi"/>
        </w:rPr>
        <w:t xml:space="preserve">The knockdown experiments previously described require scaling down and to do this parameters from previous screens conducted at the Sheffield RNAi Screening Facility (SRSF) were used as guides. All of the previous screens had, however, been </w:t>
      </w:r>
      <w:r w:rsidRPr="0013327C">
        <w:rPr>
          <w:rFonts w:asciiTheme="majorHAnsi" w:hAnsiTheme="majorHAnsi"/>
        </w:rPr>
        <w:lastRenderedPageBreak/>
        <w:t>luminometry-based assays. Cells in a luminometry screen are not treated in the same way as in a microscopy-based screen. A major difference is the requirement for microscopy screens to have a near-confluent monolayer of cells. Microscopy screens needed fixing to halt the progress of KD and marker expression before image capture and nuclear staining was required by all microscopy screens analysed by the software in the SRSF. Three parameters therefore needed optimising at this stage of assay development:</w:t>
      </w:r>
    </w:p>
    <w:p w:rsidR="00597427" w:rsidRPr="0013327C" w:rsidRDefault="00597427" w:rsidP="00AE0264">
      <w:pPr>
        <w:pStyle w:val="ListParagraph"/>
        <w:numPr>
          <w:ilvl w:val="0"/>
          <w:numId w:val="7"/>
        </w:numPr>
        <w:jc w:val="both"/>
        <w:rPr>
          <w:rFonts w:asciiTheme="majorHAnsi" w:hAnsiTheme="majorHAnsi"/>
        </w:rPr>
      </w:pPr>
      <w:r w:rsidRPr="0013327C">
        <w:rPr>
          <w:rFonts w:asciiTheme="majorHAnsi" w:hAnsiTheme="majorHAnsi"/>
        </w:rPr>
        <w:t>The density of cells seeded in each well</w:t>
      </w:r>
    </w:p>
    <w:p w:rsidR="00597427" w:rsidRPr="0013327C" w:rsidRDefault="00597427" w:rsidP="00AE0264">
      <w:pPr>
        <w:pStyle w:val="ListParagraph"/>
        <w:numPr>
          <w:ilvl w:val="0"/>
          <w:numId w:val="7"/>
        </w:numPr>
        <w:jc w:val="both"/>
        <w:rPr>
          <w:rFonts w:asciiTheme="majorHAnsi" w:hAnsiTheme="majorHAnsi"/>
        </w:rPr>
      </w:pPr>
      <w:r w:rsidRPr="0013327C">
        <w:rPr>
          <w:rFonts w:asciiTheme="majorHAnsi" w:hAnsiTheme="majorHAnsi"/>
        </w:rPr>
        <w:t>The method of fixation</w:t>
      </w:r>
    </w:p>
    <w:p w:rsidR="00597427" w:rsidRPr="0013327C" w:rsidRDefault="00597427" w:rsidP="00AE0264">
      <w:pPr>
        <w:pStyle w:val="ListParagraph"/>
        <w:numPr>
          <w:ilvl w:val="0"/>
          <w:numId w:val="7"/>
        </w:numPr>
        <w:jc w:val="both"/>
        <w:rPr>
          <w:rFonts w:asciiTheme="majorHAnsi" w:hAnsiTheme="majorHAnsi"/>
        </w:rPr>
      </w:pPr>
      <w:r w:rsidRPr="0013327C">
        <w:rPr>
          <w:rFonts w:asciiTheme="majorHAnsi" w:hAnsiTheme="majorHAnsi"/>
        </w:rPr>
        <w:t>Nuclear staining</w:t>
      </w:r>
    </w:p>
    <w:p w:rsidR="00597427" w:rsidRPr="0013327C" w:rsidRDefault="00597427" w:rsidP="00AE0264">
      <w:pPr>
        <w:jc w:val="both"/>
        <w:rPr>
          <w:rFonts w:asciiTheme="majorHAnsi" w:hAnsiTheme="majorHAnsi"/>
        </w:rPr>
      </w:pPr>
      <w:r w:rsidRPr="0013327C">
        <w:rPr>
          <w:rFonts w:asciiTheme="majorHAnsi" w:hAnsiTheme="majorHAnsi"/>
        </w:rPr>
        <w:t>These were all done in tandem with the optimisation of image acquisition on the ImageXpress microscope and the image processing and statistical analysis performed by the MetaXpress analysis software as these were required to critically evaluate the three parameters mentioned above. In the next sections the optimisation of these parameters will be described and discussed.</w:t>
      </w:r>
    </w:p>
    <w:p w:rsidR="00597427" w:rsidRPr="0013327C" w:rsidRDefault="00597427" w:rsidP="00AE0264">
      <w:pPr>
        <w:jc w:val="both"/>
        <w:rPr>
          <w:rFonts w:asciiTheme="majorHAnsi" w:hAnsiTheme="majorHAnsi"/>
        </w:rPr>
      </w:pPr>
      <w:r w:rsidRPr="0013327C">
        <w:rPr>
          <w:rFonts w:asciiTheme="majorHAnsi" w:hAnsiTheme="majorHAnsi"/>
          <w:b/>
          <w:noProof/>
          <w:lang w:eastAsia="en-GB"/>
        </w:rPr>
        <w:drawing>
          <wp:inline distT="0" distB="0" distL="0" distR="0">
            <wp:extent cx="5731510" cy="1886622"/>
            <wp:effectExtent l="19050" t="0" r="0" b="0"/>
            <wp:docPr id="77"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12968" cy="2867546"/>
                      <a:chOff x="215516" y="1995227"/>
                      <a:chExt cx="8712968" cy="2867546"/>
                    </a:xfrm>
                  </a:grpSpPr>
                  <a:grpSp>
                    <a:nvGrpSpPr>
                      <a:cNvPr id="4" name="Group 3"/>
                      <a:cNvGrpSpPr/>
                    </a:nvGrpSpPr>
                    <a:grpSpPr>
                      <a:xfrm>
                        <a:off x="215516" y="1995227"/>
                        <a:ext cx="8712968" cy="2867546"/>
                        <a:chOff x="251520" y="620688"/>
                        <a:chExt cx="8712968" cy="2867546"/>
                      </a:xfrm>
                    </a:grpSpPr>
                    <a:sp>
                      <a:nvSpPr>
                        <a:cNvPr id="5" name="TextBox 3"/>
                        <a:cNvSpPr txBox="1"/>
                      </a:nvSpPr>
                      <a:spPr>
                        <a:xfrm>
                          <a:off x="251520" y="620688"/>
                          <a:ext cx="1656184" cy="646331"/>
                        </a:xfrm>
                        <a:prstGeom prst="rect">
                          <a:avLst/>
                        </a:prstGeom>
                        <a:solidFill>
                          <a:srgbClr val="00B050"/>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effectLst/>
                              </a:rPr>
                              <a:t>Successful</a:t>
                            </a:r>
                          </a:p>
                          <a:p>
                            <a:pPr algn="ctr"/>
                            <a:r>
                              <a:rPr lang="en-GB" dirty="0" smtClean="0">
                                <a:effectLst/>
                              </a:rPr>
                              <a:t> KD </a:t>
                            </a:r>
                            <a:r>
                              <a:rPr lang="en-GB" dirty="0" smtClean="0">
                                <a:effectLst/>
                              </a:rPr>
                              <a:t>assay</a:t>
                            </a:r>
                            <a:endParaRPr lang="en-GB" dirty="0">
                              <a:effectLst/>
                            </a:endParaRPr>
                          </a:p>
                        </a:txBody>
                        <a:useSpRect/>
                      </a:txSp>
                    </a:sp>
                    <a:sp>
                      <a:nvSpPr>
                        <a:cNvPr id="6" name="TextBox 4"/>
                        <a:cNvSpPr txBox="1"/>
                      </a:nvSpPr>
                      <a:spPr>
                        <a:xfrm>
                          <a:off x="2339752" y="620688"/>
                          <a:ext cx="1944216" cy="923330"/>
                        </a:xfrm>
                        <a:prstGeom prst="rect">
                          <a:avLst/>
                        </a:prstGeom>
                        <a:solidFill>
                          <a:schemeClr val="accent5"/>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39700">
                                    <a:schemeClr val="accent1">
                                      <a:satMod val="175000"/>
                                      <a:alpha val="40000"/>
                                    </a:schemeClr>
                                  </a:glow>
                                </a:effectLst>
                              </a:rPr>
                              <a:t>Downscale of assay for 384-well plate</a:t>
                            </a:r>
                            <a:endParaRPr lang="en-GB" dirty="0">
                              <a:solidFill>
                                <a:schemeClr val="bg1"/>
                              </a:solidFill>
                              <a:effectLst>
                                <a:glow rad="139700">
                                  <a:schemeClr val="accent1">
                                    <a:satMod val="175000"/>
                                    <a:alpha val="40000"/>
                                  </a:schemeClr>
                                </a:glow>
                              </a:effectLst>
                            </a:endParaRPr>
                          </a:p>
                        </a:txBody>
                        <a:useSpRect/>
                      </a:txSp>
                    </a:sp>
                    <a:sp>
                      <a:nvSpPr>
                        <a:cNvPr id="7" name="TextBox 5"/>
                        <a:cNvSpPr txBox="1"/>
                      </a:nvSpPr>
                      <a:spPr>
                        <a:xfrm>
                          <a:off x="4716016" y="620688"/>
                          <a:ext cx="1800200" cy="923330"/>
                        </a:xfrm>
                        <a:prstGeom prst="rect">
                          <a:avLst/>
                        </a:prstGeom>
                        <a:solidFill>
                          <a:srgbClr val="00B050"/>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Fine-tune Microscopy settings</a:t>
                            </a:r>
                            <a:endParaRPr lang="en-GB" dirty="0"/>
                          </a:p>
                        </a:txBody>
                        <a:useSpRect/>
                      </a:txSp>
                    </a:sp>
                    <a:sp>
                      <a:nvSpPr>
                        <a:cNvPr id="8" name="TextBox 6"/>
                        <a:cNvSpPr txBox="1"/>
                      </a:nvSpPr>
                      <a:spPr>
                        <a:xfrm>
                          <a:off x="6948264" y="620688"/>
                          <a:ext cx="1800200" cy="923330"/>
                        </a:xfrm>
                        <a:prstGeom prst="rect">
                          <a:avLst/>
                        </a:prstGeom>
                        <a:solidFill>
                          <a:srgbClr val="00B050"/>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Develop image</a:t>
                            </a:r>
                          </a:p>
                          <a:p>
                            <a:pPr algn="ctr"/>
                            <a:r>
                              <a:rPr lang="en-GB" dirty="0" smtClean="0"/>
                              <a:t> analysis algorithms</a:t>
                            </a:r>
                            <a:endParaRPr lang="en-GB" dirty="0"/>
                          </a:p>
                        </a:txBody>
                        <a:useSpRect/>
                      </a:txSp>
                    </a:sp>
                    <a:sp>
                      <a:nvSpPr>
                        <a:cNvPr id="9" name="Right Arrow 8"/>
                        <a:cNvSpPr/>
                      </a:nvSpPr>
                      <a:spPr>
                        <a:xfrm>
                          <a:off x="1979712" y="8367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ight Arrow 9"/>
                        <a:cNvSpPr/>
                      </a:nvSpPr>
                      <a:spPr>
                        <a:xfrm>
                          <a:off x="6588224" y="8367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ight Arrow 10"/>
                        <a:cNvSpPr/>
                      </a:nvSpPr>
                      <a:spPr>
                        <a:xfrm>
                          <a:off x="4355976" y="8367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2" name="Straight Connector 11"/>
                        <a:cNvCxnSpPr/>
                      </a:nvCxnSpPr>
                      <a:spPr>
                        <a:xfrm>
                          <a:off x="4283968" y="1556792"/>
                          <a:ext cx="4680520" cy="1008112"/>
                        </a:xfrm>
                        <a:prstGeom prst="line">
                          <a:avLst/>
                        </a:prstGeom>
                      </a:spPr>
                      <a:style>
                        <a:lnRef idx="1">
                          <a:schemeClr val="accent1"/>
                        </a:lnRef>
                        <a:fillRef idx="0">
                          <a:schemeClr val="accent1"/>
                        </a:fillRef>
                        <a:effectRef idx="0">
                          <a:schemeClr val="accent1"/>
                        </a:effectRef>
                        <a:fontRef idx="minor">
                          <a:schemeClr val="tx1"/>
                        </a:fontRef>
                      </a:style>
                    </a:cxnSp>
                    <a:cxnSp>
                      <a:nvCxnSpPr>
                        <a:cNvPr id="13" name="Straight Connector 12"/>
                        <a:cNvCxnSpPr/>
                      </a:nvCxnSpPr>
                      <a:spPr>
                        <a:xfrm flipH="1">
                          <a:off x="251520" y="1556792"/>
                          <a:ext cx="2088232" cy="936104"/>
                        </a:xfrm>
                        <a:prstGeom prst="line">
                          <a:avLst/>
                        </a:prstGeom>
                      </a:spPr>
                      <a:style>
                        <a:lnRef idx="1">
                          <a:schemeClr val="accent1"/>
                        </a:lnRef>
                        <a:fillRef idx="0">
                          <a:schemeClr val="accent1"/>
                        </a:fillRef>
                        <a:effectRef idx="0">
                          <a:schemeClr val="accent1"/>
                        </a:effectRef>
                        <a:fontRef idx="minor">
                          <a:schemeClr val="tx1"/>
                        </a:fontRef>
                      </a:style>
                    </a:cxnSp>
                    <a:sp>
                      <a:nvSpPr>
                        <a:cNvPr id="14" name="TextBox 18"/>
                        <a:cNvSpPr txBox="1"/>
                      </a:nvSpPr>
                      <a:spPr>
                        <a:xfrm>
                          <a:off x="251520" y="2564904"/>
                          <a:ext cx="2016224" cy="923330"/>
                        </a:xfrm>
                        <a:prstGeom prst="rect">
                          <a:avLst/>
                        </a:prstGeom>
                        <a:solidFill>
                          <a:schemeClr val="accent5"/>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39700">
                                    <a:schemeClr val="accent1">
                                      <a:satMod val="175000"/>
                                      <a:alpha val="40000"/>
                                    </a:schemeClr>
                                  </a:glow>
                                </a:effectLst>
                              </a:rPr>
                              <a:t>Determine optimum</a:t>
                            </a:r>
                          </a:p>
                          <a:p>
                            <a:pPr algn="ctr"/>
                            <a:r>
                              <a:rPr lang="en-GB" dirty="0" smtClean="0">
                                <a:solidFill>
                                  <a:schemeClr val="bg1"/>
                                </a:solidFill>
                                <a:effectLst>
                                  <a:glow rad="139700">
                                    <a:schemeClr val="accent1">
                                      <a:satMod val="175000"/>
                                      <a:alpha val="40000"/>
                                    </a:schemeClr>
                                  </a:glow>
                                </a:effectLst>
                              </a:rPr>
                              <a:t> seeding density</a:t>
                            </a:r>
                            <a:endParaRPr lang="en-GB" dirty="0">
                              <a:solidFill>
                                <a:schemeClr val="bg1"/>
                              </a:solidFill>
                              <a:effectLst>
                                <a:glow rad="139700">
                                  <a:schemeClr val="accent1">
                                    <a:satMod val="175000"/>
                                    <a:alpha val="40000"/>
                                  </a:schemeClr>
                                </a:glow>
                              </a:effectLst>
                            </a:endParaRPr>
                          </a:p>
                        </a:txBody>
                        <a:useSpRect/>
                      </a:txSp>
                    </a:sp>
                    <a:sp>
                      <a:nvSpPr>
                        <a:cNvPr id="15" name="TextBox 19"/>
                        <a:cNvSpPr txBox="1"/>
                      </a:nvSpPr>
                      <a:spPr>
                        <a:xfrm>
                          <a:off x="2771800" y="2564904"/>
                          <a:ext cx="1584176" cy="923330"/>
                        </a:xfrm>
                        <a:prstGeom prst="rect">
                          <a:avLst/>
                        </a:prstGeom>
                        <a:solidFill>
                          <a:schemeClr val="accent5"/>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1">
                                      <a:satMod val="175000"/>
                                      <a:alpha val="40000"/>
                                    </a:schemeClr>
                                  </a:glow>
                                </a:effectLst>
                              </a:rPr>
                              <a:t>Optimise fixing</a:t>
                            </a:r>
                          </a:p>
                          <a:p>
                            <a:pPr algn="ctr"/>
                            <a:r>
                              <a:rPr lang="en-GB" dirty="0" smtClean="0">
                                <a:solidFill>
                                  <a:schemeClr val="bg1"/>
                                </a:solidFill>
                                <a:effectLst>
                                  <a:glow rad="101600">
                                    <a:schemeClr val="accent1">
                                      <a:satMod val="175000"/>
                                      <a:alpha val="40000"/>
                                    </a:schemeClr>
                                  </a:glow>
                                </a:effectLst>
                              </a:rPr>
                              <a:t>Protocol and apparatus</a:t>
                            </a:r>
                            <a:endParaRPr lang="en-GB" dirty="0">
                              <a:solidFill>
                                <a:schemeClr val="bg1"/>
                              </a:solidFill>
                              <a:effectLst>
                                <a:glow rad="101600">
                                  <a:schemeClr val="accent1">
                                    <a:satMod val="175000"/>
                                    <a:alpha val="40000"/>
                                  </a:schemeClr>
                                </a:glow>
                              </a:effectLst>
                            </a:endParaRPr>
                          </a:p>
                        </a:txBody>
                        <a:useSpRect/>
                      </a:txSp>
                    </a:sp>
                    <a:sp>
                      <a:nvSpPr>
                        <a:cNvPr id="16" name="TextBox 20"/>
                        <a:cNvSpPr txBox="1"/>
                      </a:nvSpPr>
                      <a:spPr>
                        <a:xfrm>
                          <a:off x="4860032" y="2564904"/>
                          <a:ext cx="1800200" cy="646331"/>
                        </a:xfrm>
                        <a:prstGeom prst="rect">
                          <a:avLst/>
                        </a:prstGeom>
                        <a:solidFill>
                          <a:schemeClr val="accent5"/>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39700">
                                    <a:schemeClr val="accent1">
                                      <a:satMod val="175000"/>
                                      <a:alpha val="40000"/>
                                    </a:schemeClr>
                                  </a:glow>
                                </a:effectLst>
                              </a:rPr>
                              <a:t>Optimise </a:t>
                            </a:r>
                            <a:r>
                              <a:rPr lang="en-GB" dirty="0">
                                <a:solidFill>
                                  <a:schemeClr val="bg1"/>
                                </a:solidFill>
                                <a:effectLst>
                                  <a:glow rad="139700">
                                    <a:schemeClr val="accent1">
                                      <a:satMod val="175000"/>
                                      <a:alpha val="40000"/>
                                    </a:schemeClr>
                                  </a:glow>
                                </a:effectLst>
                              </a:rPr>
                              <a:t>n</a:t>
                            </a:r>
                            <a:r>
                              <a:rPr lang="en-GB" dirty="0" smtClean="0">
                                <a:solidFill>
                                  <a:schemeClr val="bg1"/>
                                </a:solidFill>
                                <a:effectLst>
                                  <a:glow rad="139700">
                                    <a:schemeClr val="accent1">
                                      <a:satMod val="175000"/>
                                      <a:alpha val="40000"/>
                                    </a:schemeClr>
                                  </a:glow>
                                </a:effectLst>
                              </a:rPr>
                              <a:t>uclear </a:t>
                            </a:r>
                          </a:p>
                          <a:p>
                            <a:pPr algn="ctr"/>
                            <a:r>
                              <a:rPr lang="en-GB" dirty="0" smtClean="0">
                                <a:solidFill>
                                  <a:schemeClr val="bg1"/>
                                </a:solidFill>
                                <a:effectLst>
                                  <a:glow rad="139700">
                                    <a:schemeClr val="accent1">
                                      <a:satMod val="175000"/>
                                      <a:alpha val="40000"/>
                                    </a:schemeClr>
                                  </a:glow>
                                </a:effectLst>
                              </a:rPr>
                              <a:t>staining</a:t>
                            </a:r>
                            <a:endParaRPr lang="en-GB" dirty="0">
                              <a:solidFill>
                                <a:schemeClr val="bg1"/>
                              </a:solidFill>
                              <a:effectLst>
                                <a:glow rad="139700">
                                  <a:schemeClr val="accent1">
                                    <a:satMod val="175000"/>
                                    <a:alpha val="40000"/>
                                  </a:schemeClr>
                                </a:glow>
                              </a:effectLst>
                            </a:endParaRPr>
                          </a:p>
                        </a:txBody>
                        <a:useSpRect/>
                      </a:txSp>
                    </a:sp>
                    <a:sp>
                      <a:nvSpPr>
                        <a:cNvPr id="17" name="TextBox 22"/>
                        <a:cNvSpPr txBox="1"/>
                      </a:nvSpPr>
                      <a:spPr>
                        <a:xfrm>
                          <a:off x="7164288" y="2564904"/>
                          <a:ext cx="1800200" cy="923330"/>
                        </a:xfrm>
                        <a:prstGeom prst="rect">
                          <a:avLst/>
                        </a:prstGeom>
                        <a:solidFill>
                          <a:schemeClr val="accent5"/>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39700">
                                    <a:schemeClr val="accent1">
                                      <a:satMod val="175000"/>
                                      <a:alpha val="40000"/>
                                    </a:schemeClr>
                                  </a:glow>
                                </a:effectLst>
                              </a:rPr>
                              <a:t>Confirm KD efficacy </a:t>
                            </a:r>
                          </a:p>
                          <a:p>
                            <a:pPr algn="ctr"/>
                            <a:r>
                              <a:rPr lang="en-GB" dirty="0" smtClean="0">
                                <a:solidFill>
                                  <a:schemeClr val="bg1"/>
                                </a:solidFill>
                                <a:effectLst>
                                  <a:glow rad="139700">
                                    <a:schemeClr val="accent1">
                                      <a:satMod val="175000"/>
                                      <a:alpha val="40000"/>
                                    </a:schemeClr>
                                  </a:glow>
                                </a:effectLst>
                              </a:rPr>
                              <a:t>In 384-well plate</a:t>
                            </a:r>
                            <a:endParaRPr lang="en-GB" dirty="0">
                              <a:solidFill>
                                <a:schemeClr val="bg1"/>
                              </a:solidFill>
                              <a:effectLst>
                                <a:glow rad="139700">
                                  <a:schemeClr val="accent1">
                                    <a:satMod val="175000"/>
                                    <a:alpha val="40000"/>
                                  </a:schemeClr>
                                </a:glow>
                              </a:effectLst>
                            </a:endParaRPr>
                          </a:p>
                        </a:txBody>
                        <a:useSpRect/>
                      </a:txSp>
                    </a:sp>
                    <a:sp>
                      <a:nvSpPr>
                        <a:cNvPr id="18" name="Right Arrow 17"/>
                        <a:cNvSpPr/>
                      </a:nvSpPr>
                      <a:spPr>
                        <a:xfrm>
                          <a:off x="6804248" y="26369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Right Arrow 18"/>
                        <a:cNvSpPr/>
                      </a:nvSpPr>
                      <a:spPr>
                        <a:xfrm>
                          <a:off x="4499992" y="26369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Right Arrow 19"/>
                        <a:cNvSpPr/>
                      </a:nvSpPr>
                      <a:spPr>
                        <a:xfrm>
                          <a:off x="2411760" y="26369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roofErr w:type="gramStart"/>
      <w:r w:rsidR="00D01B46" w:rsidRPr="0013327C">
        <w:rPr>
          <w:rFonts w:asciiTheme="majorHAnsi" w:hAnsiTheme="majorHAnsi"/>
          <w:b/>
        </w:rPr>
        <w:t>Figure 3.</w:t>
      </w:r>
      <w:r w:rsidRPr="0013327C">
        <w:rPr>
          <w:rFonts w:asciiTheme="majorHAnsi" w:hAnsiTheme="majorHAnsi"/>
          <w:b/>
        </w:rPr>
        <w:t>1</w:t>
      </w:r>
      <w:r w:rsidR="00D64FA4">
        <w:rPr>
          <w:rFonts w:asciiTheme="majorHAnsi" w:hAnsiTheme="majorHAnsi"/>
          <w:b/>
        </w:rPr>
        <w:t>1</w:t>
      </w:r>
      <w:r w:rsidRPr="0013327C">
        <w:rPr>
          <w:rFonts w:asciiTheme="majorHAnsi" w:hAnsiTheme="majorHAnsi"/>
          <w:b/>
        </w:rPr>
        <w:t>.</w:t>
      </w:r>
      <w:proofErr w:type="gramEnd"/>
      <w:r w:rsidRPr="0013327C">
        <w:rPr>
          <w:rFonts w:asciiTheme="majorHAnsi" w:hAnsiTheme="majorHAnsi"/>
        </w:rPr>
        <w:t xml:space="preserve"> </w:t>
      </w:r>
      <w:proofErr w:type="gramStart"/>
      <w:r w:rsidR="00D01B46" w:rsidRPr="00B34F43">
        <w:rPr>
          <w:rFonts w:asciiTheme="majorHAnsi" w:hAnsiTheme="majorHAnsi"/>
          <w:b/>
        </w:rPr>
        <w:t>Stages of development schematic 2</w:t>
      </w:r>
      <w:r w:rsidR="00D01B46" w:rsidRPr="0013327C">
        <w:rPr>
          <w:rFonts w:asciiTheme="majorHAnsi" w:hAnsiTheme="majorHAnsi"/>
        </w:rPr>
        <w:t>.</w:t>
      </w:r>
      <w:proofErr w:type="gramEnd"/>
      <w:r w:rsidR="00D01B46" w:rsidRPr="0013327C">
        <w:rPr>
          <w:rFonts w:asciiTheme="majorHAnsi" w:hAnsiTheme="majorHAnsi"/>
        </w:rPr>
        <w:t xml:space="preserve"> </w:t>
      </w:r>
      <w:r w:rsidRPr="0013327C">
        <w:rPr>
          <w:rFonts w:asciiTheme="majorHAnsi" w:hAnsiTheme="majorHAnsi"/>
        </w:rPr>
        <w:t>A schematic showing the steps required to successfully downscale the KD assay for use in 384-well microtitre plates.</w:t>
      </w:r>
    </w:p>
    <w:p w:rsidR="00597427" w:rsidRPr="0013327C" w:rsidRDefault="00597427" w:rsidP="00AE0264">
      <w:pPr>
        <w:pStyle w:val="Heading2"/>
        <w:jc w:val="both"/>
      </w:pPr>
      <w:bookmarkStart w:id="93" w:name="_Toc348423345"/>
      <w:r w:rsidRPr="0013327C">
        <w:t>Development of cell-seeding density for 384-well microtitre plates</w:t>
      </w:r>
      <w:bookmarkEnd w:id="93"/>
    </w:p>
    <w:p w:rsidR="00597427" w:rsidRPr="0013327C" w:rsidRDefault="00597427" w:rsidP="00AE0264">
      <w:pPr>
        <w:jc w:val="both"/>
        <w:rPr>
          <w:rFonts w:asciiTheme="majorHAnsi" w:hAnsiTheme="majorHAnsi"/>
        </w:rPr>
      </w:pPr>
      <w:r w:rsidRPr="0013327C">
        <w:rPr>
          <w:rFonts w:asciiTheme="majorHAnsi" w:hAnsiTheme="majorHAnsi"/>
        </w:rPr>
        <w:t xml:space="preserve">From experiments in 6- and 96-well plates it was already known that knockdowns of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 xml:space="preserve">16 took as long as 6 days to achieve a visual phenotype with the fluorescent peroxisomal marker. Other screens in the facility were using 15,000 cells per well but for luminescent screens rather than fluorescence-microscopy screens and then only for 4-day experiments. To determine the most effective seeding density a serial dilution was performed using a microtitre-plate multi-dropper (“Multidrop Combi”, Thermo). This is a liquid handling machine that uses an array of 8 nozzles to </w:t>
      </w:r>
      <w:r w:rsidRPr="0013327C">
        <w:rPr>
          <w:rFonts w:asciiTheme="majorHAnsi" w:hAnsiTheme="majorHAnsi"/>
        </w:rPr>
        <w:lastRenderedPageBreak/>
        <w:t>jettison precise volumes in multiples of 5µl in a similar fashion to a multi-channel pipette. The array of nozzles is moved along the rows of the plate and as it passes over each column it pauses and each nozzle jettisons the required volume of media into the well below before the array is moved along to the next column (a detailed account is given in the Methods Ch</w:t>
      </w:r>
      <w:r w:rsidR="00C3380A" w:rsidRPr="0013327C">
        <w:rPr>
          <w:rFonts w:asciiTheme="majorHAnsi" w:hAnsiTheme="majorHAnsi"/>
        </w:rPr>
        <w:t xml:space="preserve"> 2.7.7</w:t>
      </w:r>
      <w:r w:rsidRPr="0013327C">
        <w:rPr>
          <w:rFonts w:asciiTheme="majorHAnsi" w:hAnsiTheme="majorHAnsi"/>
        </w:rPr>
        <w:t xml:space="preserve">). An entire plate can be seeded in less than 20 seconds which is a fraction of the time it would take to manually add liquid using a multi-channel pipette. </w:t>
      </w:r>
    </w:p>
    <w:p w:rsidR="00597427" w:rsidRPr="0013327C" w:rsidRDefault="00597427" w:rsidP="00AE0264">
      <w:pPr>
        <w:jc w:val="both"/>
        <w:rPr>
          <w:rFonts w:asciiTheme="majorHAnsi" w:hAnsiTheme="majorHAnsi"/>
        </w:rPr>
      </w:pPr>
      <w:r w:rsidRPr="0013327C">
        <w:rPr>
          <w:rFonts w:asciiTheme="majorHAnsi" w:hAnsiTheme="majorHAnsi"/>
        </w:rPr>
        <w:t>Seeding densities of 16000, 8000, 4000, 2000 and 1000 cells per well were dispensed in 10% serum medium using decreasing volumes of S2R+ cells transiently transfected with the inducible peroxisomal marker from a stock of 2x10</w:t>
      </w:r>
      <w:r w:rsidRPr="0013327C">
        <w:rPr>
          <w:rFonts w:asciiTheme="majorHAnsi" w:hAnsiTheme="majorHAnsi"/>
          <w:vertAlign w:val="superscript"/>
        </w:rPr>
        <w:t>5</w:t>
      </w:r>
      <w:r w:rsidRPr="0013327C">
        <w:rPr>
          <w:rFonts w:asciiTheme="majorHAnsi" w:hAnsiTheme="majorHAnsi"/>
        </w:rPr>
        <w:t xml:space="preserve"> cells.ml</w:t>
      </w:r>
      <w:r w:rsidRPr="0013327C">
        <w:rPr>
          <w:rFonts w:asciiTheme="majorHAnsi" w:hAnsiTheme="majorHAnsi"/>
          <w:vertAlign w:val="superscript"/>
        </w:rPr>
        <w:t>-1</w:t>
      </w:r>
      <w:r w:rsidRPr="0013327C">
        <w:rPr>
          <w:rFonts w:asciiTheme="majorHAnsi" w:hAnsiTheme="majorHAnsi"/>
        </w:rPr>
        <w:t>. Four columns of a blank plate were assigned to each cell density. Each well was made up to a total of 80µl using 10% serum-containing medium. The final four columns were filled with 10% serum medium only (no cells). After an hour when the cells had settled to the bottom of the well 30µl of the medium was removed by aspiration leaving 50µl in each well (aspiration procedures are discussed in a later section in this chapter).</w:t>
      </w:r>
    </w:p>
    <w:p w:rsidR="00597427" w:rsidRDefault="00597427" w:rsidP="00AE0264">
      <w:pPr>
        <w:jc w:val="both"/>
        <w:rPr>
          <w:rFonts w:asciiTheme="majorHAnsi" w:hAnsiTheme="majorHAnsi"/>
        </w:rPr>
      </w:pPr>
    </w:p>
    <w:p w:rsidR="00D64FA4" w:rsidRPr="0013327C" w:rsidRDefault="00D64FA4" w:rsidP="00AE0264">
      <w:pPr>
        <w:jc w:val="both"/>
        <w:rPr>
          <w:rFonts w:asciiTheme="majorHAnsi" w:hAnsiTheme="majorHAnsi"/>
        </w:rPr>
      </w:pPr>
    </w:p>
    <w:p w:rsidR="00597427" w:rsidRPr="0013327C" w:rsidRDefault="00597427" w:rsidP="00AE0264">
      <w:pPr>
        <w:jc w:val="both"/>
        <w:rPr>
          <w:rFonts w:asciiTheme="majorHAnsi" w:hAnsiTheme="majorHAnsi"/>
        </w:rPr>
      </w:pPr>
      <w:r w:rsidRPr="0013327C">
        <w:rPr>
          <w:rFonts w:asciiTheme="majorHAnsi" w:hAnsiTheme="majorHAnsi"/>
          <w:b/>
          <w:noProof/>
          <w:lang w:eastAsia="en-GB"/>
        </w:rPr>
        <w:lastRenderedPageBreak/>
        <w:drawing>
          <wp:inline distT="0" distB="0" distL="0" distR="0">
            <wp:extent cx="4914900" cy="3933825"/>
            <wp:effectExtent l="0" t="0" r="0" b="0"/>
            <wp:docPr id="78"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52325" cy="6264696"/>
                      <a:chOff x="107504" y="404664"/>
                      <a:chExt cx="8552325" cy="6264696"/>
                    </a:xfrm>
                  </a:grpSpPr>
                  <a:grpSp>
                    <a:nvGrpSpPr>
                      <a:cNvPr id="233" name="Group 232"/>
                      <a:cNvGrpSpPr/>
                    </a:nvGrpSpPr>
                    <a:grpSpPr>
                      <a:xfrm>
                        <a:off x="107504" y="404664"/>
                        <a:ext cx="8552325" cy="6264696"/>
                        <a:chOff x="107504" y="404664"/>
                        <a:chExt cx="8552325" cy="6264696"/>
                      </a:xfrm>
                    </a:grpSpPr>
                    <a:grpSp>
                      <a:nvGrpSpPr>
                        <a:cNvPr id="3" name="Group 210"/>
                        <a:cNvGrpSpPr/>
                      </a:nvGrpSpPr>
                      <a:grpSpPr>
                        <a:xfrm>
                          <a:off x="107504" y="404664"/>
                          <a:ext cx="8552325" cy="6264696"/>
                          <a:chOff x="107504" y="404664"/>
                          <a:chExt cx="8552325" cy="6264696"/>
                        </a:xfrm>
                      </a:grpSpPr>
                      <a:sp>
                        <a:nvSpPr>
                          <a:cNvPr id="4" name="Rectangle 3"/>
                          <a:cNvSpPr/>
                        </a:nvSpPr>
                        <a:spPr>
                          <a:xfrm>
                            <a:off x="1691680" y="3645024"/>
                            <a:ext cx="1152128" cy="3024336"/>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2843808" y="3645024"/>
                            <a:ext cx="1152128" cy="3024336"/>
                          </a:xfrm>
                          <a:prstGeom prst="rect">
                            <a:avLst/>
                          </a:prstGeom>
                          <a:solidFill>
                            <a:srgbClr val="CC260A"/>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3995936" y="3645024"/>
                            <a:ext cx="1152128" cy="3024336"/>
                          </a:xfrm>
                          <a:prstGeom prst="rect">
                            <a:avLst/>
                          </a:prstGeom>
                          <a:solidFill>
                            <a:srgbClr val="F4452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5148064" y="3645024"/>
                            <a:ext cx="1152128" cy="3024336"/>
                          </a:xfrm>
                          <a:prstGeom prst="rect">
                            <a:avLst/>
                          </a:prstGeom>
                          <a:solidFill>
                            <a:srgbClr val="F66F5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ctangle 7"/>
                          <a:cNvSpPr/>
                        </a:nvSpPr>
                        <a:spPr>
                          <a:xfrm>
                            <a:off x="6300192" y="3645024"/>
                            <a:ext cx="1152128" cy="3024336"/>
                          </a:xfrm>
                          <a:prstGeom prst="rect">
                            <a:avLst/>
                          </a:prstGeom>
                          <a:solidFill>
                            <a:srgbClr val="F99E8F"/>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ctangle 8"/>
                          <a:cNvSpPr/>
                        </a:nvSpPr>
                        <a:spPr>
                          <a:xfrm>
                            <a:off x="7452320" y="3645024"/>
                            <a:ext cx="1152128" cy="3024336"/>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Rectangle 16"/>
                          <a:cNvSpPr/>
                        </a:nvSpPr>
                        <a:spPr>
                          <a:xfrm>
                            <a:off x="6300192" y="3140968"/>
                            <a:ext cx="1152128" cy="72008"/>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Rectangle 22"/>
                          <a:cNvSpPr/>
                        </a:nvSpPr>
                        <a:spPr>
                          <a:xfrm>
                            <a:off x="5148064" y="3068960"/>
                            <a:ext cx="1152128" cy="72008"/>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Rectangle 23"/>
                          <a:cNvSpPr/>
                        </a:nvSpPr>
                        <a:spPr>
                          <a:xfrm>
                            <a:off x="5148064" y="3140968"/>
                            <a:ext cx="1152128" cy="72008"/>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Rectangle 25"/>
                          <a:cNvSpPr/>
                        </a:nvSpPr>
                        <a:spPr>
                          <a:xfrm>
                            <a:off x="3995936" y="2924944"/>
                            <a:ext cx="1152128" cy="144016"/>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Rectangle 26"/>
                          <a:cNvSpPr/>
                        </a:nvSpPr>
                        <a:spPr>
                          <a:xfrm>
                            <a:off x="3995936" y="3068960"/>
                            <a:ext cx="1152128" cy="72008"/>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Rectangle 27"/>
                          <a:cNvSpPr/>
                        </a:nvSpPr>
                        <a:spPr>
                          <a:xfrm>
                            <a:off x="3995936" y="3140968"/>
                            <a:ext cx="1152128" cy="72008"/>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9" name="Rectangle 28"/>
                          <a:cNvSpPr/>
                        </a:nvSpPr>
                        <a:spPr>
                          <a:xfrm>
                            <a:off x="2843808" y="2636912"/>
                            <a:ext cx="1152128" cy="288032"/>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Rectangle 34"/>
                          <a:cNvSpPr/>
                        </a:nvSpPr>
                        <a:spPr>
                          <a:xfrm>
                            <a:off x="2843808" y="3068960"/>
                            <a:ext cx="1152128" cy="72008"/>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Rectangle 35"/>
                          <a:cNvSpPr/>
                        </a:nvSpPr>
                        <a:spPr>
                          <a:xfrm>
                            <a:off x="2843808" y="3140968"/>
                            <a:ext cx="1152128" cy="72008"/>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1" name="Rectangle 50"/>
                          <a:cNvSpPr/>
                        </a:nvSpPr>
                        <a:spPr>
                          <a:xfrm>
                            <a:off x="1691680" y="3068960"/>
                            <a:ext cx="1152128" cy="72008"/>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2" name="Rectangle 51"/>
                          <a:cNvSpPr/>
                        </a:nvSpPr>
                        <a:spPr>
                          <a:xfrm>
                            <a:off x="1691680" y="3140968"/>
                            <a:ext cx="1152128" cy="72008"/>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 name="Rectangle 59"/>
                          <a:cNvSpPr/>
                        </a:nvSpPr>
                        <a:spPr>
                          <a:xfrm>
                            <a:off x="1691680" y="2060848"/>
                            <a:ext cx="1152128" cy="576064"/>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3" name="Rectangle 92"/>
                          <a:cNvSpPr/>
                        </a:nvSpPr>
                        <a:spPr>
                          <a:xfrm>
                            <a:off x="2843808" y="2564904"/>
                            <a:ext cx="1152128" cy="72008"/>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3" name="Rectangle 102"/>
                          <a:cNvSpPr/>
                        </a:nvSpPr>
                        <a:spPr>
                          <a:xfrm>
                            <a:off x="2843808" y="2060848"/>
                            <a:ext cx="1152128" cy="576064"/>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5" name="Rectangle 174"/>
                          <a:cNvSpPr/>
                        </a:nvSpPr>
                        <a:spPr>
                          <a:xfrm>
                            <a:off x="7452320" y="3140968"/>
                            <a:ext cx="1152128" cy="72008"/>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6" name="Rectangle 175"/>
                          <a:cNvSpPr/>
                        </a:nvSpPr>
                        <a:spPr>
                          <a:xfrm>
                            <a:off x="7452320" y="3068960"/>
                            <a:ext cx="1152128" cy="72008"/>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7" name="Rectangle 176"/>
                          <a:cNvSpPr/>
                        </a:nvSpPr>
                        <a:spPr>
                          <a:xfrm>
                            <a:off x="7452320" y="3140968"/>
                            <a:ext cx="1152128" cy="72008"/>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8" name="Rectangle 177"/>
                          <a:cNvSpPr/>
                        </a:nvSpPr>
                        <a:spPr>
                          <a:xfrm>
                            <a:off x="7452320" y="3068960"/>
                            <a:ext cx="1152128" cy="72008"/>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83" name="Rectangle 182"/>
                          <a:cNvSpPr/>
                        </a:nvSpPr>
                        <a:spPr>
                          <a:xfrm>
                            <a:off x="5148064" y="2996952"/>
                            <a:ext cx="1152128" cy="72008"/>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85" name="Rectangle 184"/>
                          <a:cNvSpPr/>
                        </a:nvSpPr>
                        <a:spPr>
                          <a:xfrm>
                            <a:off x="5148064" y="2924944"/>
                            <a:ext cx="1152128" cy="144016"/>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1" name="TextBox 190"/>
                          <a:cNvSpPr txBox="1"/>
                        </a:nvSpPr>
                        <a:spPr>
                          <a:xfrm>
                            <a:off x="1691680" y="1412776"/>
                            <a:ext cx="1224136"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16,000 cells in 80</a:t>
                              </a:r>
                              <a:r>
                                <a:rPr lang="en-GB" sz="1600" dirty="0"/>
                                <a:t> µl</a:t>
                              </a:r>
                              <a:endParaRPr lang="en-GB" dirty="0"/>
                            </a:p>
                          </a:txBody>
                          <a:useSpRect/>
                        </a:txSp>
                      </a:sp>
                      <a:sp>
                        <a:nvSpPr>
                          <a:cNvPr id="192" name="TextBox 191"/>
                          <a:cNvSpPr txBox="1"/>
                        </a:nvSpPr>
                        <a:spPr>
                          <a:xfrm>
                            <a:off x="2843808" y="1412776"/>
                            <a:ext cx="1152128"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8,000 cells in 40</a:t>
                              </a:r>
                              <a:r>
                                <a:rPr lang="en-GB" sz="1600" dirty="0"/>
                                <a:t> µl</a:t>
                              </a:r>
                              <a:endParaRPr lang="en-GB" dirty="0"/>
                            </a:p>
                          </a:txBody>
                          <a:useSpRect/>
                        </a:txSp>
                      </a:sp>
                      <a:sp>
                        <a:nvSpPr>
                          <a:cNvPr id="193" name="TextBox 192"/>
                          <a:cNvSpPr txBox="1"/>
                        </a:nvSpPr>
                        <a:spPr>
                          <a:xfrm>
                            <a:off x="3995936" y="1412776"/>
                            <a:ext cx="1152128"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a:t>4</a:t>
                              </a:r>
                              <a:r>
                                <a:rPr lang="en-GB" sz="1600" dirty="0" smtClean="0"/>
                                <a:t>,000 cells in 20</a:t>
                              </a:r>
                              <a:r>
                                <a:rPr lang="en-GB" sz="1600" dirty="0"/>
                                <a:t> µl</a:t>
                              </a:r>
                              <a:endParaRPr lang="en-GB" dirty="0"/>
                            </a:p>
                          </a:txBody>
                          <a:useSpRect/>
                        </a:txSp>
                      </a:sp>
                      <a:sp>
                        <a:nvSpPr>
                          <a:cNvPr id="194" name="TextBox 193"/>
                          <a:cNvSpPr txBox="1"/>
                        </a:nvSpPr>
                        <a:spPr>
                          <a:xfrm>
                            <a:off x="5148064" y="1412776"/>
                            <a:ext cx="1152128"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2,000 cells in 10</a:t>
                              </a:r>
                              <a:r>
                                <a:rPr lang="en-GB" sz="1600" dirty="0"/>
                                <a:t> µl</a:t>
                              </a:r>
                              <a:endParaRPr lang="en-GB" dirty="0"/>
                            </a:p>
                          </a:txBody>
                          <a:useSpRect/>
                        </a:txSp>
                      </a:sp>
                      <a:sp>
                        <a:nvSpPr>
                          <a:cNvPr id="195" name="TextBox 194"/>
                          <a:cNvSpPr txBox="1"/>
                        </a:nvSpPr>
                        <a:spPr>
                          <a:xfrm>
                            <a:off x="6300192" y="1412776"/>
                            <a:ext cx="1152128"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a:t>1</a:t>
                              </a:r>
                              <a:r>
                                <a:rPr lang="en-GB" sz="1600" dirty="0" smtClean="0"/>
                                <a:t>,000 cells in 5</a:t>
                              </a:r>
                              <a:r>
                                <a:rPr lang="en-GB" sz="1600" dirty="0"/>
                                <a:t> µl</a:t>
                              </a:r>
                              <a:endParaRPr lang="en-GB" dirty="0"/>
                            </a:p>
                          </a:txBody>
                          <a:useSpRect/>
                        </a:txSp>
                      </a:sp>
                      <a:sp>
                        <a:nvSpPr>
                          <a:cNvPr id="196" name="TextBox 195"/>
                          <a:cNvSpPr txBox="1"/>
                        </a:nvSpPr>
                        <a:spPr>
                          <a:xfrm>
                            <a:off x="2915816" y="404664"/>
                            <a:ext cx="1080120" cy="86177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40</a:t>
                              </a:r>
                              <a:r>
                                <a:rPr lang="en-GB" sz="1600" dirty="0"/>
                                <a:t> µl</a:t>
                              </a:r>
                              <a:r>
                                <a:rPr lang="en-GB" sz="1600" dirty="0" smtClean="0"/>
                                <a:t> medium added</a:t>
                              </a:r>
                              <a:endParaRPr lang="en-GB" sz="1600" dirty="0"/>
                            </a:p>
                          </a:txBody>
                          <a:useSpRect/>
                        </a:txSp>
                      </a:sp>
                      <a:sp>
                        <a:nvSpPr>
                          <a:cNvPr id="197" name="TextBox 196"/>
                          <a:cNvSpPr txBox="1"/>
                        </a:nvSpPr>
                        <a:spPr>
                          <a:xfrm>
                            <a:off x="4067944" y="404664"/>
                            <a:ext cx="1080120" cy="86177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60</a:t>
                              </a:r>
                              <a:r>
                                <a:rPr lang="en-GB" sz="1600" dirty="0"/>
                                <a:t> µl</a:t>
                              </a:r>
                              <a:r>
                                <a:rPr lang="en-GB" sz="1600" dirty="0" smtClean="0"/>
                                <a:t> medium added</a:t>
                              </a:r>
                              <a:endParaRPr lang="en-GB" sz="1600" dirty="0"/>
                            </a:p>
                          </a:txBody>
                          <a:useSpRect/>
                        </a:txSp>
                      </a:sp>
                      <a:sp>
                        <a:nvSpPr>
                          <a:cNvPr id="198" name="TextBox 197"/>
                          <a:cNvSpPr txBox="1"/>
                        </a:nvSpPr>
                        <a:spPr>
                          <a:xfrm>
                            <a:off x="5220072" y="404664"/>
                            <a:ext cx="1080120" cy="86177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70</a:t>
                              </a:r>
                              <a:r>
                                <a:rPr lang="en-GB" sz="1600" dirty="0"/>
                                <a:t> µl </a:t>
                              </a:r>
                              <a:r>
                                <a:rPr lang="en-GB" sz="1600" dirty="0" smtClean="0"/>
                                <a:t>medium added</a:t>
                              </a:r>
                              <a:endParaRPr lang="en-GB" sz="1600" dirty="0"/>
                            </a:p>
                          </a:txBody>
                          <a:useSpRect/>
                        </a:txSp>
                      </a:sp>
                      <a:sp>
                        <a:nvSpPr>
                          <a:cNvPr id="199" name="TextBox 198"/>
                          <a:cNvSpPr txBox="1"/>
                        </a:nvSpPr>
                        <a:spPr>
                          <a:xfrm>
                            <a:off x="6372200" y="404664"/>
                            <a:ext cx="1080120" cy="86177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75</a:t>
                              </a:r>
                              <a:r>
                                <a:rPr lang="en-GB" sz="1600" dirty="0"/>
                                <a:t> µl</a:t>
                              </a:r>
                              <a:r>
                                <a:rPr lang="en-GB" sz="1600" dirty="0" smtClean="0"/>
                                <a:t> medium added</a:t>
                              </a:r>
                              <a:endParaRPr lang="en-GB" sz="1600" dirty="0"/>
                            </a:p>
                          </a:txBody>
                          <a:useSpRect/>
                        </a:txSp>
                      </a:sp>
                      <a:sp>
                        <a:nvSpPr>
                          <a:cNvPr id="200" name="TextBox 199"/>
                          <a:cNvSpPr txBox="1"/>
                        </a:nvSpPr>
                        <a:spPr>
                          <a:xfrm>
                            <a:off x="7452320" y="404664"/>
                            <a:ext cx="1080120" cy="86177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80</a:t>
                              </a:r>
                              <a:r>
                                <a:rPr lang="en-GB" sz="1600" dirty="0"/>
                                <a:t> µl </a:t>
                              </a:r>
                              <a:r>
                                <a:rPr lang="en-GB" sz="1600" dirty="0" smtClean="0"/>
                                <a:t>medium added</a:t>
                              </a:r>
                              <a:endParaRPr lang="en-GB" sz="1600" dirty="0"/>
                            </a:p>
                          </a:txBody>
                          <a:useSpRect/>
                        </a:txSp>
                      </a:sp>
                      <a:sp>
                        <a:nvSpPr>
                          <a:cNvPr id="201" name="Rectangle 200"/>
                          <a:cNvSpPr/>
                        </a:nvSpPr>
                        <a:spPr>
                          <a:xfrm>
                            <a:off x="179512" y="1484784"/>
                            <a:ext cx="1152128" cy="72008"/>
                          </a:xfrm>
                          <a:prstGeom prst="rect">
                            <a:avLst/>
                          </a:prstGeom>
                          <a:solidFill>
                            <a:srgbClr val="9C1D08"/>
                          </a:solidFill>
                          <a:ln>
                            <a:solidFill>
                              <a:srgbClr val="9C1D08"/>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02" name="TextBox 201"/>
                          <a:cNvSpPr txBox="1"/>
                        </a:nvSpPr>
                        <a:spPr>
                          <a:xfrm>
                            <a:off x="107504" y="1556792"/>
                            <a:ext cx="1454244" cy="523220"/>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a:t>= </a:t>
                              </a:r>
                              <a:r>
                                <a:rPr lang="en-GB" sz="1400" dirty="0" smtClean="0"/>
                                <a:t>1,000 cells in </a:t>
                              </a:r>
                            </a:p>
                            <a:p>
                              <a:r>
                                <a:rPr lang="en-GB" sz="1400" dirty="0" smtClean="0"/>
                                <a:t>5</a:t>
                              </a:r>
                              <a:r>
                                <a:rPr lang="en-GB" sz="1400" dirty="0"/>
                                <a:t> µl</a:t>
                              </a:r>
                              <a:r>
                                <a:rPr lang="en-GB" sz="1400" dirty="0" smtClean="0"/>
                                <a:t> 10% medium</a:t>
                              </a:r>
                              <a:endParaRPr lang="en-GB" sz="1400" dirty="0"/>
                            </a:p>
                          </a:txBody>
                          <a:useSpRect/>
                        </a:txSp>
                      </a:sp>
                      <a:sp>
                        <a:nvSpPr>
                          <a:cNvPr id="203" name="Rectangle 202"/>
                          <a:cNvSpPr/>
                        </a:nvSpPr>
                        <a:spPr>
                          <a:xfrm>
                            <a:off x="179512" y="529516"/>
                            <a:ext cx="1152128" cy="72008"/>
                          </a:xfrm>
                          <a:prstGeom prst="rect">
                            <a:avLst/>
                          </a:prstGeom>
                          <a:solidFill>
                            <a:schemeClr val="bg1"/>
                          </a:solidFill>
                          <a:ln>
                            <a:solidFill>
                              <a:srgbClr val="9C1D08"/>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04" name="TextBox 203"/>
                          <a:cNvSpPr txBox="1"/>
                        </a:nvSpPr>
                        <a:spPr>
                          <a:xfrm>
                            <a:off x="179512" y="673532"/>
                            <a:ext cx="1438214" cy="523220"/>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 5</a:t>
                              </a:r>
                              <a:r>
                                <a:rPr lang="en-GB" sz="1400" dirty="0"/>
                                <a:t> µl </a:t>
                              </a:r>
                              <a:r>
                                <a:rPr lang="en-GB" sz="1400" dirty="0" smtClean="0"/>
                                <a:t>10% serum</a:t>
                              </a:r>
                            </a:p>
                            <a:p>
                              <a:r>
                                <a:rPr lang="en-GB" sz="1400" dirty="0" smtClean="0"/>
                                <a:t> medium</a:t>
                              </a:r>
                              <a:endParaRPr lang="en-GB" sz="1400" dirty="0"/>
                            </a:p>
                          </a:txBody>
                          <a:useSpRect/>
                        </a:txSp>
                      </a:sp>
                      <a:sp>
                        <a:nvSpPr>
                          <a:cNvPr id="205" name="TextBox 204"/>
                          <a:cNvSpPr txBox="1"/>
                        </a:nvSpPr>
                        <a:spPr>
                          <a:xfrm>
                            <a:off x="1619672" y="3356992"/>
                            <a:ext cx="122413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1   2   3    4</a:t>
                              </a:r>
                              <a:endParaRPr lang="en-GB" dirty="0"/>
                            </a:p>
                          </a:txBody>
                          <a:useSpRect/>
                        </a:txSp>
                      </a:sp>
                      <a:sp>
                        <a:nvSpPr>
                          <a:cNvPr id="206" name="TextBox 205"/>
                          <a:cNvSpPr txBox="1"/>
                        </a:nvSpPr>
                        <a:spPr>
                          <a:xfrm>
                            <a:off x="2843808" y="3356992"/>
                            <a:ext cx="122413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5   6   7    8</a:t>
                              </a:r>
                              <a:endParaRPr lang="en-GB" dirty="0"/>
                            </a:p>
                          </a:txBody>
                          <a:useSpRect/>
                        </a:txSp>
                      </a:sp>
                      <a:sp>
                        <a:nvSpPr>
                          <a:cNvPr id="207" name="TextBox 206"/>
                          <a:cNvSpPr txBox="1"/>
                        </a:nvSpPr>
                        <a:spPr>
                          <a:xfrm>
                            <a:off x="3923928" y="3356992"/>
                            <a:ext cx="1296144"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9  10  11 12</a:t>
                              </a:r>
                              <a:endParaRPr lang="en-GB" dirty="0"/>
                            </a:p>
                          </a:txBody>
                          <a:useSpRect/>
                        </a:txSp>
                      </a:sp>
                      <a:sp>
                        <a:nvSpPr>
                          <a:cNvPr id="208" name="TextBox 207"/>
                          <a:cNvSpPr txBox="1"/>
                        </a:nvSpPr>
                        <a:spPr>
                          <a:xfrm>
                            <a:off x="5076056" y="3356992"/>
                            <a:ext cx="1296144"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13 14 15 16</a:t>
                              </a:r>
                            </a:p>
                            <a:p>
                              <a:endParaRPr lang="en-GB" dirty="0"/>
                            </a:p>
                          </a:txBody>
                          <a:useSpRect/>
                        </a:txSp>
                      </a:sp>
                      <a:sp>
                        <a:nvSpPr>
                          <a:cNvPr id="209" name="TextBox 208"/>
                          <a:cNvSpPr txBox="1"/>
                        </a:nvSpPr>
                        <a:spPr>
                          <a:xfrm>
                            <a:off x="6228184" y="3356992"/>
                            <a:ext cx="1296144"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17 18 19 20</a:t>
                              </a:r>
                            </a:p>
                            <a:p>
                              <a:endParaRPr lang="en-GB" dirty="0"/>
                            </a:p>
                          </a:txBody>
                          <a:useSpRect/>
                        </a:txSp>
                      </a:sp>
                      <a:sp>
                        <a:nvSpPr>
                          <a:cNvPr id="210" name="TextBox 209"/>
                          <a:cNvSpPr txBox="1"/>
                        </a:nvSpPr>
                        <a:spPr>
                          <a:xfrm>
                            <a:off x="7380312" y="3356992"/>
                            <a:ext cx="1279517"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21 22 23 24</a:t>
                              </a:r>
                              <a:endParaRPr lang="en-GB" dirty="0"/>
                            </a:p>
                          </a:txBody>
                          <a:useSpRect/>
                        </a:txSp>
                      </a:sp>
                    </a:grpSp>
                    <a:sp>
                      <a:nvSpPr>
                        <a:cNvPr id="212" name="TextBox 211"/>
                        <a:cNvSpPr txBox="1"/>
                      </a:nvSpPr>
                      <a:spPr>
                        <a:xfrm>
                          <a:off x="1763688" y="4437112"/>
                          <a:ext cx="1008112"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solidFill>
                                  <a:schemeClr val="bg1"/>
                                </a:solidFill>
                                <a:effectLst>
                                  <a:glow rad="101600">
                                    <a:schemeClr val="accent2">
                                      <a:satMod val="175000"/>
                                      <a:alpha val="40000"/>
                                    </a:schemeClr>
                                  </a:glow>
                                </a:effectLst>
                              </a:rPr>
                              <a:t>16,000 cells in 80 µl</a:t>
                            </a:r>
                            <a:endParaRPr lang="en-GB" dirty="0">
                              <a:solidFill>
                                <a:schemeClr val="bg1"/>
                              </a:solidFill>
                              <a:effectLst>
                                <a:glow rad="101600">
                                  <a:schemeClr val="accent2">
                                    <a:satMod val="175000"/>
                                    <a:alpha val="40000"/>
                                  </a:schemeClr>
                                </a:glow>
                              </a:effectLst>
                            </a:endParaRPr>
                          </a:p>
                        </a:txBody>
                        <a:useSpRect/>
                      </a:txSp>
                    </a:sp>
                    <a:sp>
                      <a:nvSpPr>
                        <a:cNvPr id="213" name="TextBox 212"/>
                        <a:cNvSpPr txBox="1"/>
                      </a:nvSpPr>
                      <a:spPr>
                        <a:xfrm>
                          <a:off x="2987824" y="4437112"/>
                          <a:ext cx="1008112"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solidFill>
                                  <a:schemeClr val="bg1"/>
                                </a:solidFill>
                                <a:effectLst>
                                  <a:glow rad="139700">
                                    <a:schemeClr val="accent2">
                                      <a:satMod val="175000"/>
                                      <a:alpha val="40000"/>
                                    </a:schemeClr>
                                  </a:glow>
                                </a:effectLst>
                              </a:rPr>
                              <a:t>8,000 cells in 80 µl</a:t>
                            </a:r>
                            <a:endParaRPr lang="en-GB" dirty="0">
                              <a:solidFill>
                                <a:schemeClr val="bg1"/>
                              </a:solidFill>
                              <a:effectLst>
                                <a:glow rad="139700">
                                  <a:schemeClr val="accent2">
                                    <a:satMod val="175000"/>
                                    <a:alpha val="40000"/>
                                  </a:schemeClr>
                                </a:glow>
                              </a:effectLst>
                            </a:endParaRPr>
                          </a:p>
                        </a:txBody>
                        <a:useSpRect/>
                      </a:txSp>
                    </a:sp>
                    <a:sp>
                      <a:nvSpPr>
                        <a:cNvPr id="214" name="TextBox 213"/>
                        <a:cNvSpPr txBox="1"/>
                      </a:nvSpPr>
                      <a:spPr>
                        <a:xfrm>
                          <a:off x="4067944" y="4437112"/>
                          <a:ext cx="1008112"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solidFill>
                                  <a:schemeClr val="bg1"/>
                                </a:solidFill>
                                <a:effectLst>
                                  <a:glow rad="139700">
                                    <a:schemeClr val="accent2">
                                      <a:satMod val="175000"/>
                                      <a:alpha val="40000"/>
                                    </a:schemeClr>
                                  </a:glow>
                                </a:effectLst>
                              </a:rPr>
                              <a:t>4,000 cells in 80 µl</a:t>
                            </a:r>
                            <a:endParaRPr lang="en-GB" dirty="0">
                              <a:solidFill>
                                <a:schemeClr val="bg1"/>
                              </a:solidFill>
                              <a:effectLst>
                                <a:glow rad="139700">
                                  <a:schemeClr val="accent2">
                                    <a:satMod val="175000"/>
                                    <a:alpha val="40000"/>
                                  </a:schemeClr>
                                </a:glow>
                              </a:effectLst>
                            </a:endParaRPr>
                          </a:p>
                        </a:txBody>
                        <a:useSpRect/>
                      </a:txSp>
                    </a:sp>
                    <a:sp>
                      <a:nvSpPr>
                        <a:cNvPr id="215" name="TextBox 214"/>
                        <a:cNvSpPr txBox="1"/>
                      </a:nvSpPr>
                      <a:spPr>
                        <a:xfrm>
                          <a:off x="5220072" y="4437112"/>
                          <a:ext cx="1008112"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solidFill>
                                  <a:schemeClr val="bg1"/>
                                </a:solidFill>
                                <a:effectLst>
                                  <a:glow rad="139700">
                                    <a:schemeClr val="accent2">
                                      <a:satMod val="175000"/>
                                      <a:alpha val="40000"/>
                                    </a:schemeClr>
                                  </a:glow>
                                </a:effectLst>
                              </a:rPr>
                              <a:t>2,000 cells in 80 µl</a:t>
                            </a:r>
                            <a:endParaRPr lang="en-GB" dirty="0">
                              <a:solidFill>
                                <a:schemeClr val="bg1"/>
                              </a:solidFill>
                              <a:effectLst>
                                <a:glow rad="139700">
                                  <a:schemeClr val="accent2">
                                    <a:satMod val="175000"/>
                                    <a:alpha val="40000"/>
                                  </a:schemeClr>
                                </a:glow>
                              </a:effectLst>
                            </a:endParaRPr>
                          </a:p>
                        </a:txBody>
                        <a:useSpRect/>
                      </a:txSp>
                    </a:sp>
                    <a:sp>
                      <a:nvSpPr>
                        <a:cNvPr id="216" name="TextBox 215"/>
                        <a:cNvSpPr txBox="1"/>
                      </a:nvSpPr>
                      <a:spPr>
                        <a:xfrm>
                          <a:off x="6372200" y="4437112"/>
                          <a:ext cx="1008112"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solidFill>
                                  <a:schemeClr val="bg1"/>
                                </a:solidFill>
                                <a:effectLst>
                                  <a:glow rad="228600">
                                    <a:schemeClr val="accent2">
                                      <a:satMod val="175000"/>
                                      <a:alpha val="40000"/>
                                    </a:schemeClr>
                                  </a:glow>
                                </a:effectLst>
                              </a:rPr>
                              <a:t>1,000 cells in 80 µl</a:t>
                            </a:r>
                            <a:endParaRPr lang="en-GB" dirty="0">
                              <a:solidFill>
                                <a:schemeClr val="bg1"/>
                              </a:solidFill>
                              <a:effectLst>
                                <a:glow rad="228600">
                                  <a:schemeClr val="accent2">
                                    <a:satMod val="175000"/>
                                    <a:alpha val="40000"/>
                                  </a:schemeClr>
                                </a:glow>
                              </a:effectLst>
                            </a:endParaRPr>
                          </a:p>
                        </a:txBody>
                        <a:useSpRect/>
                      </a:txSp>
                    </a:sp>
                    <a:sp>
                      <a:nvSpPr>
                        <a:cNvPr id="217" name="TextBox 216"/>
                        <a:cNvSpPr txBox="1"/>
                      </a:nvSpPr>
                      <a:spPr>
                        <a:xfrm>
                          <a:off x="7452320" y="4437112"/>
                          <a:ext cx="108012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80</a:t>
                            </a:r>
                            <a:r>
                              <a:rPr lang="en-GB" dirty="0"/>
                              <a:t> µl </a:t>
                            </a:r>
                            <a:r>
                              <a:rPr lang="en-GB" dirty="0" smtClean="0"/>
                              <a:t>medium</a:t>
                            </a:r>
                            <a:endParaRPr lang="en-GB" dirty="0"/>
                          </a:p>
                        </a:txBody>
                        <a:useSpRect/>
                      </a:txSp>
                    </a:sp>
                    <a:sp>
                      <a:nvSpPr>
                        <a:cNvPr id="218" name="Rectangle 217"/>
                        <a:cNvSpPr/>
                      </a:nvSpPr>
                      <a:spPr>
                        <a:xfrm>
                          <a:off x="179512" y="2348880"/>
                          <a:ext cx="1152128" cy="288032"/>
                        </a:xfrm>
                        <a:prstGeom prst="rect">
                          <a:avLst/>
                        </a:prstGeom>
                        <a:solidFill>
                          <a:srgbClr val="9C1D08"/>
                        </a:solidFill>
                        <a:ln>
                          <a:solidFill>
                            <a:srgbClr val="9C1D08"/>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9" name="TextBox 218"/>
                        <a:cNvSpPr txBox="1"/>
                      </a:nvSpPr>
                      <a:spPr>
                        <a:xfrm>
                          <a:off x="179512" y="2780928"/>
                          <a:ext cx="1296144"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200,000 cells.ml</a:t>
                            </a:r>
                            <a:r>
                              <a:rPr lang="en-GB" baseline="30000" dirty="0" smtClean="0"/>
                              <a:t>-1</a:t>
                            </a:r>
                            <a:r>
                              <a:rPr lang="en-GB" dirty="0" smtClean="0"/>
                              <a:t> stock</a:t>
                            </a:r>
                            <a:endParaRPr lang="en-GB" dirty="0"/>
                          </a:p>
                        </a:txBody>
                        <a:useSpRect/>
                      </a:txSp>
                    </a:sp>
                    <a:sp>
                      <a:nvSpPr>
                        <a:cNvPr id="221" name="Rectangle 220"/>
                        <a:cNvSpPr/>
                      </a:nvSpPr>
                      <a:spPr>
                        <a:xfrm>
                          <a:off x="2843808" y="2924944"/>
                          <a:ext cx="1152128" cy="144016"/>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2" name="Rectangle 221"/>
                        <a:cNvSpPr/>
                      </a:nvSpPr>
                      <a:spPr>
                        <a:xfrm>
                          <a:off x="1691680" y="2924944"/>
                          <a:ext cx="1152128" cy="144016"/>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3" name="Rectangle 222"/>
                        <a:cNvSpPr/>
                      </a:nvSpPr>
                      <a:spPr>
                        <a:xfrm>
                          <a:off x="1691680" y="2636912"/>
                          <a:ext cx="1152128" cy="288032"/>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4" name="Rectangle 223"/>
                        <a:cNvSpPr/>
                      </a:nvSpPr>
                      <a:spPr>
                        <a:xfrm>
                          <a:off x="3995936" y="2060848"/>
                          <a:ext cx="1152128" cy="576064"/>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5" name="Rectangle 224"/>
                        <a:cNvSpPr/>
                      </a:nvSpPr>
                      <a:spPr>
                        <a:xfrm>
                          <a:off x="5148064" y="2060848"/>
                          <a:ext cx="1152128" cy="576064"/>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6" name="Rectangle 225"/>
                        <a:cNvSpPr/>
                      </a:nvSpPr>
                      <a:spPr>
                        <a:xfrm>
                          <a:off x="6300192" y="2060848"/>
                          <a:ext cx="1152128" cy="576064"/>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7" name="Rectangle 226"/>
                        <a:cNvSpPr/>
                      </a:nvSpPr>
                      <a:spPr>
                        <a:xfrm>
                          <a:off x="7452320" y="2060848"/>
                          <a:ext cx="1152128" cy="576064"/>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8" name="Rectangle 227"/>
                        <a:cNvSpPr/>
                      </a:nvSpPr>
                      <a:spPr>
                        <a:xfrm>
                          <a:off x="3995936" y="2636912"/>
                          <a:ext cx="1152128"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29" name="Rectangle 228"/>
                        <a:cNvSpPr/>
                      </a:nvSpPr>
                      <a:spPr>
                        <a:xfrm>
                          <a:off x="7452320" y="2636912"/>
                          <a:ext cx="1152128"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30" name="Rectangle 229"/>
                        <a:cNvSpPr/>
                      </a:nvSpPr>
                      <a:spPr>
                        <a:xfrm>
                          <a:off x="6300192" y="2924944"/>
                          <a:ext cx="1152128" cy="144016"/>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31" name="Rectangle 230"/>
                        <a:cNvSpPr/>
                      </a:nvSpPr>
                      <a:spPr>
                        <a:xfrm>
                          <a:off x="7452320" y="2924944"/>
                          <a:ext cx="1152128" cy="144016"/>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32" name="Rectangle 231"/>
                        <a:cNvSpPr/>
                      </a:nvSpPr>
                      <a:spPr>
                        <a:xfrm>
                          <a:off x="6300192" y="2636912"/>
                          <a:ext cx="1152128"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r w:rsidRPr="0013327C">
        <w:rPr>
          <w:rFonts w:asciiTheme="majorHAnsi" w:hAnsiTheme="majorHAnsi"/>
          <w:b/>
        </w:rPr>
        <w:t xml:space="preserve"> </w:t>
      </w:r>
      <w:proofErr w:type="gramStart"/>
      <w:r w:rsidRPr="0013327C">
        <w:rPr>
          <w:rFonts w:asciiTheme="majorHAnsi" w:hAnsiTheme="majorHAnsi"/>
          <w:b/>
        </w:rPr>
        <w:t>Figure 3.</w:t>
      </w:r>
      <w:r w:rsidR="00D01B46" w:rsidRPr="0013327C">
        <w:rPr>
          <w:rFonts w:asciiTheme="majorHAnsi" w:hAnsiTheme="majorHAnsi"/>
          <w:b/>
        </w:rPr>
        <w:t>1</w:t>
      </w:r>
      <w:r w:rsidR="00D64FA4">
        <w:rPr>
          <w:rFonts w:asciiTheme="majorHAnsi" w:hAnsiTheme="majorHAnsi"/>
          <w:b/>
        </w:rPr>
        <w:t>2</w:t>
      </w:r>
      <w:r w:rsidRPr="0013327C">
        <w:rPr>
          <w:rFonts w:asciiTheme="majorHAnsi" w:hAnsiTheme="majorHAnsi"/>
          <w:b/>
        </w:rPr>
        <w:t>.</w:t>
      </w:r>
      <w:proofErr w:type="gramEnd"/>
      <w:r w:rsidRPr="0013327C">
        <w:rPr>
          <w:rFonts w:asciiTheme="majorHAnsi" w:hAnsiTheme="majorHAnsi"/>
          <w:b/>
        </w:rPr>
        <w:t xml:space="preserve"> </w:t>
      </w:r>
      <w:r w:rsidRPr="00B34F43">
        <w:rPr>
          <w:rFonts w:asciiTheme="majorHAnsi" w:hAnsiTheme="majorHAnsi"/>
          <w:b/>
        </w:rPr>
        <w:t>A schematic diagram showing how each seeding density was achieved</w:t>
      </w:r>
      <w:r w:rsidRPr="0013327C">
        <w:rPr>
          <w:rFonts w:asciiTheme="majorHAnsi" w:hAnsiTheme="majorHAnsi"/>
        </w:rPr>
        <w:t xml:space="preserve">. Serial dilutions were produced by halving the volume of 10%-serum medium containing S2R+ cells at a density </w:t>
      </w:r>
      <w:proofErr w:type="gramStart"/>
      <w:r w:rsidRPr="0013327C">
        <w:rPr>
          <w:rFonts w:asciiTheme="majorHAnsi" w:hAnsiTheme="majorHAnsi"/>
        </w:rPr>
        <w:t>of 200,000 cells.ml</w:t>
      </w:r>
      <w:r w:rsidRPr="0013327C">
        <w:rPr>
          <w:rFonts w:asciiTheme="majorHAnsi" w:hAnsiTheme="majorHAnsi"/>
          <w:vertAlign w:val="superscript"/>
        </w:rPr>
        <w:t>-1</w:t>
      </w:r>
      <w:r w:rsidRPr="0013327C">
        <w:rPr>
          <w:rFonts w:asciiTheme="majorHAnsi" w:hAnsiTheme="majorHAnsi"/>
        </w:rPr>
        <w:t xml:space="preserve"> from 80µl down to 5µl</w:t>
      </w:r>
      <w:proofErr w:type="gramEnd"/>
      <w:r w:rsidRPr="0013327C">
        <w:rPr>
          <w:rFonts w:asciiTheme="majorHAnsi" w:hAnsiTheme="majorHAnsi"/>
        </w:rPr>
        <w:t>. The wells were each made up to 80µl using cell-free 10%-serum medium. Each treatment was applied to 4 columns (64 wells) of the plate. One treatment contained no cells as a negative control.</w:t>
      </w:r>
    </w:p>
    <w:p w:rsidR="00597427" w:rsidRDefault="00597427" w:rsidP="00AE0264">
      <w:pPr>
        <w:jc w:val="both"/>
        <w:rPr>
          <w:rFonts w:asciiTheme="majorHAnsi" w:hAnsiTheme="majorHAnsi"/>
        </w:rPr>
      </w:pPr>
      <w:r w:rsidRPr="0013327C">
        <w:rPr>
          <w:rFonts w:asciiTheme="majorHAnsi" w:hAnsiTheme="majorHAnsi"/>
        </w:rPr>
        <w:t>After 5 days of incubation and a 24hr induction with 100µM CuSO</w:t>
      </w:r>
      <w:r w:rsidRPr="0013327C">
        <w:rPr>
          <w:rFonts w:asciiTheme="majorHAnsi" w:hAnsiTheme="majorHAnsi"/>
          <w:vertAlign w:val="subscript"/>
        </w:rPr>
        <w:t>4</w:t>
      </w:r>
      <w:r w:rsidRPr="0013327C">
        <w:rPr>
          <w:rFonts w:asciiTheme="majorHAnsi" w:hAnsiTheme="majorHAnsi"/>
        </w:rPr>
        <w:t xml:space="preserve"> the cells were fixed with 3.6% formaldehyde and simultaneously nuclei were stained with Hoechst 33342 (Invitrogen - emission maximum of 461nm) and visualised on the Varioscan microscope (Molecular Devices). This is an automated microscope specifically designed for imaging of microtitre plates. All images shown in the rest of this chapter were taken with this microscope. This epifluorescence microscope contains multiple wavelength fluorescence </w:t>
      </w:r>
      <w:proofErr w:type="gramStart"/>
      <w:r w:rsidRPr="0013327C">
        <w:rPr>
          <w:rFonts w:asciiTheme="majorHAnsi" w:hAnsiTheme="majorHAnsi"/>
        </w:rPr>
        <w:t>channels,</w:t>
      </w:r>
      <w:proofErr w:type="gramEnd"/>
      <w:r w:rsidRPr="0013327C">
        <w:rPr>
          <w:rFonts w:asciiTheme="majorHAnsi" w:hAnsiTheme="majorHAnsi"/>
        </w:rPr>
        <w:t xml:space="preserve"> the two relevant for this study are “DAPI” and “GFP” which detect 447-60nm and 520-35nm wavelengths respectively. These two channels are also suitable for the detection for the Hoechst and eGFP channels respectively. In the wells with the two highest densities, cells had overgrown to the point of forming clusters of cells that grew above the plane of focus that visualised the majority of the cells. In the DAPI channel this created blurred regions that greatly reduced the contrast between the nuclei that were in focus and the immediately </w:t>
      </w:r>
      <w:r w:rsidRPr="0013327C">
        <w:rPr>
          <w:rFonts w:asciiTheme="majorHAnsi" w:hAnsiTheme="majorHAnsi"/>
        </w:rPr>
        <w:lastRenderedPageBreak/>
        <w:t>surrounding space. In the FITC channel the light from the fluorescent peroxisomal marker in the cells that were out of focus was diffracted through the cells that were in focus (the microscope is inverted). This would have been interpreted as cytosolic GFP by the analysis software though visually it clearly isn’t a KD phenotype. The seeding densities of these two treatments (16,000 and 8,000 cells.well</w:t>
      </w:r>
      <w:r w:rsidRPr="0013327C">
        <w:rPr>
          <w:rFonts w:asciiTheme="majorHAnsi" w:hAnsiTheme="majorHAnsi"/>
          <w:vertAlign w:val="superscript"/>
        </w:rPr>
        <w:t>-1</w:t>
      </w:r>
      <w:r w:rsidRPr="0013327C">
        <w:rPr>
          <w:rFonts w:asciiTheme="majorHAnsi" w:hAnsiTheme="majorHAnsi"/>
        </w:rPr>
        <w:t xml:space="preserve">) were deemed too high. The next highest treatment </w:t>
      </w:r>
      <w:proofErr w:type="gramStart"/>
      <w:r w:rsidRPr="0013327C">
        <w:rPr>
          <w:rFonts w:asciiTheme="majorHAnsi" w:hAnsiTheme="majorHAnsi"/>
        </w:rPr>
        <w:t>(4,000 cells.well</w:t>
      </w:r>
      <w:r w:rsidRPr="0013327C">
        <w:rPr>
          <w:rFonts w:asciiTheme="majorHAnsi" w:hAnsiTheme="majorHAnsi"/>
          <w:vertAlign w:val="superscript"/>
        </w:rPr>
        <w:t>-1</w:t>
      </w:r>
      <w:r w:rsidRPr="0013327C">
        <w:rPr>
          <w:rFonts w:asciiTheme="majorHAnsi" w:hAnsiTheme="majorHAnsi"/>
        </w:rPr>
        <w:t>)</w:t>
      </w:r>
      <w:proofErr w:type="gramEnd"/>
      <w:r w:rsidRPr="0013327C">
        <w:rPr>
          <w:rFonts w:asciiTheme="majorHAnsi" w:hAnsiTheme="majorHAnsi"/>
        </w:rPr>
        <w:t xml:space="preserve"> achieved a near-confluent and very even distribution of cells, with only very small areas affected by low confluence or overgrowth. The images produced from these wells had cells almost all of which had nuclei in focus and transfected cells, the majority of whose peroxisomes were also in focus. This was deemed to be the optimum seeding density as it did not need any improvement and the lower seeding densities, while in focus, simply lowered the number of visible cells in the image and which would reduce the statistical value of any measurements made by the analysis software.</w:t>
      </w:r>
    </w:p>
    <w:p w:rsidR="001D7B15" w:rsidRDefault="001D7B15" w:rsidP="00AE0264">
      <w:pPr>
        <w:jc w:val="both"/>
        <w:rPr>
          <w:rFonts w:asciiTheme="majorHAnsi" w:hAnsiTheme="majorHAnsi"/>
        </w:rPr>
      </w:pPr>
    </w:p>
    <w:p w:rsidR="001D7B15" w:rsidRDefault="001D7B15" w:rsidP="00AE0264">
      <w:pPr>
        <w:jc w:val="both"/>
        <w:rPr>
          <w:rFonts w:asciiTheme="majorHAnsi" w:hAnsiTheme="majorHAnsi"/>
        </w:rPr>
      </w:pPr>
    </w:p>
    <w:p w:rsidR="001D7B15" w:rsidRDefault="001D7B15" w:rsidP="00AE0264">
      <w:pPr>
        <w:jc w:val="both"/>
        <w:rPr>
          <w:rFonts w:asciiTheme="majorHAnsi" w:hAnsiTheme="majorHAnsi"/>
        </w:rPr>
      </w:pPr>
    </w:p>
    <w:p w:rsidR="001D7B15" w:rsidRDefault="001D7B15" w:rsidP="00AE0264">
      <w:pPr>
        <w:jc w:val="both"/>
        <w:rPr>
          <w:rFonts w:asciiTheme="majorHAnsi" w:hAnsiTheme="majorHAnsi"/>
        </w:rPr>
      </w:pPr>
    </w:p>
    <w:p w:rsidR="001D7B15" w:rsidRPr="0013327C" w:rsidRDefault="001D7B15" w:rsidP="00AE0264">
      <w:pPr>
        <w:jc w:val="both"/>
        <w:rPr>
          <w:rFonts w:asciiTheme="majorHAnsi" w:hAnsiTheme="majorHAnsi"/>
        </w:rPr>
      </w:pPr>
    </w:p>
    <w:p w:rsidR="00597427" w:rsidRPr="0013327C" w:rsidRDefault="00597427" w:rsidP="00AE0264">
      <w:pPr>
        <w:jc w:val="both"/>
        <w:rPr>
          <w:rFonts w:asciiTheme="majorHAnsi" w:hAnsiTheme="majorHAnsi"/>
        </w:rPr>
      </w:pPr>
      <w:r w:rsidRPr="0013327C">
        <w:rPr>
          <w:rFonts w:asciiTheme="majorHAnsi" w:hAnsiTheme="majorHAnsi"/>
          <w:b/>
          <w:noProof/>
          <w:lang w:eastAsia="en-GB"/>
        </w:rPr>
        <w:lastRenderedPageBreak/>
        <w:drawing>
          <wp:inline distT="0" distB="0" distL="0" distR="0">
            <wp:extent cx="5457825" cy="3801926"/>
            <wp:effectExtent l="0" t="0" r="9525" b="0"/>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srcRect/>
                    <a:stretch>
                      <a:fillRect/>
                    </a:stretch>
                  </pic:blipFill>
                  <pic:spPr bwMode="auto">
                    <a:xfrm>
                      <a:off x="0" y="0"/>
                      <a:ext cx="5461339" cy="3804374"/>
                    </a:xfrm>
                    <a:prstGeom prst="rect">
                      <a:avLst/>
                    </a:prstGeom>
                    <a:noFill/>
                  </pic:spPr>
                </pic:pic>
              </a:graphicData>
            </a:graphic>
          </wp:inline>
        </w:drawing>
      </w:r>
      <w:proofErr w:type="gramStart"/>
      <w:r w:rsidR="0021227B" w:rsidRPr="0013327C">
        <w:rPr>
          <w:rFonts w:asciiTheme="majorHAnsi" w:hAnsiTheme="majorHAnsi"/>
          <w:b/>
        </w:rPr>
        <w:t>Figure 3.1</w:t>
      </w:r>
      <w:r w:rsidR="001D7B15">
        <w:rPr>
          <w:rFonts w:asciiTheme="majorHAnsi" w:hAnsiTheme="majorHAnsi"/>
          <w:b/>
        </w:rPr>
        <w:t>3</w:t>
      </w:r>
      <w:r w:rsidRPr="0013327C">
        <w:rPr>
          <w:rFonts w:asciiTheme="majorHAnsi" w:hAnsiTheme="majorHAnsi"/>
          <w:b/>
        </w:rPr>
        <w:t>.</w:t>
      </w:r>
      <w:proofErr w:type="gramEnd"/>
      <w:r w:rsidRPr="0013327C">
        <w:rPr>
          <w:rFonts w:asciiTheme="majorHAnsi" w:hAnsiTheme="majorHAnsi"/>
          <w:b/>
        </w:rPr>
        <w:t xml:space="preserve"> </w:t>
      </w:r>
      <w:proofErr w:type="gramStart"/>
      <w:r w:rsidRPr="0013327C">
        <w:rPr>
          <w:rFonts w:asciiTheme="majorHAnsi" w:hAnsiTheme="majorHAnsi"/>
          <w:b/>
        </w:rPr>
        <w:t>Optimisation of cell-seeding density.</w:t>
      </w:r>
      <w:proofErr w:type="gramEnd"/>
      <w:r w:rsidRPr="0013327C">
        <w:rPr>
          <w:rFonts w:asciiTheme="majorHAnsi" w:hAnsiTheme="majorHAnsi"/>
          <w:b/>
        </w:rPr>
        <w:t xml:space="preserve"> </w:t>
      </w:r>
      <w:r w:rsidRPr="0013327C">
        <w:rPr>
          <w:rFonts w:asciiTheme="majorHAnsi" w:hAnsiTheme="majorHAnsi"/>
        </w:rPr>
        <w:t xml:space="preserve"> Fluorescence microscopy analysis of fixed S2R+ cells transiently transfected with pMt-eGFP-PTS1 and with nuclei stained with Hoechst. The top two images are of the same site in a well containing overgrown cells seeded </w:t>
      </w:r>
      <w:proofErr w:type="gramStart"/>
      <w:r w:rsidRPr="0013327C">
        <w:rPr>
          <w:rFonts w:asciiTheme="majorHAnsi" w:hAnsiTheme="majorHAnsi"/>
        </w:rPr>
        <w:t>with 8,000 cell.well</w:t>
      </w:r>
      <w:r w:rsidRPr="0013327C">
        <w:rPr>
          <w:rFonts w:asciiTheme="majorHAnsi" w:hAnsiTheme="majorHAnsi"/>
          <w:vertAlign w:val="superscript"/>
        </w:rPr>
        <w:t>-1</w:t>
      </w:r>
      <w:proofErr w:type="gramEnd"/>
      <w:r w:rsidRPr="0013327C">
        <w:rPr>
          <w:rFonts w:asciiTheme="majorHAnsi" w:hAnsiTheme="majorHAnsi"/>
        </w:rPr>
        <w:t xml:space="preserve">. The bottom two images are from a site containing cells at near-confluence, seeded </w:t>
      </w:r>
      <w:proofErr w:type="gramStart"/>
      <w:r w:rsidRPr="0013327C">
        <w:rPr>
          <w:rFonts w:asciiTheme="majorHAnsi" w:hAnsiTheme="majorHAnsi"/>
        </w:rPr>
        <w:t>with 4,000 cells.well</w:t>
      </w:r>
      <w:r w:rsidRPr="0013327C">
        <w:rPr>
          <w:rFonts w:asciiTheme="majorHAnsi" w:hAnsiTheme="majorHAnsi"/>
          <w:vertAlign w:val="superscript"/>
        </w:rPr>
        <w:t>-1</w:t>
      </w:r>
      <w:proofErr w:type="gramEnd"/>
      <w:r w:rsidRPr="0013327C">
        <w:rPr>
          <w:rFonts w:asciiTheme="majorHAnsi" w:hAnsiTheme="majorHAnsi"/>
        </w:rPr>
        <w:t>. The overgrown cells cause peroxisomes not in the focal plane to appear diffuse as their light is refracted through the cells on the growth surface.  Nuclei are poorly contrasted. On the bottom row cells in the focal plane have punctate peroxisomes and distinct nuclei.</w:t>
      </w:r>
    </w:p>
    <w:p w:rsidR="00597427" w:rsidRPr="0013327C" w:rsidRDefault="00597427" w:rsidP="00AE0264">
      <w:pPr>
        <w:pStyle w:val="Heading2"/>
        <w:jc w:val="both"/>
      </w:pPr>
      <w:bookmarkStart w:id="94" w:name="_Toc348423346"/>
      <w:r w:rsidRPr="0013327C">
        <w:t>Cell-fixing protocols for a 384-well plate</w:t>
      </w:r>
      <w:bookmarkEnd w:id="94"/>
    </w:p>
    <w:p w:rsidR="00597427" w:rsidRPr="0013327C" w:rsidRDefault="00597427" w:rsidP="00AE0264">
      <w:pPr>
        <w:jc w:val="both"/>
        <w:rPr>
          <w:rFonts w:asciiTheme="majorHAnsi" w:hAnsiTheme="majorHAnsi"/>
        </w:rPr>
      </w:pPr>
      <w:r w:rsidRPr="0013327C">
        <w:rPr>
          <w:rFonts w:asciiTheme="majorHAnsi" w:hAnsiTheme="majorHAnsi"/>
        </w:rPr>
        <w:t xml:space="preserve">Concurrent to the cell-seeding testing was development of the plate fixing protocol. The possibility of imaging the plates without fixation was considered but immediately rejected as it takes over 2 hours to image a 384-well microtitre plate. Since 53 plates require imaging </w:t>
      </w:r>
      <w:r w:rsidR="00B34F43" w:rsidRPr="0013327C">
        <w:rPr>
          <w:rFonts w:asciiTheme="majorHAnsi" w:hAnsiTheme="majorHAnsi"/>
        </w:rPr>
        <w:t>this</w:t>
      </w:r>
      <w:r w:rsidRPr="0013327C">
        <w:rPr>
          <w:rFonts w:asciiTheme="majorHAnsi" w:hAnsiTheme="majorHAnsi"/>
        </w:rPr>
        <w:t xml:space="preserve"> would mean that there is a 5-day difference between imaging of the first plate and the last plate. During this time certain KD phenotypes may become more severe for some genes whereas others may lose their KD phenotype. A direct comparison of the whole dataset would no longer be possible.  In previous luminometry screens cells had growth media removed using the “ELx405 Select CW” aspirator (BioTek) which removed the vast majority of the media leaving only 10µl </w:t>
      </w:r>
      <w:r w:rsidRPr="0013327C">
        <w:rPr>
          <w:rFonts w:asciiTheme="majorHAnsi" w:hAnsiTheme="majorHAnsi"/>
        </w:rPr>
        <w:lastRenderedPageBreak/>
        <w:t>remaining in each well. Luminometry reagents were then added to all the wells using the Thermo Multidrop immediately prior to luminometry.</w:t>
      </w:r>
    </w:p>
    <w:p w:rsidR="00597427" w:rsidRPr="0013327C" w:rsidRDefault="00597427" w:rsidP="00AE0264">
      <w:pPr>
        <w:jc w:val="both"/>
        <w:rPr>
          <w:rFonts w:asciiTheme="majorHAnsi" w:hAnsiTheme="majorHAnsi"/>
        </w:rPr>
      </w:pPr>
      <w:r w:rsidRPr="0013327C">
        <w:rPr>
          <w:rFonts w:asciiTheme="majorHAnsi" w:hAnsiTheme="majorHAnsi"/>
        </w:rPr>
        <w:t xml:space="preserve">This method was initially used for the removal of induction growth medium and the addition of cell fixative. However the addition of the 3.6% formaldehyde solution as fixative through the Multidrop caused the removal of the S2R+ cells from the growth surface as the fixative solution was jettisoned at high-pressure. The newly suspended cells were removed from the wells in subsequent aspiration steps and the wells could not be used for imaging. </w:t>
      </w:r>
    </w:p>
    <w:p w:rsidR="00597427" w:rsidRPr="0013327C" w:rsidRDefault="00597427" w:rsidP="00AE0264">
      <w:pPr>
        <w:jc w:val="both"/>
        <w:rPr>
          <w:rFonts w:asciiTheme="majorHAnsi" w:hAnsiTheme="majorHAnsi"/>
        </w:rPr>
      </w:pPr>
      <w:r w:rsidRPr="0013327C">
        <w:rPr>
          <w:rFonts w:asciiTheme="majorHAnsi" w:hAnsiTheme="majorHAnsi"/>
        </w:rPr>
        <w:t>The solution to this problem was to use the aspirator for both aspiration and fixative addition. The aspirator has an integrated liquid dispensing system that is able to administer controlled volumes, crucially at low velocity. The system dispenses liquid at an angle down the inside of the well to minimise the pressure of it as it reaches the growth surface and thus minimise the washing of cells from it. As S2R+ cells do not adhere well to the growth surface it was deemed necessary to leave an extra 10µl of volume in the well, in case the aspiration was hav</w:t>
      </w:r>
      <w:r w:rsidR="00B34F43">
        <w:rPr>
          <w:rFonts w:asciiTheme="majorHAnsi" w:hAnsiTheme="majorHAnsi"/>
        </w:rPr>
        <w:t>ing an effect on removing cells</w:t>
      </w:r>
      <w:r w:rsidRPr="0013327C">
        <w:rPr>
          <w:rFonts w:asciiTheme="majorHAnsi" w:hAnsiTheme="majorHAnsi"/>
        </w:rPr>
        <w:t xml:space="preserve"> (see Methods Ch.</w:t>
      </w:r>
      <w:r w:rsidR="00C3380A" w:rsidRPr="0013327C">
        <w:rPr>
          <w:rFonts w:asciiTheme="majorHAnsi" w:hAnsiTheme="majorHAnsi"/>
        </w:rPr>
        <w:t>2.7.9</w:t>
      </w:r>
      <w:r w:rsidRPr="0013327C">
        <w:rPr>
          <w:rFonts w:asciiTheme="majorHAnsi" w:hAnsiTheme="majorHAnsi"/>
        </w:rPr>
        <w:t>).</w:t>
      </w:r>
    </w:p>
    <w:p w:rsidR="00597427" w:rsidRPr="0013327C" w:rsidRDefault="00597427" w:rsidP="00AE0264">
      <w:pPr>
        <w:pStyle w:val="Heading2"/>
        <w:jc w:val="both"/>
      </w:pPr>
      <w:bookmarkStart w:id="95" w:name="_Toc348423347"/>
      <w:r w:rsidRPr="0013327C">
        <w:t>Nuclear staining</w:t>
      </w:r>
      <w:bookmarkEnd w:id="95"/>
    </w:p>
    <w:p w:rsidR="00597427" w:rsidRPr="0013327C" w:rsidRDefault="00597427" w:rsidP="00AE0264">
      <w:pPr>
        <w:jc w:val="both"/>
        <w:rPr>
          <w:rFonts w:asciiTheme="majorHAnsi" w:hAnsiTheme="majorHAnsi"/>
        </w:rPr>
      </w:pPr>
      <w:r w:rsidRPr="0013327C">
        <w:rPr>
          <w:rFonts w:asciiTheme="majorHAnsi" w:hAnsiTheme="majorHAnsi"/>
        </w:rPr>
        <w:t xml:space="preserve">The microscopic image analysis software settings all require that the nuclei be stained with either DAPI or Hoechst nuclear staining solution so that per-nucleus (cell average) parameters can be calculated for all measurements taken. Usually with nuclear staining in fluorescence microscopy assays of </w:t>
      </w:r>
      <w:r w:rsidRPr="0013327C">
        <w:rPr>
          <w:rFonts w:asciiTheme="majorHAnsi" w:hAnsiTheme="majorHAnsi"/>
          <w:i/>
        </w:rPr>
        <w:t>D. melanogaster</w:t>
      </w:r>
      <w:r w:rsidRPr="0013327C">
        <w:rPr>
          <w:rFonts w:asciiTheme="majorHAnsi" w:hAnsiTheme="majorHAnsi"/>
        </w:rPr>
        <w:t xml:space="preserve"> cells, the nuclear stain is dissolved in PBS and added to the cells after their fixation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"Kiger", "given" : "AA", "non-dropping-particle" : "", "parse-names" : false, "suffix" : "" }, { "dropping-particle" : "", "family" : "Baum", "given" : "B.", "non-dropping-particle" : "", "parse-names" : false, "suffix" : "" }, { "dropping-particle" : "", "family" : "Jones", "given" : "S", "non-dropping-particle" : "", "parse-names" : false, "suffix" : "" }, { "dropping-particle" : "", "family" : "Jones", "given" : "MR", "non-dropping-particle" : "", "parse-names" : false, "suffix" : "" }, { "dropping-particle" : "", "family" : "Coulson", "given" : "A", "non-dropping-particle" : "", "parse-names" : false, "suffix" : "" }, { "dropping-particle" : "", "family" : "Echeverri", "given" : "C", "non-dropping-particle" : "", "parse-names" : false, "suffix" : "" }, { "dropping-particle" : "", "family" : "Perrimon", "given" : "Norbert", "non-dropping-particle" : "", "parse-names" : false, "suffix" : "" } ], "container-title" : "Journal of Biology", "id" : "ITEM-1", "issue" : "4", "issued" : { "date-parts" : [ [ "2003" ] ] }, "page" : "27.1-15", "title" : "A functional genomic analysis of cell morphology using RNA interference", "type" : "article-journal", "volume" : "2" }, "uris" : [ "http://www.mendeley.com/documents/?uuid=e6c30664-43ce-449c-b876-3a77f5d494dc" ] } ], "mendeley" : { "previouslyFormattedCitation" : "(Kiger et al. 2003)"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(Kiger </w:t>
      </w:r>
      <w:r w:rsidR="00466108" w:rsidRPr="00466108">
        <w:rPr>
          <w:rFonts w:asciiTheme="majorHAnsi" w:hAnsiTheme="majorHAnsi"/>
          <w:i/>
          <w:noProof/>
        </w:rPr>
        <w:t>et al</w:t>
      </w:r>
      <w:r w:rsidRPr="0013327C">
        <w:rPr>
          <w:rFonts w:asciiTheme="majorHAnsi" w:hAnsiTheme="majorHAnsi"/>
          <w:noProof/>
        </w:rPr>
        <w:t>. 2003)</w:t>
      </w:r>
      <w:r w:rsidR="009A1FEC" w:rsidRPr="0013327C">
        <w:rPr>
          <w:rFonts w:asciiTheme="majorHAnsi" w:hAnsiTheme="majorHAnsi"/>
        </w:rPr>
        <w:fldChar w:fldCharType="end"/>
      </w:r>
      <w:r w:rsidRPr="0013327C">
        <w:rPr>
          <w:rFonts w:asciiTheme="majorHAnsi" w:hAnsiTheme="majorHAnsi"/>
        </w:rPr>
        <w:t xml:space="preserve">. Despite the success of the development of linking the aspiration and dispensation steps, it was still prudent to minimise the number of wash steps and thus reduce the risk of washing cells from the well. It was decided to test the efficacy of staining the cells with Hoechst 33343 at 1ng/ml in 3.6% formaldehyde, 1XPBS. Logistically it was easier to add the Hoechst dye to all the plates in the screen before washing them 3 times in 1X PBS. This meant that cell would be fixed and stained in formaldehyde and Hoechst simultaneously for 40-60 minutes. This is 4-6 times the recommended fixing duration and 8-10 times the recommended nuclear staining duration. This needed testing as to whether this alternative protocol would be suitable in allowing successful reporting of the assay. Not only were the fixing and staining protocols successfully executed but the WT and control phenotypes appeared not to be adversely affected by this treatment (not shown). </w:t>
      </w:r>
    </w:p>
    <w:p w:rsidR="00597427" w:rsidRPr="0013327C" w:rsidRDefault="00597427" w:rsidP="00AE0264">
      <w:pPr>
        <w:pStyle w:val="Heading2"/>
        <w:jc w:val="both"/>
      </w:pPr>
      <w:bookmarkStart w:id="96" w:name="_Toc348423348"/>
      <w:r w:rsidRPr="0013327C">
        <w:lastRenderedPageBreak/>
        <w:t>Microscope settings configuration</w:t>
      </w:r>
      <w:bookmarkEnd w:id="96"/>
    </w:p>
    <w:p w:rsidR="00597427" w:rsidRPr="0013327C" w:rsidRDefault="00597427" w:rsidP="00AE0264">
      <w:pPr>
        <w:jc w:val="both"/>
        <w:rPr>
          <w:rFonts w:asciiTheme="majorHAnsi" w:hAnsiTheme="majorHAnsi"/>
        </w:rPr>
      </w:pPr>
      <w:r w:rsidRPr="0013327C">
        <w:rPr>
          <w:rFonts w:asciiTheme="majorHAnsi" w:hAnsiTheme="majorHAnsi"/>
          <w:b/>
          <w:noProof/>
          <w:lang w:eastAsia="en-GB"/>
        </w:rPr>
        <w:drawing>
          <wp:inline distT="0" distB="0" distL="0" distR="0">
            <wp:extent cx="5731510" cy="1705369"/>
            <wp:effectExtent l="0" t="0" r="0" b="0"/>
            <wp:docPr id="80"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12968" cy="2592288"/>
                      <a:chOff x="215516" y="2132856"/>
                      <a:chExt cx="8712968" cy="2592288"/>
                    </a:xfrm>
                  </a:grpSpPr>
                  <a:grpSp>
                    <a:nvGrpSpPr>
                      <a:cNvPr id="4" name="Group 3"/>
                      <a:cNvGrpSpPr/>
                    </a:nvGrpSpPr>
                    <a:grpSpPr>
                      <a:xfrm>
                        <a:off x="215516" y="2132856"/>
                        <a:ext cx="8712968" cy="2592288"/>
                        <a:chOff x="251520" y="620688"/>
                        <a:chExt cx="8712968" cy="2592288"/>
                      </a:xfrm>
                    </a:grpSpPr>
                    <a:sp>
                      <a:nvSpPr>
                        <a:cNvPr id="5" name="TextBox 3"/>
                        <a:cNvSpPr txBox="1"/>
                      </a:nvSpPr>
                      <a:spPr>
                        <a:xfrm>
                          <a:off x="251520" y="620688"/>
                          <a:ext cx="1656184" cy="646331"/>
                        </a:xfrm>
                        <a:prstGeom prst="rect">
                          <a:avLst/>
                        </a:prstGeom>
                        <a:solidFill>
                          <a:srgbClr val="00B050"/>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effectLst/>
                              </a:rPr>
                              <a:t>Successful</a:t>
                            </a:r>
                          </a:p>
                          <a:p>
                            <a:pPr algn="ctr"/>
                            <a:r>
                              <a:rPr lang="en-GB" dirty="0" smtClean="0">
                                <a:effectLst/>
                              </a:rPr>
                              <a:t> KD assay </a:t>
                            </a:r>
                            <a:r>
                              <a:rPr lang="en-GB" dirty="0" smtClean="0">
                                <a:effectLst/>
                              </a:rPr>
                              <a:t>in</a:t>
                            </a:r>
                            <a:endParaRPr lang="en-GB" dirty="0">
                              <a:effectLst/>
                            </a:endParaRPr>
                          </a:p>
                        </a:txBody>
                        <a:useSpRect/>
                      </a:txSp>
                    </a:sp>
                    <a:sp>
                      <a:nvSpPr>
                        <a:cNvPr id="6" name="TextBox 4"/>
                        <a:cNvSpPr txBox="1"/>
                      </a:nvSpPr>
                      <a:spPr>
                        <a:xfrm>
                          <a:off x="2339752" y="620688"/>
                          <a:ext cx="1944216" cy="923330"/>
                        </a:xfrm>
                        <a:prstGeom prst="rect">
                          <a:avLst/>
                        </a:prstGeom>
                        <a:solidFill>
                          <a:srgbClr val="00B050"/>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effectLst/>
                              </a:rPr>
                              <a:t>Downscale of assay for 384-well plate</a:t>
                            </a:r>
                            <a:endParaRPr lang="en-GB" dirty="0">
                              <a:effectLst/>
                            </a:endParaRPr>
                          </a:p>
                        </a:txBody>
                        <a:useSpRect/>
                      </a:txSp>
                    </a:sp>
                    <a:sp>
                      <a:nvSpPr>
                        <a:cNvPr id="7" name="TextBox 5"/>
                        <a:cNvSpPr txBox="1"/>
                      </a:nvSpPr>
                      <a:spPr>
                        <a:xfrm>
                          <a:off x="4716016" y="620688"/>
                          <a:ext cx="1800200" cy="923330"/>
                        </a:xfrm>
                        <a:prstGeom prst="rect">
                          <a:avLst/>
                        </a:prstGeom>
                        <a:solidFill>
                          <a:schemeClr val="accent6">
                            <a:lumMod val="75000"/>
                          </a:schemeClr>
                        </a:solidFill>
                        <a:ln>
                          <a:no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6">
                                      <a:satMod val="175000"/>
                                      <a:alpha val="40000"/>
                                    </a:schemeClr>
                                  </a:glow>
                                </a:effectLst>
                              </a:rPr>
                              <a:t>Fine-tune Microscopy settings</a:t>
                            </a:r>
                            <a:endParaRPr lang="en-GB" dirty="0">
                              <a:solidFill>
                                <a:schemeClr val="bg1"/>
                              </a:solidFill>
                              <a:effectLst>
                                <a:glow rad="101600">
                                  <a:schemeClr val="accent6">
                                    <a:satMod val="175000"/>
                                    <a:alpha val="40000"/>
                                  </a:schemeClr>
                                </a:glow>
                              </a:effectLst>
                            </a:endParaRPr>
                          </a:p>
                        </a:txBody>
                        <a:useSpRect/>
                      </a:txSp>
                    </a:sp>
                    <a:sp>
                      <a:nvSpPr>
                        <a:cNvPr id="8" name="TextBox 6"/>
                        <a:cNvSpPr txBox="1"/>
                      </a:nvSpPr>
                      <a:spPr>
                        <a:xfrm>
                          <a:off x="6948264" y="620688"/>
                          <a:ext cx="1800200" cy="923330"/>
                        </a:xfrm>
                        <a:prstGeom prst="rect">
                          <a:avLst/>
                        </a:prstGeom>
                        <a:solidFill>
                          <a:srgbClr val="00B050"/>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Develop image</a:t>
                            </a:r>
                          </a:p>
                          <a:p>
                            <a:pPr algn="ctr"/>
                            <a:r>
                              <a:rPr lang="en-GB" dirty="0" smtClean="0"/>
                              <a:t> analysis algorithms</a:t>
                            </a:r>
                            <a:endParaRPr lang="en-GB" dirty="0"/>
                          </a:p>
                        </a:txBody>
                        <a:useSpRect/>
                      </a:txSp>
                    </a:sp>
                    <a:sp>
                      <a:nvSpPr>
                        <a:cNvPr id="9" name="Right Arrow 8"/>
                        <a:cNvSpPr/>
                      </a:nvSpPr>
                      <a:spPr>
                        <a:xfrm>
                          <a:off x="1979712" y="8367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ight Arrow 9"/>
                        <a:cNvSpPr/>
                      </a:nvSpPr>
                      <a:spPr>
                        <a:xfrm>
                          <a:off x="6588224" y="8367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ight Arrow 10"/>
                        <a:cNvSpPr/>
                      </a:nvSpPr>
                      <a:spPr>
                        <a:xfrm>
                          <a:off x="4355976" y="8367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2" name="Straight Connector 11"/>
                        <a:cNvCxnSpPr/>
                      </a:nvCxnSpPr>
                      <a:spPr>
                        <a:xfrm>
                          <a:off x="6516216" y="1556792"/>
                          <a:ext cx="2448272" cy="1008112"/>
                        </a:xfrm>
                        <a:prstGeom prst="line">
                          <a:avLst/>
                        </a:prstGeom>
                      </a:spPr>
                      <a:style>
                        <a:lnRef idx="1">
                          <a:schemeClr val="accent1"/>
                        </a:lnRef>
                        <a:fillRef idx="0">
                          <a:schemeClr val="accent1"/>
                        </a:fillRef>
                        <a:effectRef idx="0">
                          <a:schemeClr val="accent1"/>
                        </a:effectRef>
                        <a:fontRef idx="minor">
                          <a:schemeClr val="tx1"/>
                        </a:fontRef>
                      </a:style>
                    </a:cxnSp>
                    <a:cxnSp>
                      <a:nvCxnSpPr>
                        <a:cNvPr id="13" name="Straight Connector 12"/>
                        <a:cNvCxnSpPr/>
                      </a:nvCxnSpPr>
                      <a:spPr>
                        <a:xfrm flipH="1">
                          <a:off x="251520" y="1556792"/>
                          <a:ext cx="4464496" cy="1008112"/>
                        </a:xfrm>
                        <a:prstGeom prst="line">
                          <a:avLst/>
                        </a:prstGeom>
                      </a:spPr>
                      <a:style>
                        <a:lnRef idx="1">
                          <a:schemeClr val="accent1"/>
                        </a:lnRef>
                        <a:fillRef idx="0">
                          <a:schemeClr val="accent1"/>
                        </a:fillRef>
                        <a:effectRef idx="0">
                          <a:schemeClr val="accent1"/>
                        </a:effectRef>
                        <a:fontRef idx="minor">
                          <a:schemeClr val="tx1"/>
                        </a:fontRef>
                      </a:style>
                    </a:cxnSp>
                    <a:sp>
                      <a:nvSpPr>
                        <a:cNvPr id="14" name="TextBox 16"/>
                        <a:cNvSpPr txBox="1"/>
                      </a:nvSpPr>
                      <a:spPr>
                        <a:xfrm>
                          <a:off x="1763688" y="2566645"/>
                          <a:ext cx="2232248" cy="646331"/>
                        </a:xfrm>
                        <a:prstGeom prst="rect">
                          <a:avLst/>
                        </a:prstGeom>
                        <a:solidFill>
                          <a:schemeClr val="accent6">
                            <a:lumMod val="75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6">
                                      <a:satMod val="175000"/>
                                      <a:alpha val="40000"/>
                                    </a:schemeClr>
                                  </a:glow>
                                </a:effectLst>
                              </a:rPr>
                              <a:t>Number </a:t>
                            </a:r>
                            <a:r>
                              <a:rPr lang="en-GB" dirty="0" smtClean="0">
                                <a:solidFill>
                                  <a:schemeClr val="bg1"/>
                                </a:solidFill>
                                <a:effectLst>
                                  <a:glow rad="101600">
                                    <a:schemeClr val="accent6">
                                      <a:satMod val="175000"/>
                                      <a:alpha val="40000"/>
                                    </a:schemeClr>
                                  </a:glow>
                                </a:effectLst>
                              </a:rPr>
                              <a:t>of sites per well to be imaged</a:t>
                            </a:r>
                            <a:endParaRPr lang="en-GB" dirty="0">
                              <a:solidFill>
                                <a:schemeClr val="bg1"/>
                              </a:solidFill>
                              <a:effectLst>
                                <a:glow rad="101600">
                                  <a:schemeClr val="accent6">
                                    <a:satMod val="175000"/>
                                    <a:alpha val="40000"/>
                                  </a:schemeClr>
                                </a:glow>
                              </a:effectLst>
                            </a:endParaRPr>
                          </a:p>
                        </a:txBody>
                        <a:useSpRect/>
                      </a:txSp>
                    </a:sp>
                    <a:sp>
                      <a:nvSpPr>
                        <a:cNvPr id="15" name="TextBox 17"/>
                        <a:cNvSpPr txBox="1"/>
                      </a:nvSpPr>
                      <a:spPr>
                        <a:xfrm>
                          <a:off x="261486" y="2566645"/>
                          <a:ext cx="1043234" cy="646331"/>
                        </a:xfrm>
                        <a:prstGeom prst="rect">
                          <a:avLst/>
                        </a:prstGeom>
                        <a:solidFill>
                          <a:schemeClr val="accent6">
                            <a:lumMod val="75000"/>
                          </a:schemeClr>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6">
                                      <a:satMod val="175000"/>
                                      <a:alpha val="40000"/>
                                    </a:schemeClr>
                                  </a:glow>
                                </a:effectLst>
                              </a:rPr>
                              <a:t>Choose </a:t>
                            </a:r>
                          </a:p>
                          <a:p>
                            <a:pPr algn="ctr"/>
                            <a:r>
                              <a:rPr lang="en-GB" dirty="0" smtClean="0">
                                <a:solidFill>
                                  <a:schemeClr val="bg1"/>
                                </a:solidFill>
                                <a:effectLst>
                                  <a:glow rad="101600">
                                    <a:schemeClr val="accent6">
                                      <a:satMod val="175000"/>
                                      <a:alpha val="40000"/>
                                    </a:schemeClr>
                                  </a:glow>
                                </a:effectLst>
                              </a:rPr>
                              <a:t>objective</a:t>
                            </a:r>
                            <a:endParaRPr lang="en-GB" dirty="0">
                              <a:solidFill>
                                <a:schemeClr val="bg1"/>
                              </a:solidFill>
                              <a:effectLst>
                                <a:glow rad="101600">
                                  <a:schemeClr val="accent6">
                                    <a:satMod val="175000"/>
                                    <a:alpha val="40000"/>
                                  </a:schemeClr>
                                </a:glow>
                              </a:effectLst>
                            </a:endParaRPr>
                          </a:p>
                        </a:txBody>
                        <a:useSpRect/>
                      </a:txSp>
                    </a:sp>
                    <a:sp>
                      <a:nvSpPr>
                        <a:cNvPr id="16" name="TextBox 18"/>
                        <a:cNvSpPr txBox="1"/>
                      </a:nvSpPr>
                      <a:spPr>
                        <a:xfrm>
                          <a:off x="4427984" y="2564904"/>
                          <a:ext cx="2247988" cy="646331"/>
                        </a:xfrm>
                        <a:prstGeom prst="rect">
                          <a:avLst/>
                        </a:prstGeom>
                        <a:solidFill>
                          <a:schemeClr val="accent6">
                            <a:lumMod val="75000"/>
                          </a:schemeClr>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6">
                                      <a:satMod val="175000"/>
                                      <a:alpha val="40000"/>
                                    </a:schemeClr>
                                  </a:glow>
                                </a:effectLst>
                              </a:rPr>
                              <a:t>Optimise fluorescent  </a:t>
                            </a:r>
                          </a:p>
                          <a:p>
                            <a:pPr algn="ctr"/>
                            <a:r>
                              <a:rPr lang="en-GB" dirty="0" smtClean="0">
                                <a:solidFill>
                                  <a:schemeClr val="bg1"/>
                                </a:solidFill>
                                <a:effectLst>
                                  <a:glow rad="101600">
                                    <a:schemeClr val="accent6">
                                      <a:satMod val="175000"/>
                                      <a:alpha val="40000"/>
                                    </a:schemeClr>
                                  </a:glow>
                                </a:effectLst>
                              </a:rPr>
                              <a:t>channel exposure</a:t>
                            </a:r>
                            <a:endParaRPr lang="en-GB" dirty="0">
                              <a:solidFill>
                                <a:schemeClr val="bg1"/>
                              </a:solidFill>
                              <a:effectLst>
                                <a:glow rad="101600">
                                  <a:schemeClr val="accent6">
                                    <a:satMod val="175000"/>
                                    <a:alpha val="40000"/>
                                  </a:schemeClr>
                                </a:glow>
                              </a:effectLst>
                            </a:endParaRPr>
                          </a:p>
                        </a:txBody>
                        <a:useSpRect/>
                      </a:txSp>
                    </a:sp>
                    <a:sp>
                      <a:nvSpPr>
                        <a:cNvPr id="17" name="TextBox 19"/>
                        <a:cNvSpPr txBox="1"/>
                      </a:nvSpPr>
                      <a:spPr>
                        <a:xfrm>
                          <a:off x="7092280" y="2564904"/>
                          <a:ext cx="1872208" cy="646331"/>
                        </a:xfrm>
                        <a:prstGeom prst="rect">
                          <a:avLst/>
                        </a:prstGeom>
                        <a:solidFill>
                          <a:schemeClr val="accent6">
                            <a:lumMod val="75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6">
                                      <a:satMod val="175000"/>
                                      <a:alpha val="40000"/>
                                    </a:schemeClr>
                                  </a:glow>
                                </a:effectLst>
                              </a:rPr>
                              <a:t>Optimise focusing offset</a:t>
                            </a:r>
                            <a:endParaRPr lang="en-GB" dirty="0">
                              <a:solidFill>
                                <a:schemeClr val="bg1"/>
                              </a:solidFill>
                              <a:effectLst>
                                <a:glow rad="101600">
                                  <a:schemeClr val="accent6">
                                    <a:satMod val="175000"/>
                                    <a:alpha val="40000"/>
                                  </a:schemeClr>
                                </a:glow>
                              </a:effectLst>
                            </a:endParaRPr>
                          </a:p>
                        </a:txBody>
                        <a:useSpRect/>
                      </a:txSp>
                    </a:sp>
                    <a:sp>
                      <a:nvSpPr>
                        <a:cNvPr id="18" name="Right Arrow 17"/>
                        <a:cNvSpPr/>
                      </a:nvSpPr>
                      <a:spPr>
                        <a:xfrm>
                          <a:off x="1403648" y="26369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Right Arrow 18"/>
                        <a:cNvSpPr/>
                      </a:nvSpPr>
                      <a:spPr>
                        <a:xfrm>
                          <a:off x="4067944" y="26369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Right Arrow 19"/>
                        <a:cNvSpPr/>
                      </a:nvSpPr>
                      <a:spPr>
                        <a:xfrm>
                          <a:off x="6732240" y="26369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roofErr w:type="gramStart"/>
      <w:r w:rsidR="0021227B" w:rsidRPr="0013327C">
        <w:rPr>
          <w:rFonts w:asciiTheme="majorHAnsi" w:hAnsiTheme="majorHAnsi"/>
          <w:b/>
        </w:rPr>
        <w:t>Figure 3.</w:t>
      </w:r>
      <w:r w:rsidR="001D7B15">
        <w:rPr>
          <w:rFonts w:asciiTheme="majorHAnsi" w:hAnsiTheme="majorHAnsi"/>
          <w:b/>
        </w:rPr>
        <w:t>14</w:t>
      </w:r>
      <w:r w:rsidRPr="0013327C">
        <w:rPr>
          <w:rFonts w:asciiTheme="majorHAnsi" w:hAnsiTheme="majorHAnsi"/>
          <w:b/>
        </w:rPr>
        <w:t>.</w:t>
      </w:r>
      <w:proofErr w:type="gramEnd"/>
      <w:r w:rsidRPr="0013327C">
        <w:rPr>
          <w:rFonts w:asciiTheme="majorHAnsi" w:hAnsiTheme="majorHAnsi"/>
        </w:rPr>
        <w:t xml:space="preserve"> </w:t>
      </w:r>
      <w:proofErr w:type="gramStart"/>
      <w:r w:rsidR="0021227B" w:rsidRPr="00B34F43">
        <w:rPr>
          <w:rFonts w:asciiTheme="majorHAnsi" w:hAnsiTheme="majorHAnsi"/>
          <w:b/>
          <w:sz w:val="24"/>
          <w:szCs w:val="24"/>
        </w:rPr>
        <w:t>Stages of development schematic 3.</w:t>
      </w:r>
      <w:proofErr w:type="gramEnd"/>
      <w:r w:rsidR="0021227B" w:rsidRPr="0013327C">
        <w:rPr>
          <w:rFonts w:asciiTheme="majorHAnsi" w:hAnsiTheme="majorHAnsi"/>
          <w:sz w:val="24"/>
          <w:szCs w:val="24"/>
        </w:rPr>
        <w:t xml:space="preserve"> </w:t>
      </w:r>
      <w:r w:rsidRPr="0013327C">
        <w:rPr>
          <w:rFonts w:asciiTheme="majorHAnsi" w:hAnsiTheme="majorHAnsi"/>
        </w:rPr>
        <w:t>Schematic showing the steps required to optimise the microscope for imaging fluorescent peroxisomes and nuclei for subsequent computer-aided analysis.</w:t>
      </w:r>
    </w:p>
    <w:p w:rsidR="00597427" w:rsidRPr="0013327C" w:rsidRDefault="00597427" w:rsidP="00AE0264">
      <w:pPr>
        <w:jc w:val="both"/>
        <w:rPr>
          <w:rFonts w:asciiTheme="majorHAnsi" w:hAnsiTheme="majorHAnsi"/>
        </w:rPr>
      </w:pPr>
      <w:r w:rsidRPr="0013327C">
        <w:rPr>
          <w:rFonts w:asciiTheme="majorHAnsi" w:hAnsiTheme="majorHAnsi"/>
        </w:rPr>
        <w:t>The settings for image capture required optimising specifically for the screen. A detailed account is given in Methods Ch</w:t>
      </w:r>
      <w:r w:rsidR="00C3380A" w:rsidRPr="0013327C">
        <w:rPr>
          <w:rFonts w:asciiTheme="majorHAnsi" w:hAnsiTheme="majorHAnsi"/>
        </w:rPr>
        <w:t xml:space="preserve"> 3.1.11</w:t>
      </w:r>
      <w:r w:rsidRPr="0013327C">
        <w:rPr>
          <w:rFonts w:asciiTheme="majorHAnsi" w:hAnsiTheme="majorHAnsi"/>
        </w:rPr>
        <w:t>. The images taken of the 384-well microtitre assay plate highlighted two problems for data-logging. The first is that the low transfection efficiency (between 10-30% of cells) meant that there were many images at 40X magnification that had no transfected cells in any of the four images taken in a 2x2 quadrant in each well. Up to a quarter of each assay plate comprised wells which counted less than 10 cells. There were as many as twenty entire wells that registered no peroxisomes. The simplest way to improve this was to develop the screen for 20X magnification. The 20X images covered 4 times the area of the 40X and when the quadrant was increased to 3x3 sites there was a nine-fold increase in area imaged in each well; this made it more likely that enough cells could be imaged that would produce reliable data when an average was taken over all cells in all the sites of each well. Despite this, approximately 1-2 wells in each assay plate tested had no transfected cells in any of the nine images. This potentially meant that as many as 106 wells of the genome-wide screen would be randomly null-tested (0.52% of the screen), which was deemed acceptable. Because of the change in objective from 40X magnification (resolution 0.42µm, NA 0.60) to 20X magnification (resolution 0.37µm, NA 0.75) the image resolution decreased and peroxisomes situated closer together could no longer be resolved. An advantage of the 20X objective is that focal depth of the image is increased and so the number of peroxisomes in focus is negligibly affected.</w:t>
      </w:r>
    </w:p>
    <w:p w:rsidR="00597427" w:rsidRPr="0013327C" w:rsidRDefault="00597427" w:rsidP="00AE0264">
      <w:pPr>
        <w:jc w:val="both"/>
        <w:rPr>
          <w:rFonts w:asciiTheme="majorHAnsi" w:hAnsiTheme="majorHAnsi"/>
        </w:rPr>
      </w:pPr>
      <w:r w:rsidRPr="0013327C">
        <w:rPr>
          <w:rFonts w:asciiTheme="majorHAnsi" w:hAnsiTheme="majorHAnsi"/>
        </w:rPr>
        <w:t>In summary the screen would be imaged with the 20X objective at nine sites per well and standard exposure times and height above the surface of the well bottom were determined.</w:t>
      </w:r>
    </w:p>
    <w:p w:rsidR="00597427" w:rsidRPr="0013327C" w:rsidRDefault="00597427" w:rsidP="00AE0264">
      <w:pPr>
        <w:pStyle w:val="Heading2"/>
        <w:jc w:val="both"/>
      </w:pPr>
      <w:bookmarkStart w:id="97" w:name="_Toc348423349"/>
      <w:r w:rsidRPr="0013327C">
        <w:lastRenderedPageBreak/>
        <w:t>Image evaluation and post-processing for 384-well plates</w:t>
      </w:r>
      <w:bookmarkEnd w:id="97"/>
    </w:p>
    <w:p w:rsidR="00597427" w:rsidRPr="0013327C" w:rsidRDefault="00597427" w:rsidP="00AE0264">
      <w:pPr>
        <w:jc w:val="both"/>
        <w:rPr>
          <w:rFonts w:asciiTheme="majorHAnsi" w:hAnsiTheme="majorHAnsi"/>
        </w:rPr>
      </w:pPr>
      <w:r w:rsidRPr="0013327C">
        <w:rPr>
          <w:rFonts w:asciiTheme="majorHAnsi" w:hAnsiTheme="majorHAnsi"/>
          <w:b/>
          <w:noProof/>
          <w:lang w:eastAsia="en-GB"/>
        </w:rPr>
        <w:drawing>
          <wp:inline distT="0" distB="0" distL="0" distR="0">
            <wp:extent cx="5731510" cy="2269335"/>
            <wp:effectExtent l="0" t="0" r="0" b="0"/>
            <wp:docPr id="81"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0960" cy="3421544"/>
                      <a:chOff x="251520" y="1718228"/>
                      <a:chExt cx="8640960" cy="3421544"/>
                    </a:xfrm>
                  </a:grpSpPr>
                  <a:grpSp>
                    <a:nvGrpSpPr>
                      <a:cNvPr id="4" name="Group 3"/>
                      <a:cNvGrpSpPr/>
                    </a:nvGrpSpPr>
                    <a:grpSpPr>
                      <a:xfrm>
                        <a:off x="251520" y="1718228"/>
                        <a:ext cx="8640960" cy="3421544"/>
                        <a:chOff x="251520" y="620688"/>
                        <a:chExt cx="8640960" cy="3421544"/>
                      </a:xfrm>
                    </a:grpSpPr>
                    <a:grpSp>
                      <a:nvGrpSpPr>
                        <a:cNvPr id="3" name="Group 4"/>
                        <a:cNvGrpSpPr/>
                      </a:nvGrpSpPr>
                      <a:grpSpPr>
                        <a:xfrm>
                          <a:off x="251520" y="620688"/>
                          <a:ext cx="8640960" cy="3421544"/>
                          <a:chOff x="251520" y="620688"/>
                          <a:chExt cx="8640960" cy="3421544"/>
                        </a:xfrm>
                      </a:grpSpPr>
                      <a:sp>
                        <a:nvSpPr>
                          <a:cNvPr id="9" name="TextBox 3"/>
                          <a:cNvSpPr txBox="1"/>
                        </a:nvSpPr>
                        <a:spPr>
                          <a:xfrm>
                            <a:off x="251520" y="620688"/>
                            <a:ext cx="1656184" cy="646331"/>
                          </a:xfrm>
                          <a:prstGeom prst="rect">
                            <a:avLst/>
                          </a:prstGeom>
                          <a:solidFill>
                            <a:srgbClr val="00B050"/>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effectLst/>
                                </a:rPr>
                                <a:t>Successful</a:t>
                              </a:r>
                            </a:p>
                            <a:p>
                              <a:pPr algn="ctr"/>
                              <a:r>
                                <a:rPr lang="en-GB" dirty="0" smtClean="0">
                                  <a:effectLst/>
                                </a:rPr>
                                <a:t> KD assay </a:t>
                              </a:r>
                              <a:r>
                                <a:rPr lang="en-GB" dirty="0" smtClean="0">
                                  <a:effectLst/>
                                </a:rPr>
                                <a:t>in</a:t>
                              </a:r>
                              <a:endParaRPr lang="en-GB" dirty="0">
                                <a:effectLst/>
                              </a:endParaRPr>
                            </a:p>
                          </a:txBody>
                          <a:useSpRect/>
                        </a:txSp>
                      </a:sp>
                      <a:sp>
                        <a:nvSpPr>
                          <a:cNvPr id="10" name="TextBox 4"/>
                          <a:cNvSpPr txBox="1"/>
                        </a:nvSpPr>
                        <a:spPr>
                          <a:xfrm>
                            <a:off x="2339752" y="620688"/>
                            <a:ext cx="1944216" cy="923330"/>
                          </a:xfrm>
                          <a:prstGeom prst="rect">
                            <a:avLst/>
                          </a:prstGeom>
                          <a:solidFill>
                            <a:srgbClr val="00B050"/>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effectLst/>
                                </a:rPr>
                                <a:t>Downscale of assay for 384-well plate</a:t>
                              </a:r>
                              <a:endParaRPr lang="en-GB" dirty="0">
                                <a:effectLst/>
                              </a:endParaRPr>
                            </a:p>
                          </a:txBody>
                          <a:useSpRect/>
                        </a:txSp>
                      </a:sp>
                      <a:sp>
                        <a:nvSpPr>
                          <a:cNvPr id="11" name="TextBox 5"/>
                          <a:cNvSpPr txBox="1"/>
                        </a:nvSpPr>
                        <a:spPr>
                          <a:xfrm>
                            <a:off x="4716016" y="620688"/>
                            <a:ext cx="1800200" cy="923330"/>
                          </a:xfrm>
                          <a:prstGeom prst="rect">
                            <a:avLst/>
                          </a:prstGeom>
                          <a:solidFill>
                            <a:srgbClr val="00B050"/>
                          </a:solidFill>
                          <a:ln>
                            <a:no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effectLst/>
                                </a:rPr>
                                <a:t>Fine-tune Microscopy settings</a:t>
                              </a:r>
                              <a:endParaRPr lang="en-GB" dirty="0">
                                <a:effectLst/>
                              </a:endParaRPr>
                            </a:p>
                          </a:txBody>
                          <a:useSpRect/>
                        </a:txSp>
                      </a:sp>
                      <a:sp>
                        <a:nvSpPr>
                          <a:cNvPr id="12" name="TextBox 6"/>
                          <a:cNvSpPr txBox="1"/>
                        </a:nvSpPr>
                        <a:spPr>
                          <a:xfrm>
                            <a:off x="6948264" y="620688"/>
                            <a:ext cx="1800200" cy="923330"/>
                          </a:xfrm>
                          <a:prstGeom prst="rect">
                            <a:avLst/>
                          </a:prstGeom>
                          <a:solidFill>
                            <a:schemeClr val="accent2"/>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2">
                                        <a:satMod val="175000"/>
                                        <a:alpha val="40000"/>
                                      </a:schemeClr>
                                    </a:glow>
                                  </a:effectLst>
                                </a:rPr>
                                <a:t>Develop image</a:t>
                              </a:r>
                            </a:p>
                            <a:p>
                              <a:pPr algn="ctr"/>
                              <a:r>
                                <a:rPr lang="en-GB" dirty="0" smtClean="0">
                                  <a:solidFill>
                                    <a:schemeClr val="bg1"/>
                                  </a:solidFill>
                                  <a:effectLst>
                                    <a:glow rad="101600">
                                      <a:schemeClr val="accent2">
                                        <a:satMod val="175000"/>
                                        <a:alpha val="40000"/>
                                      </a:schemeClr>
                                    </a:glow>
                                  </a:effectLst>
                                </a:rPr>
                                <a:t> analysis algorithms</a:t>
                              </a:r>
                              <a:endParaRPr lang="en-GB" dirty="0">
                                <a:solidFill>
                                  <a:schemeClr val="bg1"/>
                                </a:solidFill>
                                <a:effectLst>
                                  <a:glow rad="101600">
                                    <a:schemeClr val="accent2">
                                      <a:satMod val="175000"/>
                                      <a:alpha val="40000"/>
                                    </a:schemeClr>
                                  </a:glow>
                                </a:effectLst>
                              </a:endParaRPr>
                            </a:p>
                          </a:txBody>
                          <a:useSpRect/>
                        </a:txSp>
                      </a:sp>
                      <a:sp>
                        <a:nvSpPr>
                          <a:cNvPr id="13" name="Right Arrow 12"/>
                          <a:cNvSpPr/>
                        </a:nvSpPr>
                        <a:spPr>
                          <a:xfrm>
                            <a:off x="1979712" y="8367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Right Arrow 13"/>
                          <a:cNvSpPr/>
                        </a:nvSpPr>
                        <a:spPr>
                          <a:xfrm>
                            <a:off x="6588224" y="8367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Right Arrow 14"/>
                          <a:cNvSpPr/>
                        </a:nvSpPr>
                        <a:spPr>
                          <a:xfrm>
                            <a:off x="4355976" y="836712"/>
                            <a:ext cx="288032"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 name="Straight Connector 15"/>
                          <a:cNvCxnSpPr/>
                        </a:nvCxnSpPr>
                        <a:spPr>
                          <a:xfrm>
                            <a:off x="8748464" y="1484784"/>
                            <a:ext cx="144016" cy="1152128"/>
                          </a:xfrm>
                          <a:prstGeom prst="line">
                            <a:avLst/>
                          </a:prstGeom>
                        </a:spPr>
                        <a:style>
                          <a:lnRef idx="1">
                            <a:schemeClr val="accent1"/>
                          </a:lnRef>
                          <a:fillRef idx="0">
                            <a:schemeClr val="accent1"/>
                          </a:fillRef>
                          <a:effectRef idx="0">
                            <a:schemeClr val="accent1"/>
                          </a:effectRef>
                          <a:fontRef idx="minor">
                            <a:schemeClr val="tx1"/>
                          </a:fontRef>
                        </a:style>
                      </a:cxnSp>
                      <a:cxnSp>
                        <a:nvCxnSpPr>
                          <a:cNvPr id="17" name="Straight Connector 16"/>
                          <a:cNvCxnSpPr/>
                        </a:nvCxnSpPr>
                        <a:spPr>
                          <a:xfrm flipH="1">
                            <a:off x="251520" y="1556792"/>
                            <a:ext cx="6696744" cy="1008112"/>
                          </a:xfrm>
                          <a:prstGeom prst="line">
                            <a:avLst/>
                          </a:prstGeom>
                        </a:spPr>
                        <a:style>
                          <a:lnRef idx="1">
                            <a:schemeClr val="accent1"/>
                          </a:lnRef>
                          <a:fillRef idx="0">
                            <a:schemeClr val="accent1"/>
                          </a:fillRef>
                          <a:effectRef idx="0">
                            <a:schemeClr val="accent1"/>
                          </a:effectRef>
                          <a:fontRef idx="minor">
                            <a:schemeClr val="tx1"/>
                          </a:fontRef>
                        </a:style>
                      </a:cxnSp>
                      <a:sp>
                        <a:nvSpPr>
                          <a:cNvPr id="18" name="TextBox 16"/>
                          <a:cNvSpPr txBox="1"/>
                        </a:nvSpPr>
                        <a:spPr>
                          <a:xfrm>
                            <a:off x="251520" y="2564904"/>
                            <a:ext cx="1872208" cy="1200329"/>
                          </a:xfrm>
                          <a:prstGeom prst="rect">
                            <a:avLst/>
                          </a:prstGeom>
                          <a:solidFill>
                            <a:schemeClr val="accent2"/>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2">
                                        <a:satMod val="175000"/>
                                        <a:alpha val="40000"/>
                                      </a:schemeClr>
                                    </a:glow>
                                  </a:effectLst>
                                </a:rPr>
                                <a:t>Determine applications to be used for segmentation</a:t>
                              </a:r>
                              <a:endParaRPr lang="en-GB" dirty="0">
                                <a:solidFill>
                                  <a:schemeClr val="bg1"/>
                                </a:solidFill>
                                <a:effectLst>
                                  <a:glow rad="101600">
                                    <a:schemeClr val="accent2">
                                      <a:satMod val="175000"/>
                                      <a:alpha val="40000"/>
                                    </a:schemeClr>
                                  </a:glow>
                                </a:effectLst>
                              </a:endParaRPr>
                            </a:p>
                          </a:txBody>
                          <a:useSpRect/>
                        </a:txSp>
                      </a:sp>
                      <a:sp>
                        <a:nvSpPr>
                          <a:cNvPr id="19" name="TextBox 17"/>
                          <a:cNvSpPr txBox="1"/>
                        </a:nvSpPr>
                        <a:spPr>
                          <a:xfrm>
                            <a:off x="2483768" y="2564904"/>
                            <a:ext cx="1296144" cy="923330"/>
                          </a:xfrm>
                          <a:prstGeom prst="rect">
                            <a:avLst/>
                          </a:prstGeom>
                          <a:solidFill>
                            <a:schemeClr val="accent2"/>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2">
                                        <a:satMod val="175000"/>
                                        <a:alpha val="40000"/>
                                      </a:schemeClr>
                                    </a:glow>
                                  </a:effectLst>
                                </a:rPr>
                                <a:t>Optimise all application parameters</a:t>
                              </a:r>
                              <a:endParaRPr lang="en-GB" dirty="0">
                                <a:solidFill>
                                  <a:schemeClr val="bg1"/>
                                </a:solidFill>
                                <a:effectLst>
                                  <a:glow rad="101600">
                                    <a:schemeClr val="accent2">
                                      <a:satMod val="175000"/>
                                      <a:alpha val="40000"/>
                                    </a:schemeClr>
                                  </a:glow>
                                </a:effectLst>
                              </a:endParaRPr>
                            </a:p>
                          </a:txBody>
                          <a:useSpRect/>
                        </a:txSp>
                      </a:sp>
                      <a:sp>
                        <a:nvSpPr>
                          <a:cNvPr id="20" name="TextBox 18"/>
                          <a:cNvSpPr txBox="1"/>
                        </a:nvSpPr>
                        <a:spPr>
                          <a:xfrm>
                            <a:off x="4139952" y="2564904"/>
                            <a:ext cx="1728192" cy="1477328"/>
                          </a:xfrm>
                          <a:prstGeom prst="rect">
                            <a:avLst/>
                          </a:prstGeom>
                          <a:solidFill>
                            <a:schemeClr val="accent2"/>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2">
                                        <a:satMod val="175000"/>
                                        <a:alpha val="40000"/>
                                      </a:schemeClr>
                                    </a:glow>
                                  </a:effectLst>
                                </a:rPr>
                                <a:t>Extensively test applications in journal on WT and control phenotypes</a:t>
                              </a:r>
                              <a:endParaRPr lang="en-GB" dirty="0">
                                <a:solidFill>
                                  <a:schemeClr val="bg1"/>
                                </a:solidFill>
                                <a:effectLst>
                                  <a:glow rad="101600">
                                    <a:schemeClr val="accent2">
                                      <a:satMod val="175000"/>
                                      <a:alpha val="40000"/>
                                    </a:schemeClr>
                                  </a:glow>
                                </a:effectLst>
                              </a:endParaRPr>
                            </a:p>
                          </a:txBody>
                          <a:useSpRect/>
                        </a:txSp>
                      </a:sp>
                      <a:sp>
                        <a:nvSpPr>
                          <a:cNvPr id="21" name="TextBox 19"/>
                          <a:cNvSpPr txBox="1"/>
                        </a:nvSpPr>
                        <a:spPr>
                          <a:xfrm>
                            <a:off x="6228184" y="2564904"/>
                            <a:ext cx="1296144" cy="1477328"/>
                          </a:xfrm>
                          <a:prstGeom prst="rect">
                            <a:avLst/>
                          </a:prstGeom>
                          <a:solidFill>
                            <a:schemeClr val="accent2"/>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2">
                                        <a:satMod val="175000"/>
                                        <a:alpha val="40000"/>
                                      </a:schemeClr>
                                    </a:glow>
                                  </a:effectLst>
                                </a:rPr>
                                <a:t>Adjust assay protocols where appropriate</a:t>
                              </a:r>
                              <a:endParaRPr lang="en-GB" dirty="0">
                                <a:solidFill>
                                  <a:schemeClr val="bg1"/>
                                </a:solidFill>
                                <a:effectLst>
                                  <a:glow rad="101600">
                                    <a:schemeClr val="accent2">
                                      <a:satMod val="175000"/>
                                      <a:alpha val="40000"/>
                                    </a:schemeClr>
                                  </a:glow>
                                </a:effectLst>
                              </a:endParaRPr>
                            </a:p>
                          </a:txBody>
                          <a:useSpRect/>
                        </a:txSp>
                      </a:sp>
                      <a:sp>
                        <a:nvSpPr>
                          <a:cNvPr id="22" name="TextBox 20"/>
                          <a:cNvSpPr txBox="1"/>
                        </a:nvSpPr>
                        <a:spPr>
                          <a:xfrm>
                            <a:off x="7884368" y="2564904"/>
                            <a:ext cx="1008112" cy="1200329"/>
                          </a:xfrm>
                          <a:prstGeom prst="rect">
                            <a:avLst/>
                          </a:prstGeom>
                          <a:solidFill>
                            <a:schemeClr val="accent2"/>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solidFill>
                                    <a:schemeClr val="bg1"/>
                                  </a:solidFill>
                                  <a:effectLst>
                                    <a:glow rad="101600">
                                      <a:schemeClr val="accent2">
                                        <a:satMod val="175000"/>
                                        <a:alpha val="40000"/>
                                      </a:schemeClr>
                                    </a:glow>
                                  </a:effectLst>
                                </a:rPr>
                                <a:t>Test on assay plate in triplicate</a:t>
                              </a:r>
                              <a:endParaRPr lang="en-GB" dirty="0">
                                <a:solidFill>
                                  <a:schemeClr val="bg1"/>
                                </a:solidFill>
                                <a:effectLst>
                                  <a:glow rad="101600">
                                    <a:schemeClr val="accent2">
                                      <a:satMod val="175000"/>
                                      <a:alpha val="40000"/>
                                    </a:schemeClr>
                                  </a:glow>
                                </a:effectLst>
                              </a:endParaRPr>
                            </a:p>
                          </a:txBody>
                          <a:useSpRect/>
                        </a:txSp>
                      </a:sp>
                      <a:sp>
                        <a:nvSpPr>
                          <a:cNvPr id="23" name="Right Arrow 22"/>
                          <a:cNvSpPr/>
                        </a:nvSpPr>
                        <a:spPr>
                          <a:xfrm>
                            <a:off x="2195736" y="2780928"/>
                            <a:ext cx="216024"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Right Arrow 23"/>
                          <a:cNvSpPr/>
                        </a:nvSpPr>
                        <a:spPr>
                          <a:xfrm>
                            <a:off x="3851920" y="2780928"/>
                            <a:ext cx="216024"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Right Arrow 24"/>
                          <a:cNvSpPr/>
                        </a:nvSpPr>
                        <a:spPr>
                          <a:xfrm>
                            <a:off x="5940152" y="2780928"/>
                            <a:ext cx="216024"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Right Arrow 25"/>
                          <a:cNvSpPr/>
                        </a:nvSpPr>
                        <a:spPr>
                          <a:xfrm>
                            <a:off x="7596336" y="2780928"/>
                            <a:ext cx="216024" cy="504056"/>
                          </a:xfrm>
                          <a:prstGeom prs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cxnSp>
                      <a:nvCxnSpPr>
                        <a:cNvPr id="6" name="Straight Arrow Connector 5"/>
                        <a:cNvCxnSpPr/>
                      </a:nvCxnSpPr>
                      <a:spPr>
                        <a:xfrm flipH="1" flipV="1">
                          <a:off x="1691680" y="1628800"/>
                          <a:ext cx="5184576" cy="864096"/>
                        </a:xfrm>
                        <a:prstGeom prst="straightConnector1">
                          <a:avLst/>
                        </a:prstGeom>
                        <a:ln w="1905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7" name="Straight Arrow Connector 6"/>
                        <a:cNvCxnSpPr/>
                      </a:nvCxnSpPr>
                      <a:spPr>
                        <a:xfrm flipH="1" flipV="1">
                          <a:off x="3923928" y="1628800"/>
                          <a:ext cx="2952328" cy="864096"/>
                        </a:xfrm>
                        <a:prstGeom prst="straightConnector1">
                          <a:avLst/>
                        </a:prstGeom>
                        <a:ln w="1905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8" name="Straight Arrow Connector 7"/>
                        <a:cNvCxnSpPr/>
                      </a:nvCxnSpPr>
                      <a:spPr>
                        <a:xfrm flipH="1" flipV="1">
                          <a:off x="5868144" y="1628800"/>
                          <a:ext cx="1008112" cy="864096"/>
                        </a:xfrm>
                        <a:prstGeom prst="straightConnector1">
                          <a:avLst/>
                        </a:prstGeom>
                        <a:ln w="1905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grpSp>
                </lc:lockedCanvas>
              </a:graphicData>
            </a:graphic>
          </wp:inline>
        </w:drawing>
      </w:r>
      <w:proofErr w:type="gramStart"/>
      <w:r w:rsidR="00B6657E" w:rsidRPr="0013327C">
        <w:rPr>
          <w:rFonts w:asciiTheme="majorHAnsi" w:hAnsiTheme="majorHAnsi"/>
          <w:b/>
        </w:rPr>
        <w:t>Figure 3.</w:t>
      </w:r>
      <w:r w:rsidR="00895C21">
        <w:rPr>
          <w:rFonts w:asciiTheme="majorHAnsi" w:hAnsiTheme="majorHAnsi"/>
          <w:b/>
        </w:rPr>
        <w:t>15</w:t>
      </w:r>
      <w:r w:rsidRPr="0013327C">
        <w:rPr>
          <w:rFonts w:asciiTheme="majorHAnsi" w:hAnsiTheme="majorHAnsi"/>
          <w:b/>
        </w:rPr>
        <w:t>.</w:t>
      </w:r>
      <w:proofErr w:type="gramEnd"/>
      <w:r w:rsidRPr="0013327C">
        <w:rPr>
          <w:rFonts w:asciiTheme="majorHAnsi" w:hAnsiTheme="majorHAnsi"/>
        </w:rPr>
        <w:t xml:space="preserve"> </w:t>
      </w:r>
      <w:proofErr w:type="gramStart"/>
      <w:r w:rsidR="00B6657E" w:rsidRPr="00B34F43">
        <w:rPr>
          <w:rFonts w:asciiTheme="majorHAnsi" w:hAnsiTheme="majorHAnsi"/>
          <w:b/>
          <w:szCs w:val="24"/>
        </w:rPr>
        <w:t>Stages of development schematic 4.</w:t>
      </w:r>
      <w:proofErr w:type="gramEnd"/>
      <w:r w:rsidR="00B6657E" w:rsidRPr="00B34F43">
        <w:rPr>
          <w:rFonts w:asciiTheme="majorHAnsi" w:hAnsiTheme="majorHAnsi"/>
          <w:szCs w:val="24"/>
        </w:rPr>
        <w:t xml:space="preserve"> </w:t>
      </w:r>
      <w:r w:rsidRPr="0013327C">
        <w:rPr>
          <w:rFonts w:asciiTheme="majorHAnsi" w:hAnsiTheme="majorHAnsi"/>
        </w:rPr>
        <w:t>A schematic flow diagram showing the steps required to produce numerical data from the analysis software that statistically differentiates WT from non-WT phenotypes. The protocols were constantly adjusted throughout the development of the assay. These parameters needed minor adjustments for the individual experiments and most frequently required editing after tests with multiple controls had been included in these experiments.</w:t>
      </w:r>
    </w:p>
    <w:p w:rsidR="00597427" w:rsidRPr="0013327C" w:rsidRDefault="00597427" w:rsidP="00AE0264">
      <w:pPr>
        <w:pStyle w:val="Heading2"/>
        <w:jc w:val="both"/>
      </w:pPr>
      <w:bookmarkStart w:id="98" w:name="_Toc348423350"/>
      <w:r w:rsidRPr="0013327C">
        <w:t>Segmentation development in 384 well-plates</w:t>
      </w:r>
      <w:bookmarkEnd w:id="98"/>
    </w:p>
    <w:p w:rsidR="00597427" w:rsidRPr="0013327C" w:rsidRDefault="00597427" w:rsidP="00AE0264">
      <w:pPr>
        <w:jc w:val="both"/>
        <w:rPr>
          <w:rFonts w:asciiTheme="majorHAnsi" w:hAnsiTheme="majorHAnsi"/>
        </w:rPr>
      </w:pPr>
      <w:r w:rsidRPr="0013327C">
        <w:rPr>
          <w:rFonts w:asciiTheme="majorHAnsi" w:hAnsiTheme="majorHAnsi"/>
        </w:rPr>
        <w:t>In order to interpret images as unbiased numerical data individual cells and their peroxisomes need to be identified. This process is called “segmentation”. The use of automated analysis software is crucial in forming an unbiased approach to evaluating images for 18,000 gene KDs as it would be impossible to do it by eye. It is therefore crucial that the same parameters can accurately discriminate between WT and aberrant phenotypes in the each field of data. The description of how this was achieved is described below. Its inclusion in this chapter helps demonstrate how this forms the basis of the generation of the numerical data and subsequently the analysis of the screen.</w:t>
      </w:r>
    </w:p>
    <w:p w:rsidR="00597427" w:rsidRPr="0013327C" w:rsidRDefault="00597427" w:rsidP="00AE0264">
      <w:pPr>
        <w:jc w:val="both"/>
        <w:rPr>
          <w:rFonts w:asciiTheme="majorHAnsi" w:hAnsiTheme="majorHAnsi"/>
        </w:rPr>
      </w:pPr>
      <w:r w:rsidRPr="0013327C">
        <w:rPr>
          <w:rFonts w:asciiTheme="majorHAnsi" w:hAnsiTheme="majorHAnsi"/>
        </w:rPr>
        <w:t xml:space="preserve">Segmentation using the METAXpress software requires the differentiation of fluorescent bodies from non-fluorescence or background noise, from each other and their subsequent quantitative characterisation. The process requires that a fluorescent image be presented in monochrome greyscale and treated with auto-contrast. It has each pixel in the image given a value of brightness; this brightness is referred to in the software user interface as its “grey-level”. The segmentation software is then able to report back which pixels exceed a user-defined threshold of grey-levels above their </w:t>
      </w:r>
      <w:r w:rsidRPr="0013327C">
        <w:rPr>
          <w:rFonts w:asciiTheme="majorHAnsi" w:hAnsiTheme="majorHAnsi"/>
        </w:rPr>
        <w:lastRenderedPageBreak/>
        <w:t xml:space="preserve">neighbouring pixels and then begin to draw a boundary along the bright/dark frontier. It then highlights the supra-threshold pixels in a solid colour, labelling Hoechst as grey and eGFP as green in the composite image, </w:t>
      </w:r>
      <w:r w:rsidR="000A07DB" w:rsidRPr="0013327C">
        <w:rPr>
          <w:rFonts w:asciiTheme="majorHAnsi" w:hAnsiTheme="majorHAnsi"/>
        </w:rPr>
        <w:t>(</w:t>
      </w:r>
      <w:r w:rsidRPr="0013327C">
        <w:rPr>
          <w:rFonts w:asciiTheme="majorHAnsi" w:hAnsiTheme="majorHAnsi"/>
        </w:rPr>
        <w:t>see figures below 3.1</w:t>
      </w:r>
      <w:r w:rsidR="000A07DB" w:rsidRPr="0013327C">
        <w:rPr>
          <w:rFonts w:asciiTheme="majorHAnsi" w:hAnsiTheme="majorHAnsi"/>
        </w:rPr>
        <w:t>7 &amp; 3.18)</w:t>
      </w:r>
      <w:r w:rsidRPr="0013327C">
        <w:rPr>
          <w:rFonts w:asciiTheme="majorHAnsi" w:hAnsiTheme="majorHAnsi"/>
        </w:rPr>
        <w:t>. This highlight is the referred to as the segmentation. The segmentations are super-imposable upon others created from other fluorescent channels at the same site. Through trial and error the final settings for each fluorescent channel are determined. This allows the combination of multiple fluorescent probes; typically nuclear staining plus one or more fluorescent channels. Numerical data is then interpreted either for each image, each cell or both and what is reported is dependent on the specific application used (e.g. number of peroxisomes per cell, average fluorescent intensity per peroxisome).</w:t>
      </w:r>
    </w:p>
    <w:p w:rsidR="00597427" w:rsidRPr="0013327C" w:rsidRDefault="00597427" w:rsidP="00AE0264">
      <w:pPr>
        <w:jc w:val="both"/>
        <w:rPr>
          <w:rFonts w:asciiTheme="majorHAnsi" w:hAnsiTheme="majorHAnsi"/>
        </w:rPr>
      </w:pPr>
      <w:r w:rsidRPr="0013327C">
        <w:rPr>
          <w:rFonts w:asciiTheme="majorHAnsi" w:hAnsiTheme="majorHAnsi"/>
        </w:rPr>
        <w:t>The segmentation of the cells required the numerical interpretation of the visual phenotype of both WT and KD S2R+ cells expressing peroxisomal eGFP. The genome-wide screen would first be analysed by number of peroxisomes per cell, any other parameters would be interpreted secondarily. “Transfluor” is the main application for segmenting and counting puncta. It is very effective but because of the low transfection efficiency of the cells it became necessary first to discount the untransfected cells as the Transfluor application segments and counts all puncta and divides them between all segmented nuclei, massively reducing the average peroxisomes per cell count. A series of processes is required to achieve this.</w:t>
      </w:r>
    </w:p>
    <w:p w:rsidR="00597427" w:rsidRPr="0013327C" w:rsidRDefault="00597427" w:rsidP="00AE0264">
      <w:pPr>
        <w:jc w:val="both"/>
        <w:rPr>
          <w:rFonts w:asciiTheme="majorHAnsi" w:hAnsiTheme="majorHAnsi"/>
        </w:rPr>
      </w:pPr>
      <w:r w:rsidRPr="0013327C">
        <w:rPr>
          <w:rFonts w:asciiTheme="majorHAnsi" w:hAnsiTheme="majorHAnsi"/>
        </w:rPr>
        <w:t xml:space="preserve">The first application is “Multi Wavelength Cell Sorting” (MWCS). This is the </w:t>
      </w:r>
      <w:r w:rsidR="00D3209A" w:rsidRPr="0013327C">
        <w:rPr>
          <w:rFonts w:asciiTheme="majorHAnsi" w:hAnsiTheme="majorHAnsi"/>
        </w:rPr>
        <w:t>more</w:t>
      </w:r>
      <w:r w:rsidRPr="0013327C">
        <w:rPr>
          <w:rFonts w:asciiTheme="majorHAnsi" w:hAnsiTheme="majorHAnsi"/>
        </w:rPr>
        <w:t xml:space="preserve"> basic of the two fluorescence analysis applications as it simply acts to segment areas expressing eGFP within specified limits of size and intensity. . </w:t>
      </w:r>
      <w:r w:rsidR="00D3209A" w:rsidRPr="0013327C">
        <w:rPr>
          <w:rFonts w:asciiTheme="majorHAnsi" w:hAnsiTheme="majorHAnsi"/>
        </w:rPr>
        <w:t xml:space="preserve">This application </w:t>
      </w:r>
      <w:r w:rsidR="00D3209A">
        <w:rPr>
          <w:rFonts w:asciiTheme="majorHAnsi" w:hAnsiTheme="majorHAnsi"/>
        </w:rPr>
        <w:t>neither</w:t>
      </w:r>
      <w:r w:rsidR="00D3209A" w:rsidRPr="0013327C">
        <w:rPr>
          <w:rFonts w:asciiTheme="majorHAnsi" w:hAnsiTheme="majorHAnsi"/>
        </w:rPr>
        <w:t xml:space="preserve"> differentiate</w:t>
      </w:r>
      <w:r w:rsidR="00D3209A">
        <w:rPr>
          <w:rFonts w:asciiTheme="majorHAnsi" w:hAnsiTheme="majorHAnsi"/>
        </w:rPr>
        <w:t>s</w:t>
      </w:r>
      <w:r w:rsidR="00D3209A" w:rsidRPr="0013327C">
        <w:rPr>
          <w:rFonts w:asciiTheme="majorHAnsi" w:hAnsiTheme="majorHAnsi"/>
        </w:rPr>
        <w:t xml:space="preserve"> between puncta nor between puncta and cytosol. </w:t>
      </w:r>
      <w:r w:rsidRPr="0013327C">
        <w:rPr>
          <w:rFonts w:asciiTheme="majorHAnsi" w:hAnsiTheme="majorHAnsi"/>
        </w:rPr>
        <w:t xml:space="preserve">If they are bright enough it groups puncta together and assumes that they are peaks in a fluctuous and continuous, fluorescent cytosol. The same application is able to segment the nuclei and thus create two super-imposable segmentations, nuclear (“DAPI” – Figure 3.15.1, Panel C) and GFP (Figure 3.15.2, Panel C). MWCS is able to detect the eGFP-positive cells and these can be isolated using additional smaller applications provided in the METAXpress software (Figures 3.15.3 </w:t>
      </w:r>
      <w:r w:rsidR="00D3209A" w:rsidRPr="0013327C">
        <w:rPr>
          <w:rFonts w:asciiTheme="majorHAnsi" w:hAnsiTheme="majorHAnsi"/>
        </w:rPr>
        <w:t>and</w:t>
      </w:r>
      <w:r w:rsidR="00D3209A">
        <w:rPr>
          <w:rFonts w:asciiTheme="majorHAnsi" w:hAnsiTheme="majorHAnsi"/>
        </w:rPr>
        <w:t xml:space="preserve"> </w:t>
      </w:r>
      <w:r w:rsidR="00D3209A" w:rsidRPr="0013327C">
        <w:rPr>
          <w:rFonts w:asciiTheme="majorHAnsi" w:hAnsiTheme="majorHAnsi"/>
        </w:rPr>
        <w:t>3.15.4</w:t>
      </w:r>
      <w:r w:rsidRPr="0013327C">
        <w:rPr>
          <w:rFonts w:asciiTheme="majorHAnsi" w:hAnsiTheme="majorHAnsi"/>
        </w:rPr>
        <w:t>).</w:t>
      </w: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96782A" w:rsidP="00AE0264">
      <w:pPr>
        <w:jc w:val="both"/>
        <w:rPr>
          <w:rFonts w:asciiTheme="majorHAnsi" w:hAnsiTheme="majorHAnsi"/>
        </w:rPr>
      </w:pPr>
      <w:r>
        <w:rPr>
          <w:rFonts w:asciiTheme="majorHAnsi" w:hAnsiTheme="majorHAnsi"/>
          <w:b/>
          <w:noProof/>
          <w:lang w:eastAsia="en-GB"/>
        </w:rPr>
        <w:lastRenderedPageBreak/>
        <w:drawing>
          <wp:inline distT="0" distB="0" distL="0" distR="0">
            <wp:extent cx="5514062" cy="2936739"/>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5524787" cy="2942451"/>
                    </a:xfrm>
                    <a:prstGeom prst="rect">
                      <a:avLst/>
                    </a:prstGeom>
                    <a:noFill/>
                  </pic:spPr>
                </pic:pic>
              </a:graphicData>
            </a:graphic>
          </wp:inline>
        </w:drawing>
      </w:r>
      <w:proofErr w:type="gramStart"/>
      <w:r w:rsidR="00597427" w:rsidRPr="0013327C">
        <w:rPr>
          <w:rFonts w:asciiTheme="majorHAnsi" w:hAnsiTheme="majorHAnsi"/>
          <w:b/>
        </w:rPr>
        <w:t>Figure 3.</w:t>
      </w:r>
      <w:r w:rsidR="00991F0B" w:rsidRPr="0013327C">
        <w:rPr>
          <w:rFonts w:asciiTheme="majorHAnsi" w:hAnsiTheme="majorHAnsi"/>
          <w:b/>
        </w:rPr>
        <w:t>1</w:t>
      </w:r>
      <w:r w:rsidR="00895C21">
        <w:rPr>
          <w:rFonts w:asciiTheme="majorHAnsi" w:hAnsiTheme="majorHAnsi"/>
          <w:b/>
        </w:rPr>
        <w:t>6</w:t>
      </w:r>
      <w:r w:rsidR="00597427" w:rsidRPr="0013327C">
        <w:rPr>
          <w:rFonts w:asciiTheme="majorHAnsi" w:hAnsiTheme="majorHAnsi"/>
          <w:b/>
        </w:rPr>
        <w:t>.</w:t>
      </w:r>
      <w:proofErr w:type="gramEnd"/>
      <w:r w:rsidR="00597427" w:rsidRPr="0013327C">
        <w:rPr>
          <w:rFonts w:asciiTheme="majorHAnsi" w:hAnsiTheme="majorHAnsi"/>
          <w:b/>
        </w:rPr>
        <w:t xml:space="preserve"> </w:t>
      </w:r>
      <w:r w:rsidR="00597427" w:rsidRPr="00D3209A">
        <w:rPr>
          <w:rFonts w:asciiTheme="majorHAnsi" w:hAnsiTheme="majorHAnsi"/>
          <w:b/>
        </w:rPr>
        <w:t>GFP segmentation of WT cells using Multi Wavelength Cell Scoring</w:t>
      </w:r>
      <w:r w:rsidR="00991F0B" w:rsidRPr="0013327C">
        <w:rPr>
          <w:rFonts w:asciiTheme="majorHAnsi" w:hAnsiTheme="majorHAnsi"/>
        </w:rPr>
        <w:t>.</w:t>
      </w:r>
      <w:r w:rsidR="00597427" w:rsidRPr="0013327C">
        <w:rPr>
          <w:rFonts w:asciiTheme="majorHAnsi" w:hAnsiTheme="majorHAnsi"/>
        </w:rPr>
        <w:t xml:space="preserve"> </w:t>
      </w:r>
      <w:r w:rsidR="00991F0B" w:rsidRPr="0013327C">
        <w:rPr>
          <w:rFonts w:asciiTheme="majorHAnsi" w:hAnsiTheme="majorHAnsi"/>
        </w:rPr>
        <w:t>S</w:t>
      </w:r>
      <w:r w:rsidR="00597427" w:rsidRPr="0013327C">
        <w:rPr>
          <w:rFonts w:asciiTheme="majorHAnsi" w:hAnsiTheme="majorHAnsi"/>
        </w:rPr>
        <w:t>ettings (</w:t>
      </w:r>
      <w:r w:rsidR="00597427" w:rsidRPr="0013327C">
        <w:rPr>
          <w:rFonts w:asciiTheme="majorHAnsi" w:hAnsiTheme="majorHAnsi"/>
          <w:b/>
        </w:rPr>
        <w:t>A</w:t>
      </w:r>
      <w:r w:rsidR="00597427" w:rsidRPr="0013327C">
        <w:rPr>
          <w:rFonts w:asciiTheme="majorHAnsi" w:hAnsiTheme="majorHAnsi"/>
        </w:rPr>
        <w:t xml:space="preserve">) developed for the first screen. The software refers to the eGFP channel as the GFP channel throughout. The raw GFP image is shown in </w:t>
      </w:r>
      <w:r w:rsidR="00597427" w:rsidRPr="0013327C">
        <w:rPr>
          <w:rFonts w:asciiTheme="majorHAnsi" w:hAnsiTheme="majorHAnsi"/>
          <w:b/>
        </w:rPr>
        <w:t>B</w:t>
      </w:r>
      <w:r w:rsidR="00597427" w:rsidRPr="0013327C">
        <w:rPr>
          <w:rFonts w:asciiTheme="majorHAnsi" w:hAnsiTheme="majorHAnsi"/>
        </w:rPr>
        <w:t xml:space="preserve">, the segmentation in </w:t>
      </w:r>
      <w:r w:rsidR="00597427" w:rsidRPr="0013327C">
        <w:rPr>
          <w:rFonts w:asciiTheme="majorHAnsi" w:hAnsiTheme="majorHAnsi"/>
          <w:b/>
        </w:rPr>
        <w:t>C</w:t>
      </w:r>
      <w:r w:rsidR="00597427" w:rsidRPr="0013327C">
        <w:rPr>
          <w:rFonts w:asciiTheme="majorHAnsi" w:hAnsiTheme="majorHAnsi"/>
        </w:rPr>
        <w:t>. Bar = 20µm.</w:t>
      </w:r>
    </w:p>
    <w:p w:rsidR="00597427" w:rsidRPr="0013327C" w:rsidRDefault="0096782A" w:rsidP="00AE0264">
      <w:pPr>
        <w:jc w:val="both"/>
        <w:rPr>
          <w:rFonts w:asciiTheme="majorHAnsi" w:hAnsiTheme="majorHAnsi"/>
        </w:rPr>
      </w:pPr>
      <w:r>
        <w:rPr>
          <w:rFonts w:asciiTheme="majorHAnsi" w:hAnsiTheme="majorHAnsi"/>
          <w:noProof/>
          <w:lang w:eastAsia="en-GB"/>
        </w:rPr>
        <w:drawing>
          <wp:inline distT="0" distB="0" distL="0" distR="0">
            <wp:extent cx="5469147" cy="2956997"/>
            <wp:effectExtent l="0" t="0" r="0" b="0"/>
            <wp:docPr id="2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5475603" cy="2960487"/>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3.</w:t>
      </w:r>
      <w:r w:rsidR="006105ED" w:rsidRPr="0013327C">
        <w:rPr>
          <w:rFonts w:asciiTheme="majorHAnsi" w:hAnsiTheme="majorHAnsi"/>
          <w:b/>
        </w:rPr>
        <w:t>1</w:t>
      </w:r>
      <w:r w:rsidR="00312027">
        <w:rPr>
          <w:rFonts w:asciiTheme="majorHAnsi" w:hAnsiTheme="majorHAnsi"/>
          <w:b/>
        </w:rPr>
        <w:t>7</w:t>
      </w:r>
      <w:r w:rsidRPr="0013327C">
        <w:rPr>
          <w:rFonts w:asciiTheme="majorHAnsi" w:hAnsiTheme="majorHAnsi"/>
          <w:b/>
        </w:rPr>
        <w:t>.</w:t>
      </w:r>
      <w:proofErr w:type="gramEnd"/>
      <w:r w:rsidRPr="0013327C">
        <w:rPr>
          <w:rFonts w:asciiTheme="majorHAnsi" w:hAnsiTheme="majorHAnsi"/>
        </w:rPr>
        <w:t xml:space="preserve"> </w:t>
      </w:r>
      <w:r w:rsidRPr="00274763">
        <w:rPr>
          <w:rFonts w:asciiTheme="majorHAnsi" w:hAnsiTheme="majorHAnsi"/>
          <w:b/>
        </w:rPr>
        <w:t>Nuclear segmentation of WT cells using Multi Wavelength Cell Scoring</w:t>
      </w:r>
      <w:r w:rsidR="006105ED" w:rsidRPr="0013327C">
        <w:rPr>
          <w:rFonts w:asciiTheme="majorHAnsi" w:hAnsiTheme="majorHAnsi"/>
        </w:rPr>
        <w:t>.</w:t>
      </w:r>
      <w:r w:rsidRPr="0013327C">
        <w:rPr>
          <w:rFonts w:asciiTheme="majorHAnsi" w:hAnsiTheme="majorHAnsi"/>
        </w:rPr>
        <w:t xml:space="preserve"> </w:t>
      </w:r>
      <w:r w:rsidR="00274763" w:rsidRPr="0013327C">
        <w:rPr>
          <w:rFonts w:asciiTheme="majorHAnsi" w:hAnsiTheme="majorHAnsi"/>
        </w:rPr>
        <w:t>Settings</w:t>
      </w:r>
      <w:r w:rsidRPr="0013327C">
        <w:rPr>
          <w:rFonts w:asciiTheme="majorHAnsi" w:hAnsiTheme="majorHAnsi"/>
        </w:rPr>
        <w:t xml:space="preserve"> (</w:t>
      </w:r>
      <w:r w:rsidRPr="0013327C">
        <w:rPr>
          <w:rFonts w:asciiTheme="majorHAnsi" w:hAnsiTheme="majorHAnsi"/>
          <w:b/>
        </w:rPr>
        <w:t>A</w:t>
      </w:r>
      <w:r w:rsidRPr="0013327C">
        <w:rPr>
          <w:rFonts w:asciiTheme="majorHAnsi" w:hAnsiTheme="majorHAnsi"/>
        </w:rPr>
        <w:t xml:space="preserve">) developed for the first screen. The software refers to the nuclear Hoechst fluorescence channel as the DAPI channel throughout. The raw Hoechst staining is shown in </w:t>
      </w:r>
      <w:r w:rsidRPr="0013327C">
        <w:rPr>
          <w:rFonts w:asciiTheme="majorHAnsi" w:hAnsiTheme="majorHAnsi"/>
          <w:b/>
        </w:rPr>
        <w:t>B</w:t>
      </w:r>
      <w:r w:rsidRPr="0013327C">
        <w:rPr>
          <w:rFonts w:asciiTheme="majorHAnsi" w:hAnsiTheme="majorHAnsi"/>
        </w:rPr>
        <w:t xml:space="preserve">, the nuclear segmentation in </w:t>
      </w:r>
      <w:r w:rsidRPr="0013327C">
        <w:rPr>
          <w:rFonts w:asciiTheme="majorHAnsi" w:hAnsiTheme="majorHAnsi"/>
          <w:b/>
        </w:rPr>
        <w:t>C</w:t>
      </w:r>
      <w:r w:rsidRPr="0013327C">
        <w:rPr>
          <w:rFonts w:asciiTheme="majorHAnsi" w:hAnsiTheme="majorHAnsi"/>
        </w:rPr>
        <w:t xml:space="preserve"> Bar = 20µm.</w:t>
      </w:r>
    </w:p>
    <w:p w:rsidR="00597427" w:rsidRPr="0013327C" w:rsidRDefault="00597427" w:rsidP="00AE0264">
      <w:pPr>
        <w:jc w:val="both"/>
        <w:rPr>
          <w:rFonts w:asciiTheme="majorHAnsi" w:hAnsiTheme="majorHAnsi"/>
        </w:rPr>
      </w:pPr>
      <w:r w:rsidRPr="0013327C">
        <w:rPr>
          <w:rFonts w:asciiTheme="majorHAnsi" w:hAnsiTheme="majorHAnsi"/>
        </w:rPr>
        <w:t xml:space="preserve">The “Threshold” command allows the user to combine the segmentations, Nuclear and eGFP, and choose how to present them. There are two sliders that can either include or </w:t>
      </w:r>
      <w:r w:rsidRPr="0013327C">
        <w:rPr>
          <w:rFonts w:asciiTheme="majorHAnsi" w:hAnsiTheme="majorHAnsi"/>
        </w:rPr>
        <w:lastRenderedPageBreak/>
        <w:t xml:space="preserve">exclude which nuclei are displayed based on their association with the eGFP. In this case there are just the nuclear channel and the eGFP channel which means that there are three populations of nuclei to display, those associated with eGFP, those not associated with eGFP, or all nuclei. Using the slider only the eGFP-positive nuclei are displayed. Those nuclei not expressing eGFP are removed from the segmentation image and considered removed from any further analysis. </w:t>
      </w:r>
    </w:p>
    <w:p w:rsidR="00597427" w:rsidRPr="0013327C" w:rsidRDefault="00C1179E" w:rsidP="00AE0264">
      <w:pPr>
        <w:jc w:val="both"/>
        <w:rPr>
          <w:rFonts w:asciiTheme="majorHAnsi" w:hAnsiTheme="majorHAnsi"/>
        </w:rPr>
      </w:pPr>
      <w:r w:rsidRPr="00C1179E">
        <w:rPr>
          <w:rFonts w:asciiTheme="majorHAnsi" w:hAnsiTheme="majorHAnsi"/>
          <w:b/>
          <w:noProof/>
          <w:lang w:eastAsia="en-GB"/>
        </w:rPr>
        <w:drawing>
          <wp:inline distT="0" distB="0" distL="0" distR="0">
            <wp:extent cx="5169535" cy="4305184"/>
            <wp:effectExtent l="0" t="0" r="0" b="0"/>
            <wp:docPr id="231"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76864" cy="6476336"/>
                      <a:chOff x="683568" y="190832"/>
                      <a:chExt cx="7776864" cy="6476336"/>
                    </a:xfrm>
                  </a:grpSpPr>
                  <a:grpSp>
                    <a:nvGrpSpPr>
                      <a:cNvPr id="9" name="Group 8"/>
                      <a:cNvGrpSpPr/>
                    </a:nvGrpSpPr>
                    <a:grpSpPr>
                      <a:xfrm>
                        <a:off x="683568" y="190832"/>
                        <a:ext cx="7776864" cy="6476336"/>
                        <a:chOff x="683568" y="190832"/>
                        <a:chExt cx="7776864" cy="6476336"/>
                      </a:xfrm>
                    </a:grpSpPr>
                    <a:pic>
                      <a:nvPicPr>
                        <a:cNvPr id="4" name="Picture 3"/>
                        <a:cNvPicPr>
                          <a:picLocks noChangeAspect="1"/>
                        </a:cNvPicPr>
                      </a:nvPicPr>
                      <a:blipFill>
                        <a:blip r:embed="rId48" cstate="print"/>
                        <a:srcRect/>
                        <a:stretch>
                          <a:fillRect/>
                        </a:stretch>
                      </a:blipFill>
                      <a:spPr bwMode="auto">
                        <a:xfrm>
                          <a:off x="683568" y="190832"/>
                          <a:ext cx="7776864" cy="6476336"/>
                        </a:xfrm>
                        <a:prstGeom prst="rect">
                          <a:avLst/>
                        </a:prstGeom>
                        <a:noFill/>
                      </a:spPr>
                    </a:pic>
                    <a:cxnSp>
                      <a:nvCxnSpPr>
                        <a:cNvPr id="6" name="Straight Connector 5"/>
                        <a:cNvCxnSpPr/>
                      </a:nvCxnSpPr>
                      <a:spPr>
                        <a:xfrm>
                          <a:off x="2483768" y="2564904"/>
                          <a:ext cx="360040" cy="0"/>
                        </a:xfrm>
                        <a:prstGeom prst="line">
                          <a:avLst/>
                        </a:prstGeom>
                        <a:ln w="571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7" name="Straight Connector 6"/>
                        <a:cNvCxnSpPr/>
                      </a:nvCxnSpPr>
                      <a:spPr>
                        <a:xfrm>
                          <a:off x="2483768" y="6021288"/>
                          <a:ext cx="360040" cy="0"/>
                        </a:xfrm>
                        <a:prstGeom prst="line">
                          <a:avLst/>
                        </a:prstGeom>
                        <a:ln w="571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8" name="Straight Connector 7"/>
                        <a:cNvCxnSpPr/>
                      </a:nvCxnSpPr>
                      <a:spPr>
                        <a:xfrm>
                          <a:off x="5940152" y="6021288"/>
                          <a:ext cx="360040" cy="0"/>
                        </a:xfrm>
                        <a:prstGeom prst="line">
                          <a:avLst/>
                        </a:prstGeom>
                        <a:ln w="571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roofErr w:type="gramStart"/>
      <w:r w:rsidR="00597427" w:rsidRPr="0013327C">
        <w:rPr>
          <w:rFonts w:asciiTheme="majorHAnsi" w:hAnsiTheme="majorHAnsi"/>
          <w:b/>
        </w:rPr>
        <w:t>Figure</w:t>
      </w:r>
      <w:r w:rsidR="00274763">
        <w:rPr>
          <w:rFonts w:asciiTheme="majorHAnsi" w:hAnsiTheme="majorHAnsi"/>
          <w:b/>
        </w:rPr>
        <w:t xml:space="preserve"> </w:t>
      </w:r>
      <w:r w:rsidR="00597427" w:rsidRPr="0013327C">
        <w:rPr>
          <w:rFonts w:asciiTheme="majorHAnsi" w:hAnsiTheme="majorHAnsi"/>
          <w:b/>
        </w:rPr>
        <w:t>3.1</w:t>
      </w:r>
      <w:r w:rsidR="00312027">
        <w:rPr>
          <w:rFonts w:asciiTheme="majorHAnsi" w:hAnsiTheme="majorHAnsi"/>
          <w:b/>
        </w:rPr>
        <w:t>8</w:t>
      </w:r>
      <w:r w:rsidR="00597427" w:rsidRPr="0013327C">
        <w:rPr>
          <w:rFonts w:asciiTheme="majorHAnsi" w:hAnsiTheme="majorHAnsi"/>
          <w:b/>
        </w:rPr>
        <w:t>.</w:t>
      </w:r>
      <w:proofErr w:type="gramEnd"/>
      <w:r w:rsidR="00597427" w:rsidRPr="0013327C">
        <w:rPr>
          <w:rFonts w:asciiTheme="majorHAnsi" w:hAnsiTheme="majorHAnsi"/>
        </w:rPr>
        <w:t xml:space="preserve"> </w:t>
      </w:r>
      <w:proofErr w:type="gramStart"/>
      <w:r w:rsidR="00597427" w:rsidRPr="00274763">
        <w:rPr>
          <w:rFonts w:asciiTheme="majorHAnsi" w:hAnsiTheme="majorHAnsi"/>
          <w:b/>
        </w:rPr>
        <w:t xml:space="preserve">The combined </w:t>
      </w:r>
      <w:r w:rsidR="000A07DB" w:rsidRPr="00274763">
        <w:rPr>
          <w:rFonts w:asciiTheme="majorHAnsi" w:hAnsiTheme="majorHAnsi"/>
          <w:b/>
        </w:rPr>
        <w:t xml:space="preserve">MCWS </w:t>
      </w:r>
      <w:r w:rsidR="00597427" w:rsidRPr="00274763">
        <w:rPr>
          <w:rFonts w:asciiTheme="majorHAnsi" w:hAnsiTheme="majorHAnsi"/>
          <w:b/>
        </w:rPr>
        <w:t>segmentations</w:t>
      </w:r>
      <w:r w:rsidR="000A07DB" w:rsidRPr="00274763">
        <w:rPr>
          <w:rFonts w:asciiTheme="majorHAnsi" w:hAnsiTheme="majorHAnsi"/>
          <w:b/>
        </w:rPr>
        <w:t xml:space="preserve"> of WT cells.</w:t>
      </w:r>
      <w:proofErr w:type="gramEnd"/>
      <w:r w:rsidR="000A07DB" w:rsidRPr="0013327C">
        <w:rPr>
          <w:rFonts w:asciiTheme="majorHAnsi" w:hAnsiTheme="majorHAnsi"/>
        </w:rPr>
        <w:t xml:space="preserve"> </w:t>
      </w:r>
      <w:r w:rsidR="00F06C9D" w:rsidRPr="0013327C">
        <w:rPr>
          <w:rFonts w:asciiTheme="majorHAnsi" w:hAnsiTheme="majorHAnsi"/>
        </w:rPr>
        <w:t>(</w:t>
      </w:r>
      <w:r w:rsidR="00F06C9D" w:rsidRPr="0013327C">
        <w:rPr>
          <w:rFonts w:asciiTheme="majorHAnsi" w:hAnsiTheme="majorHAnsi"/>
          <w:b/>
        </w:rPr>
        <w:t>A</w:t>
      </w:r>
      <w:r w:rsidR="00F06C9D" w:rsidRPr="0013327C">
        <w:rPr>
          <w:rFonts w:asciiTheme="majorHAnsi" w:hAnsiTheme="majorHAnsi"/>
        </w:rPr>
        <w:t xml:space="preserve">) </w:t>
      </w:r>
      <w:proofErr w:type="gramStart"/>
      <w:r w:rsidR="00F06C9D">
        <w:rPr>
          <w:rFonts w:asciiTheme="majorHAnsi" w:hAnsiTheme="majorHAnsi"/>
        </w:rPr>
        <w:t>is</w:t>
      </w:r>
      <w:proofErr w:type="gramEnd"/>
      <w:r w:rsidR="00F06C9D" w:rsidRPr="0013327C">
        <w:rPr>
          <w:rFonts w:asciiTheme="majorHAnsi" w:hAnsiTheme="majorHAnsi"/>
        </w:rPr>
        <w:t xml:space="preserve"> needed to select the eGFP-positive nuclei. </w:t>
      </w:r>
      <w:r w:rsidR="00597427" w:rsidRPr="0013327C">
        <w:rPr>
          <w:rFonts w:asciiTheme="majorHAnsi" w:hAnsiTheme="majorHAnsi"/>
        </w:rPr>
        <w:t>The nuclei only display (</w:t>
      </w:r>
      <w:r w:rsidR="00597427" w:rsidRPr="0013327C">
        <w:rPr>
          <w:rFonts w:asciiTheme="majorHAnsi" w:hAnsiTheme="majorHAnsi"/>
          <w:b/>
        </w:rPr>
        <w:t>B</w:t>
      </w:r>
      <w:r w:rsidR="00597427" w:rsidRPr="0013327C">
        <w:rPr>
          <w:rFonts w:asciiTheme="majorHAnsi" w:hAnsiTheme="majorHAnsi"/>
        </w:rPr>
        <w:t xml:space="preserve">) is used by the Threshold application (settings in </w:t>
      </w:r>
      <w:r w:rsidR="00597427" w:rsidRPr="0013327C">
        <w:rPr>
          <w:rFonts w:asciiTheme="majorHAnsi" w:hAnsiTheme="majorHAnsi"/>
          <w:b/>
        </w:rPr>
        <w:t>C</w:t>
      </w:r>
      <w:r w:rsidR="00597427" w:rsidRPr="0013327C">
        <w:rPr>
          <w:rFonts w:asciiTheme="majorHAnsi" w:hAnsiTheme="majorHAnsi"/>
        </w:rPr>
        <w:t xml:space="preserve">) to remove the nuclei of non-transfected cells. The settings show that the two populations between the arrows (all nuclei and non GFP-associated nuclei, 0-2) are being excluded leaving the GFP-associated nuclei selected (2-3, </w:t>
      </w:r>
      <w:r w:rsidR="00597427" w:rsidRPr="0013327C">
        <w:rPr>
          <w:rFonts w:asciiTheme="majorHAnsi" w:hAnsiTheme="majorHAnsi"/>
          <w:b/>
        </w:rPr>
        <w:t>D</w:t>
      </w:r>
      <w:r w:rsidR="00597427" w:rsidRPr="0013327C">
        <w:rPr>
          <w:rFonts w:asciiTheme="majorHAnsi" w:hAnsiTheme="majorHAnsi"/>
        </w:rPr>
        <w:t>). Bar = 20µM.</w:t>
      </w:r>
    </w:p>
    <w:p w:rsidR="00597427" w:rsidRPr="0013327C" w:rsidRDefault="00597427" w:rsidP="00AE0264">
      <w:pPr>
        <w:jc w:val="both"/>
        <w:rPr>
          <w:rFonts w:asciiTheme="majorHAnsi" w:hAnsiTheme="majorHAnsi"/>
        </w:rPr>
      </w:pPr>
      <w:r w:rsidRPr="0013327C">
        <w:rPr>
          <w:rFonts w:asciiTheme="majorHAnsi" w:hAnsiTheme="majorHAnsi"/>
        </w:rPr>
        <w:t>The next command is “Binari</w:t>
      </w:r>
      <w:r w:rsidR="00F06C9D">
        <w:rPr>
          <w:rFonts w:asciiTheme="majorHAnsi" w:hAnsiTheme="majorHAnsi"/>
        </w:rPr>
        <w:t>s</w:t>
      </w:r>
      <w:r w:rsidRPr="0013327C">
        <w:rPr>
          <w:rFonts w:asciiTheme="majorHAnsi" w:hAnsiTheme="majorHAnsi"/>
        </w:rPr>
        <w:t xml:space="preserve">e”. This is to convert the segmentation image with the eGFP-positive nuclei into a simple black and white image. The nuclei remain white on a black background. This would be sufficient for the Transfluor application to use as a nuclear channel to superimpose peroxisomes onto it except that the Binarise application created a 2-bit black and white image called “Binarised”. The Transfluor </w:t>
      </w:r>
      <w:r w:rsidRPr="0013327C">
        <w:rPr>
          <w:rFonts w:asciiTheme="majorHAnsi" w:hAnsiTheme="majorHAnsi"/>
        </w:rPr>
        <w:lastRenderedPageBreak/>
        <w:t xml:space="preserve">application requires a minimum quality of 16-bit images be used. The nuclear segmentation can be converted from 2-bit to 16-bit using an application called “Arithmetic”. Arithmetic makes a simple conversion without any visual alteration to the segmentation. The new image is created in a new window and named “Arithmetic”, signifying its progress in the overall segmentation process (not shown). </w:t>
      </w:r>
    </w:p>
    <w:p w:rsidR="00597427" w:rsidRPr="0013327C" w:rsidRDefault="005E2E57" w:rsidP="00AE0264">
      <w:pPr>
        <w:jc w:val="both"/>
        <w:rPr>
          <w:rFonts w:asciiTheme="majorHAnsi" w:hAnsiTheme="majorHAnsi"/>
        </w:rPr>
      </w:pPr>
      <w:r>
        <w:rPr>
          <w:rFonts w:asciiTheme="majorHAnsi" w:hAnsiTheme="majorHAnsi"/>
          <w:b/>
          <w:noProof/>
          <w:lang w:eastAsia="en-GB"/>
        </w:rPr>
        <w:drawing>
          <wp:inline distT="0" distB="0" distL="0" distR="0">
            <wp:extent cx="5472294" cy="3407433"/>
            <wp:effectExtent l="0" t="0" r="0" b="0"/>
            <wp:docPr id="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srcRect/>
                    <a:stretch>
                      <a:fillRect/>
                    </a:stretch>
                  </pic:blipFill>
                  <pic:spPr bwMode="auto">
                    <a:xfrm>
                      <a:off x="0" y="0"/>
                      <a:ext cx="5476270" cy="3409909"/>
                    </a:xfrm>
                    <a:prstGeom prst="rect">
                      <a:avLst/>
                    </a:prstGeom>
                    <a:noFill/>
                  </pic:spPr>
                </pic:pic>
              </a:graphicData>
            </a:graphic>
          </wp:inline>
        </w:drawing>
      </w:r>
      <w:proofErr w:type="gramStart"/>
      <w:r w:rsidR="00597427" w:rsidRPr="0013327C">
        <w:rPr>
          <w:rFonts w:asciiTheme="majorHAnsi" w:hAnsiTheme="majorHAnsi"/>
          <w:b/>
        </w:rPr>
        <w:t>Figure 3.</w:t>
      </w:r>
      <w:r w:rsidR="00312027">
        <w:rPr>
          <w:rFonts w:asciiTheme="majorHAnsi" w:hAnsiTheme="majorHAnsi"/>
          <w:b/>
        </w:rPr>
        <w:t>19</w:t>
      </w:r>
      <w:r w:rsidR="00597427" w:rsidRPr="0013327C">
        <w:rPr>
          <w:rFonts w:asciiTheme="majorHAnsi" w:hAnsiTheme="majorHAnsi"/>
          <w:b/>
        </w:rPr>
        <w:t>.</w:t>
      </w:r>
      <w:proofErr w:type="gramEnd"/>
      <w:r w:rsidR="00597427" w:rsidRPr="0013327C">
        <w:rPr>
          <w:rFonts w:asciiTheme="majorHAnsi" w:hAnsiTheme="majorHAnsi"/>
        </w:rPr>
        <w:t xml:space="preserve"> </w:t>
      </w:r>
      <w:proofErr w:type="gramStart"/>
      <w:r w:rsidR="000A07DB" w:rsidRPr="00F06C9D">
        <w:rPr>
          <w:rFonts w:asciiTheme="majorHAnsi" w:hAnsiTheme="majorHAnsi"/>
          <w:b/>
        </w:rPr>
        <w:t>Binary Settings</w:t>
      </w:r>
      <w:r w:rsidR="000A07DB" w:rsidRPr="0013327C">
        <w:rPr>
          <w:rFonts w:asciiTheme="majorHAnsi" w:hAnsiTheme="majorHAnsi"/>
        </w:rPr>
        <w:t>.</w:t>
      </w:r>
      <w:proofErr w:type="gramEnd"/>
      <w:r w:rsidR="000A07DB" w:rsidRPr="0013327C">
        <w:rPr>
          <w:rFonts w:asciiTheme="majorHAnsi" w:hAnsiTheme="majorHAnsi"/>
        </w:rPr>
        <w:t xml:space="preserve"> T</w:t>
      </w:r>
      <w:r w:rsidR="00597427" w:rsidRPr="0013327C">
        <w:rPr>
          <w:rFonts w:asciiTheme="majorHAnsi" w:hAnsiTheme="majorHAnsi"/>
        </w:rPr>
        <w:t>he Binary program settings (</w:t>
      </w:r>
      <w:r w:rsidR="00597427" w:rsidRPr="0013327C">
        <w:rPr>
          <w:rFonts w:asciiTheme="majorHAnsi" w:hAnsiTheme="majorHAnsi"/>
          <w:b/>
        </w:rPr>
        <w:t>A</w:t>
      </w:r>
      <w:r w:rsidR="00597427" w:rsidRPr="0013327C">
        <w:rPr>
          <w:rFonts w:asciiTheme="majorHAnsi" w:hAnsiTheme="majorHAnsi"/>
        </w:rPr>
        <w:t>)</w:t>
      </w:r>
      <w:r w:rsidR="00597427" w:rsidRPr="0013327C">
        <w:rPr>
          <w:rFonts w:asciiTheme="majorHAnsi" w:hAnsiTheme="majorHAnsi"/>
          <w:b/>
        </w:rPr>
        <w:t xml:space="preserve"> </w:t>
      </w:r>
      <w:r w:rsidR="00597427" w:rsidRPr="0013327C">
        <w:rPr>
          <w:rFonts w:asciiTheme="majorHAnsi" w:hAnsiTheme="majorHAnsi"/>
        </w:rPr>
        <w:t>convert the threshold image (</w:t>
      </w:r>
      <w:r w:rsidR="00597427" w:rsidRPr="0013327C">
        <w:rPr>
          <w:rFonts w:asciiTheme="majorHAnsi" w:hAnsiTheme="majorHAnsi"/>
          <w:b/>
        </w:rPr>
        <w:t>B</w:t>
      </w:r>
      <w:r w:rsidR="00597427" w:rsidRPr="0013327C">
        <w:rPr>
          <w:rFonts w:asciiTheme="majorHAnsi" w:hAnsiTheme="majorHAnsi"/>
        </w:rPr>
        <w:t>) to a “binary”, black and white image (</w:t>
      </w:r>
      <w:r w:rsidR="00597427" w:rsidRPr="0013327C">
        <w:rPr>
          <w:rFonts w:asciiTheme="majorHAnsi" w:hAnsiTheme="majorHAnsi"/>
          <w:b/>
        </w:rPr>
        <w:t>C</w:t>
      </w:r>
      <w:r w:rsidR="00597427" w:rsidRPr="0013327C">
        <w:rPr>
          <w:rFonts w:asciiTheme="majorHAnsi" w:hAnsiTheme="majorHAnsi"/>
        </w:rPr>
        <w:t>). An application called arithmetic converts the binary image from 2-bit to 16-bit. Bar = 20µm.</w:t>
      </w:r>
    </w:p>
    <w:p w:rsidR="00597427" w:rsidRPr="0013327C" w:rsidRDefault="00597427" w:rsidP="00AE0264">
      <w:pPr>
        <w:jc w:val="both"/>
        <w:rPr>
          <w:rFonts w:asciiTheme="majorHAnsi" w:hAnsiTheme="majorHAnsi"/>
        </w:rPr>
      </w:pPr>
      <w:r w:rsidRPr="0013327C">
        <w:rPr>
          <w:rFonts w:asciiTheme="majorHAnsi" w:hAnsiTheme="majorHAnsi"/>
        </w:rPr>
        <w:t xml:space="preserve">The Transfluor application can now be executed but instead of it using the raw DAPI channel as its nuclear input, it now uses the “Arithmetic” image which has had all the eGFP-negative nuclei discounted. The eGFP channel can now be analysed for punctate structures. Transfluor uses a different algorithm to that of Multi Wavelength Cell Sorting, looking specifically for puncta. The puncta are measured for cross-sectional area, intensity and quantified on an average per cell, average per </w:t>
      </w:r>
      <w:r w:rsidRPr="00F06C9D">
        <w:rPr>
          <w:rFonts w:asciiTheme="majorHAnsi" w:hAnsiTheme="majorHAnsi"/>
          <w:i/>
        </w:rPr>
        <w:t>punctum</w:t>
      </w:r>
      <w:r w:rsidRPr="0013327C">
        <w:rPr>
          <w:rFonts w:asciiTheme="majorHAnsi" w:hAnsiTheme="majorHAnsi"/>
        </w:rPr>
        <w:t xml:space="preserve"> and total per image basis as well as many other parameters not compared in this study. The settings needed extensive repetition and fine-tu</w:t>
      </w:r>
      <w:r w:rsidR="00C3380A" w:rsidRPr="0013327C">
        <w:rPr>
          <w:rFonts w:asciiTheme="majorHAnsi" w:hAnsiTheme="majorHAnsi"/>
        </w:rPr>
        <w:t>ning on a trial and error basis</w:t>
      </w:r>
      <w:r w:rsidRPr="0013327C">
        <w:rPr>
          <w:rFonts w:asciiTheme="majorHAnsi" w:hAnsiTheme="majorHAnsi"/>
        </w:rPr>
        <w:t xml:space="preserve">. The settings needed to reproducibly differentiate between the WT and </w:t>
      </w:r>
      <w:r w:rsidR="000C26B2" w:rsidRPr="000C26B2">
        <w:rPr>
          <w:rFonts w:asciiTheme="majorHAnsi" w:hAnsiTheme="majorHAnsi"/>
          <w:i/>
        </w:rPr>
        <w:t>PEX</w:t>
      </w:r>
      <w:r w:rsidRPr="0013327C">
        <w:rPr>
          <w:rFonts w:asciiTheme="majorHAnsi" w:hAnsiTheme="majorHAnsi"/>
        </w:rPr>
        <w:t xml:space="preserve"> knockdowns based on peroxisome number per nucleus. </w:t>
      </w:r>
    </w:p>
    <w:p w:rsidR="00597427" w:rsidRPr="0013327C" w:rsidRDefault="00597427" w:rsidP="00AE0264">
      <w:pPr>
        <w:jc w:val="both"/>
        <w:rPr>
          <w:rFonts w:asciiTheme="majorHAnsi" w:hAnsiTheme="majorHAnsi"/>
          <w:b/>
        </w:rPr>
      </w:pPr>
      <w:r w:rsidRPr="0013327C">
        <w:rPr>
          <w:rFonts w:asciiTheme="majorHAnsi" w:hAnsiTheme="majorHAnsi"/>
          <w:b/>
          <w:noProof/>
          <w:lang w:eastAsia="en-GB"/>
        </w:rPr>
        <w:lastRenderedPageBreak/>
        <w:drawing>
          <wp:inline distT="0" distB="0" distL="0" distR="0">
            <wp:extent cx="4982511" cy="4913283"/>
            <wp:effectExtent l="19050" t="0" r="8589" b="0"/>
            <wp:docPr id="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srcRect/>
                    <a:stretch>
                      <a:fillRect/>
                    </a:stretch>
                  </pic:blipFill>
                  <pic:spPr bwMode="auto">
                    <a:xfrm>
                      <a:off x="0" y="0"/>
                      <a:ext cx="4988955" cy="4919638"/>
                    </a:xfrm>
                    <a:prstGeom prst="rect">
                      <a:avLst/>
                    </a:prstGeom>
                    <a:noFill/>
                  </pic:spPr>
                </pic:pic>
              </a:graphicData>
            </a:graphic>
          </wp:inline>
        </w:drawing>
      </w:r>
      <w:proofErr w:type="gramStart"/>
      <w:r w:rsidRPr="0013327C">
        <w:rPr>
          <w:rFonts w:asciiTheme="majorHAnsi" w:hAnsiTheme="majorHAnsi"/>
          <w:b/>
        </w:rPr>
        <w:t>Figure 3.</w:t>
      </w:r>
      <w:r w:rsidR="00D0579D" w:rsidRPr="0013327C">
        <w:rPr>
          <w:rFonts w:asciiTheme="majorHAnsi" w:hAnsiTheme="majorHAnsi"/>
          <w:b/>
        </w:rPr>
        <w:t>2</w:t>
      </w:r>
      <w:r w:rsidR="0024632A">
        <w:rPr>
          <w:rFonts w:asciiTheme="majorHAnsi" w:hAnsiTheme="majorHAnsi"/>
          <w:b/>
        </w:rPr>
        <w:t>0</w:t>
      </w:r>
      <w:r w:rsidRPr="0013327C">
        <w:rPr>
          <w:rFonts w:asciiTheme="majorHAnsi" w:hAnsiTheme="majorHAnsi"/>
          <w:b/>
        </w:rPr>
        <w:t>.</w:t>
      </w:r>
      <w:proofErr w:type="gramEnd"/>
      <w:r w:rsidRPr="0013327C">
        <w:rPr>
          <w:rFonts w:asciiTheme="majorHAnsi" w:hAnsiTheme="majorHAnsi"/>
          <w:b/>
        </w:rPr>
        <w:t xml:space="preserve"> </w:t>
      </w:r>
      <w:proofErr w:type="gramStart"/>
      <w:r w:rsidR="00D0579D" w:rsidRPr="00F06C9D">
        <w:rPr>
          <w:rFonts w:asciiTheme="majorHAnsi" w:hAnsiTheme="majorHAnsi"/>
          <w:b/>
        </w:rPr>
        <w:t>Transfluor setting and peroxisomal segmentation</w:t>
      </w:r>
      <w:r w:rsidR="00C027B2">
        <w:rPr>
          <w:rFonts w:asciiTheme="majorHAnsi" w:hAnsiTheme="majorHAnsi"/>
          <w:b/>
        </w:rPr>
        <w:t xml:space="preserve"> of WT cells</w:t>
      </w:r>
      <w:r w:rsidR="00D0579D" w:rsidRPr="00F06C9D">
        <w:rPr>
          <w:rFonts w:asciiTheme="majorHAnsi" w:hAnsiTheme="majorHAnsi"/>
          <w:b/>
        </w:rPr>
        <w:t>.</w:t>
      </w:r>
      <w:proofErr w:type="gramEnd"/>
      <w:r w:rsidR="00D0579D" w:rsidRPr="0013327C">
        <w:rPr>
          <w:rFonts w:asciiTheme="majorHAnsi" w:hAnsiTheme="majorHAnsi"/>
          <w:b/>
        </w:rPr>
        <w:t xml:space="preserve"> </w:t>
      </w:r>
      <w:r w:rsidRPr="0013327C">
        <w:rPr>
          <w:rFonts w:asciiTheme="majorHAnsi" w:hAnsiTheme="majorHAnsi"/>
        </w:rPr>
        <w:t>The nuclei from the 16-bit “Arithmetic” image (</w:t>
      </w:r>
      <w:r w:rsidRPr="0013327C">
        <w:rPr>
          <w:rFonts w:asciiTheme="majorHAnsi" w:hAnsiTheme="majorHAnsi"/>
          <w:b/>
        </w:rPr>
        <w:t>A</w:t>
      </w:r>
      <w:r w:rsidRPr="0013327C">
        <w:rPr>
          <w:rFonts w:asciiTheme="majorHAnsi" w:hAnsiTheme="majorHAnsi"/>
        </w:rPr>
        <w:t>) are used as nuclear markers by the Transfluor application settings (</w:t>
      </w:r>
      <w:r w:rsidRPr="0013327C">
        <w:rPr>
          <w:rFonts w:asciiTheme="majorHAnsi" w:hAnsiTheme="majorHAnsi"/>
          <w:b/>
        </w:rPr>
        <w:t>B</w:t>
      </w:r>
      <w:r w:rsidRPr="0013327C">
        <w:rPr>
          <w:rFonts w:asciiTheme="majorHAnsi" w:hAnsiTheme="majorHAnsi"/>
        </w:rPr>
        <w:t>). The raw GFP image (</w:t>
      </w:r>
      <w:r w:rsidRPr="0013327C">
        <w:rPr>
          <w:rFonts w:asciiTheme="majorHAnsi" w:hAnsiTheme="majorHAnsi"/>
          <w:b/>
        </w:rPr>
        <w:t>C</w:t>
      </w:r>
      <w:r w:rsidRPr="0013327C">
        <w:rPr>
          <w:rFonts w:asciiTheme="majorHAnsi" w:hAnsiTheme="majorHAnsi"/>
        </w:rPr>
        <w:t xml:space="preserve">) is then analysed for puncta </w:t>
      </w:r>
      <w:r w:rsidR="00EF6E00">
        <w:rPr>
          <w:rFonts w:asciiTheme="majorHAnsi" w:hAnsiTheme="majorHAnsi"/>
        </w:rPr>
        <w:t xml:space="preserve">(referred to in the software as pits) </w:t>
      </w:r>
      <w:r w:rsidRPr="0013327C">
        <w:rPr>
          <w:rFonts w:asciiTheme="majorHAnsi" w:hAnsiTheme="majorHAnsi"/>
        </w:rPr>
        <w:t>which are segmented and then superimposed onto the Arithmetic image (</w:t>
      </w:r>
      <w:r w:rsidRPr="0013327C">
        <w:rPr>
          <w:rFonts w:asciiTheme="majorHAnsi" w:hAnsiTheme="majorHAnsi"/>
          <w:b/>
        </w:rPr>
        <w:t>D</w:t>
      </w:r>
      <w:r w:rsidRPr="0013327C">
        <w:rPr>
          <w:rFonts w:asciiTheme="majorHAnsi" w:hAnsiTheme="majorHAnsi"/>
        </w:rPr>
        <w:t>). Bar = 20µm.</w:t>
      </w:r>
    </w:p>
    <w:p w:rsidR="00597427" w:rsidRPr="0013327C" w:rsidRDefault="00597427" w:rsidP="00AE0264">
      <w:pPr>
        <w:jc w:val="both"/>
        <w:rPr>
          <w:rFonts w:asciiTheme="majorHAnsi" w:hAnsiTheme="majorHAnsi"/>
        </w:rPr>
      </w:pPr>
      <w:r w:rsidRPr="0013327C">
        <w:rPr>
          <w:rFonts w:asciiTheme="majorHAnsi" w:hAnsiTheme="majorHAnsi"/>
        </w:rPr>
        <w:t>All the applications need to be executed in the correct order. It is highly impractical to do it manually for the 183,168 sites in the genome library and so the METAXpress software has an application called a “journal”. Journals list the applications chronologically in the order that they require executing (Figure 3.</w:t>
      </w:r>
      <w:r w:rsidR="005A4C76">
        <w:rPr>
          <w:rFonts w:asciiTheme="majorHAnsi" w:hAnsiTheme="majorHAnsi"/>
        </w:rPr>
        <w:t>22.</w:t>
      </w:r>
      <w:r w:rsidRPr="0013327C">
        <w:rPr>
          <w:rFonts w:asciiTheme="majorHAnsi" w:hAnsiTheme="majorHAnsi"/>
        </w:rPr>
        <w:t>). During the analysis of the screen the entire journal is executed for each site of every well, the applications are listed top to bottom and executed thus.</w:t>
      </w:r>
    </w:p>
    <w:p w:rsidR="00D0579D"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676775" cy="2619375"/>
            <wp:effectExtent l="19050" t="0" r="9525" b="0"/>
            <wp:docPr id="8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1" cstate="print"/>
                    <a:srcRect l="30781" t="24113" r="24562" b="39007"/>
                    <a:stretch>
                      <a:fillRect/>
                    </a:stretch>
                  </pic:blipFill>
                  <pic:spPr bwMode="auto">
                    <a:xfrm>
                      <a:off x="0" y="0"/>
                      <a:ext cx="4676775" cy="2619375"/>
                    </a:xfrm>
                    <a:prstGeom prst="rect">
                      <a:avLst/>
                    </a:prstGeom>
                    <a:noFill/>
                    <a:ln w="9525">
                      <a:noFill/>
                      <a:miter lim="800000"/>
                      <a:headEnd/>
                      <a:tailEnd/>
                    </a:ln>
                    <a:effectLst/>
                  </pic:spPr>
                </pic:pic>
              </a:graphicData>
            </a:graphic>
          </wp:inline>
        </w:drawing>
      </w:r>
      <w:r w:rsidRPr="0013327C">
        <w:rPr>
          <w:rFonts w:asciiTheme="majorHAnsi" w:hAnsiTheme="majorHAnsi"/>
        </w:rPr>
        <w:t xml:space="preserve"> </w:t>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3.</w:t>
      </w:r>
      <w:r w:rsidR="00D0579D" w:rsidRPr="0013327C">
        <w:rPr>
          <w:rFonts w:asciiTheme="majorHAnsi" w:hAnsiTheme="majorHAnsi"/>
          <w:b/>
        </w:rPr>
        <w:t>2</w:t>
      </w:r>
      <w:r w:rsidR="0024632A">
        <w:rPr>
          <w:rFonts w:asciiTheme="majorHAnsi" w:hAnsiTheme="majorHAnsi"/>
          <w:b/>
        </w:rPr>
        <w:t>1</w:t>
      </w:r>
      <w:r w:rsidRPr="0013327C">
        <w:rPr>
          <w:rFonts w:asciiTheme="majorHAnsi" w:hAnsiTheme="majorHAnsi"/>
          <w:b/>
        </w:rPr>
        <w:t>.</w:t>
      </w:r>
      <w:proofErr w:type="gramEnd"/>
      <w:r w:rsidR="00D0579D" w:rsidRPr="0013327C">
        <w:rPr>
          <w:rFonts w:asciiTheme="majorHAnsi" w:hAnsiTheme="majorHAnsi"/>
          <w:b/>
        </w:rPr>
        <w:t xml:space="preserve"> </w:t>
      </w:r>
      <w:proofErr w:type="gramStart"/>
      <w:r w:rsidR="00D0579D" w:rsidRPr="0013327C">
        <w:rPr>
          <w:rFonts w:asciiTheme="majorHAnsi" w:hAnsiTheme="majorHAnsi"/>
          <w:b/>
        </w:rPr>
        <w:t>Journal application list.</w:t>
      </w:r>
      <w:proofErr w:type="gramEnd"/>
      <w:r w:rsidR="00D0579D" w:rsidRPr="0013327C">
        <w:rPr>
          <w:rFonts w:asciiTheme="majorHAnsi" w:hAnsiTheme="majorHAnsi"/>
          <w:b/>
        </w:rPr>
        <w:t xml:space="preserve"> </w:t>
      </w:r>
      <w:r w:rsidRPr="0013327C">
        <w:rPr>
          <w:rFonts w:asciiTheme="majorHAnsi" w:hAnsiTheme="majorHAnsi"/>
        </w:rPr>
        <w:t xml:space="preserve"> The journal application that lists and executes all the applications and processes in the order required, top to bottom. For the first screen the MWCS needed executing on each site prior to Transfluor. The summary log opens an excel file which records selected datafields in columns and logs each site’s data on a new row. Table 3.</w:t>
      </w:r>
      <w:r w:rsidR="00DF2CED">
        <w:rPr>
          <w:rFonts w:asciiTheme="majorHAnsi" w:hAnsiTheme="majorHAnsi"/>
        </w:rPr>
        <w:t>1/2</w:t>
      </w:r>
      <w:r w:rsidRPr="0013327C">
        <w:rPr>
          <w:rFonts w:asciiTheme="majorHAnsi" w:hAnsiTheme="majorHAnsi"/>
        </w:rPr>
        <w:t xml:space="preserve"> is a sample showing the data for the WT site already processed above and a </w:t>
      </w:r>
      <w:r w:rsidR="000C26B2" w:rsidRPr="000C26B2">
        <w:rPr>
          <w:rFonts w:asciiTheme="majorHAnsi" w:hAnsiTheme="majorHAnsi"/>
          <w:i/>
        </w:rPr>
        <w:t>PEX</w:t>
      </w:r>
      <w:r w:rsidRPr="0013327C">
        <w:rPr>
          <w:rFonts w:asciiTheme="majorHAnsi" w:hAnsiTheme="majorHAnsi"/>
        </w:rPr>
        <w:t>5 site processed in Figure</w:t>
      </w:r>
      <w:r w:rsidR="002428CD">
        <w:rPr>
          <w:rFonts w:asciiTheme="majorHAnsi" w:hAnsiTheme="majorHAnsi"/>
        </w:rPr>
        <w:t xml:space="preserve"> </w:t>
      </w:r>
      <w:r w:rsidR="00DF2CED">
        <w:rPr>
          <w:rFonts w:asciiTheme="majorHAnsi" w:hAnsiTheme="majorHAnsi"/>
        </w:rPr>
        <w:t>3.23</w:t>
      </w:r>
      <w:r w:rsidRPr="0013327C">
        <w:rPr>
          <w:rFonts w:asciiTheme="majorHAnsi" w:hAnsiTheme="majorHAnsi"/>
        </w:rPr>
        <w:t xml:space="preserve"> using the same settings. The final command closes the images that are open on the desktop before the new images are opened to prevent the accumulation of opened images, reducing processing power on the active computer.</w:t>
      </w:r>
    </w:p>
    <w:p w:rsidR="00597427" w:rsidRPr="0013327C" w:rsidRDefault="00597427" w:rsidP="00AE0264">
      <w:pPr>
        <w:jc w:val="both"/>
        <w:rPr>
          <w:rFonts w:asciiTheme="majorHAnsi" w:hAnsiTheme="majorHAnsi"/>
        </w:rPr>
      </w:pPr>
      <w:r w:rsidRPr="0013327C">
        <w:rPr>
          <w:rFonts w:asciiTheme="majorHAnsi" w:hAnsiTheme="majorHAnsi"/>
        </w:rPr>
        <w:t xml:space="preserve">The same settings for MWCS and Transfluor needed to be executed on all sites in the genome and be able to differentiate numerically between WT phenotypes and deviations from them. </w:t>
      </w:r>
      <w:proofErr w:type="gramStart"/>
      <w:r w:rsidRPr="0013327C">
        <w:rPr>
          <w:rFonts w:asciiTheme="majorHAnsi" w:hAnsiTheme="majorHAnsi"/>
        </w:rPr>
        <w:t>Figure 3.</w:t>
      </w:r>
      <w:r w:rsidR="005A4C76">
        <w:rPr>
          <w:rFonts w:asciiTheme="majorHAnsi" w:hAnsiTheme="majorHAnsi"/>
        </w:rPr>
        <w:t>23.</w:t>
      </w:r>
      <w:proofErr w:type="gramEnd"/>
      <w:r w:rsidRPr="0013327C">
        <w:rPr>
          <w:rFonts w:asciiTheme="majorHAnsi" w:hAnsiTheme="majorHAnsi"/>
          <w:color w:val="FF0000"/>
        </w:rPr>
        <w:t xml:space="preserve"> </w:t>
      </w:r>
      <w:proofErr w:type="gramStart"/>
      <w:r w:rsidRPr="0013327C">
        <w:rPr>
          <w:rFonts w:asciiTheme="majorHAnsi" w:hAnsiTheme="majorHAnsi"/>
        </w:rPr>
        <w:t>shows</w:t>
      </w:r>
      <w:proofErr w:type="gramEnd"/>
      <w:r w:rsidRPr="0013327C">
        <w:rPr>
          <w:rFonts w:asciiTheme="majorHAnsi" w:hAnsiTheme="majorHAnsi"/>
        </w:rPr>
        <w:t xml:space="preserve"> a </w:t>
      </w:r>
      <w:r w:rsidR="000C26B2" w:rsidRPr="000C26B2">
        <w:rPr>
          <w:rFonts w:asciiTheme="majorHAnsi" w:hAnsiTheme="majorHAnsi"/>
          <w:i/>
        </w:rPr>
        <w:t>PEX</w:t>
      </w:r>
      <w:r w:rsidRPr="0013327C">
        <w:rPr>
          <w:rFonts w:asciiTheme="majorHAnsi" w:hAnsiTheme="majorHAnsi"/>
        </w:rPr>
        <w:t>5 KD processed by MWCS and Transfluor with exactly the same settings as the WT image from above.</w:t>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048250" cy="3895725"/>
            <wp:effectExtent l="0" t="0" r="0" b="0"/>
            <wp:docPr id="88"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12968" cy="6624736"/>
                      <a:chOff x="251520" y="116632"/>
                      <a:chExt cx="8712968" cy="6624736"/>
                    </a:xfrm>
                  </a:grpSpPr>
                  <a:grpSp>
                    <a:nvGrpSpPr>
                      <a:cNvPr id="17" name="Group 16"/>
                      <a:cNvGrpSpPr/>
                    </a:nvGrpSpPr>
                    <a:grpSpPr>
                      <a:xfrm>
                        <a:off x="251520" y="116632"/>
                        <a:ext cx="8712968" cy="6624736"/>
                        <a:chOff x="251520" y="116632"/>
                        <a:chExt cx="8712968" cy="6624736"/>
                      </a:xfrm>
                    </a:grpSpPr>
                    <a:pic>
                      <a:nvPicPr>
                        <a:cNvPr id="1026" name="Picture 2"/>
                        <a:cNvPicPr>
                          <a:picLocks noChangeAspect="1" noChangeArrowheads="1"/>
                        </a:cNvPicPr>
                      </a:nvPicPr>
                      <a:blipFill>
                        <a:blip r:embed="rId52"/>
                        <a:srcRect/>
                        <a:stretch>
                          <a:fillRect/>
                        </a:stretch>
                      </a:blipFill>
                      <a:spPr bwMode="auto">
                        <a:xfrm>
                          <a:off x="899591" y="116632"/>
                          <a:ext cx="3672408" cy="2167969"/>
                        </a:xfrm>
                        <a:prstGeom prst="rect">
                          <a:avLst/>
                        </a:prstGeom>
                        <a:noFill/>
                        <a:ln w="9525">
                          <a:noFill/>
                          <a:miter lim="800000"/>
                          <a:headEnd/>
                          <a:tailEnd/>
                        </a:ln>
                        <a:effectLst/>
                      </a:spPr>
                    </a:pic>
                    <a:pic>
                      <a:nvPicPr>
                        <a:cNvPr id="1027" name="Picture 3"/>
                        <a:cNvPicPr>
                          <a:picLocks noChangeAspect="1" noChangeArrowheads="1"/>
                        </a:cNvPicPr>
                      </a:nvPicPr>
                      <a:blipFill>
                        <a:blip r:embed="rId53"/>
                        <a:srcRect/>
                        <a:stretch>
                          <a:fillRect/>
                        </a:stretch>
                      </a:blipFill>
                      <a:spPr bwMode="auto">
                        <a:xfrm>
                          <a:off x="4644007" y="116632"/>
                          <a:ext cx="3672408" cy="2167969"/>
                        </a:xfrm>
                        <a:prstGeom prst="rect">
                          <a:avLst/>
                        </a:prstGeom>
                        <a:noFill/>
                        <a:ln w="9525">
                          <a:noFill/>
                          <a:miter lim="800000"/>
                          <a:headEnd/>
                          <a:tailEnd/>
                        </a:ln>
                        <a:effectLst/>
                      </a:spPr>
                    </a:pic>
                    <a:pic>
                      <a:nvPicPr>
                        <a:cNvPr id="1028" name="Picture 4"/>
                        <a:cNvPicPr>
                          <a:picLocks noChangeAspect="1" noChangeArrowheads="1"/>
                        </a:cNvPicPr>
                      </a:nvPicPr>
                      <a:blipFill>
                        <a:blip r:embed="rId54"/>
                        <a:srcRect/>
                        <a:stretch>
                          <a:fillRect/>
                        </a:stretch>
                      </a:blipFill>
                      <a:spPr bwMode="auto">
                        <a:xfrm>
                          <a:off x="899591" y="2341150"/>
                          <a:ext cx="3672408" cy="2167969"/>
                        </a:xfrm>
                        <a:prstGeom prst="rect">
                          <a:avLst/>
                        </a:prstGeom>
                        <a:noFill/>
                        <a:ln w="9525">
                          <a:noFill/>
                          <a:miter lim="800000"/>
                          <a:headEnd/>
                          <a:tailEnd/>
                        </a:ln>
                        <a:effectLst/>
                      </a:spPr>
                    </a:pic>
                    <a:pic>
                      <a:nvPicPr>
                        <a:cNvPr id="1029" name="Picture 5"/>
                        <a:cNvPicPr>
                          <a:picLocks noChangeAspect="1" noChangeArrowheads="1"/>
                        </a:cNvPicPr>
                      </a:nvPicPr>
                      <a:blipFill>
                        <a:blip r:embed="rId55"/>
                        <a:srcRect/>
                        <a:stretch>
                          <a:fillRect/>
                        </a:stretch>
                      </a:blipFill>
                      <a:spPr bwMode="auto">
                        <a:xfrm>
                          <a:off x="4644008" y="2348880"/>
                          <a:ext cx="3672408" cy="2167969"/>
                        </a:xfrm>
                        <a:prstGeom prst="rect">
                          <a:avLst/>
                        </a:prstGeom>
                        <a:noFill/>
                        <a:ln w="9525">
                          <a:noFill/>
                          <a:miter lim="800000"/>
                          <a:headEnd/>
                          <a:tailEnd/>
                        </a:ln>
                        <a:effectLst/>
                      </a:spPr>
                    </a:pic>
                    <a:pic>
                      <a:nvPicPr>
                        <a:cNvPr id="1030" name="Picture 6"/>
                        <a:cNvPicPr>
                          <a:picLocks noChangeAspect="1" noChangeArrowheads="1"/>
                        </a:cNvPicPr>
                      </a:nvPicPr>
                      <a:blipFill>
                        <a:blip r:embed="rId56"/>
                        <a:srcRect/>
                        <a:stretch>
                          <a:fillRect/>
                        </a:stretch>
                      </a:blipFill>
                      <a:spPr bwMode="auto">
                        <a:xfrm>
                          <a:off x="899592" y="4573400"/>
                          <a:ext cx="3672407" cy="2167968"/>
                        </a:xfrm>
                        <a:prstGeom prst="rect">
                          <a:avLst/>
                        </a:prstGeom>
                        <a:noFill/>
                        <a:ln w="9525">
                          <a:noFill/>
                          <a:miter lim="800000"/>
                          <a:headEnd/>
                          <a:tailEnd/>
                        </a:ln>
                        <a:effectLst/>
                      </a:spPr>
                    </a:pic>
                    <a:pic>
                      <a:nvPicPr>
                        <a:cNvPr id="1031" name="Picture 7"/>
                        <a:cNvPicPr>
                          <a:picLocks noChangeAspect="1" noChangeArrowheads="1"/>
                        </a:cNvPicPr>
                      </a:nvPicPr>
                      <a:blipFill>
                        <a:blip r:embed="rId57"/>
                        <a:srcRect/>
                        <a:stretch>
                          <a:fillRect/>
                        </a:stretch>
                      </a:blipFill>
                      <a:spPr bwMode="auto">
                        <a:xfrm>
                          <a:off x="4644008" y="4573400"/>
                          <a:ext cx="3672407" cy="2167968"/>
                        </a:xfrm>
                        <a:prstGeom prst="rect">
                          <a:avLst/>
                        </a:prstGeom>
                        <a:noFill/>
                        <a:ln w="9525">
                          <a:noFill/>
                          <a:miter lim="800000"/>
                          <a:headEnd/>
                          <a:tailEnd/>
                        </a:ln>
                        <a:effectLst/>
                      </a:spPr>
                    </a:pic>
                    <a:sp>
                      <a:nvSpPr>
                        <a:cNvPr id="10" name="TextBox 9"/>
                        <a:cNvSpPr txBox="1"/>
                      </a:nvSpPr>
                      <a:spPr>
                        <a:xfrm>
                          <a:off x="251520" y="692696"/>
                          <a:ext cx="504056"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3600" b="1" dirty="0" smtClean="0"/>
                              <a:t>A</a:t>
                            </a:r>
                            <a:endParaRPr lang="en-GB" b="1" dirty="0"/>
                          </a:p>
                        </a:txBody>
                        <a:useSpRect/>
                      </a:txSp>
                    </a:sp>
                    <a:sp>
                      <a:nvSpPr>
                        <a:cNvPr id="11" name="TextBox 10"/>
                        <a:cNvSpPr txBox="1"/>
                      </a:nvSpPr>
                      <a:spPr>
                        <a:xfrm>
                          <a:off x="8460432" y="692696"/>
                          <a:ext cx="504056"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3600" b="1" dirty="0"/>
                              <a:t>B</a:t>
                            </a:r>
                            <a:endParaRPr lang="en-GB" b="1" dirty="0"/>
                          </a:p>
                        </a:txBody>
                        <a:useSpRect/>
                      </a:txSp>
                    </a:sp>
                    <a:sp>
                      <a:nvSpPr>
                        <a:cNvPr id="12" name="TextBox 11"/>
                        <a:cNvSpPr txBox="1"/>
                      </a:nvSpPr>
                      <a:spPr>
                        <a:xfrm>
                          <a:off x="8460432" y="3070701"/>
                          <a:ext cx="504056"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3600" b="1" dirty="0" smtClean="0"/>
                              <a:t>D</a:t>
                            </a:r>
                            <a:endParaRPr lang="en-GB" b="1" dirty="0"/>
                          </a:p>
                        </a:txBody>
                        <a:useSpRect/>
                      </a:txSp>
                    </a:sp>
                    <a:sp>
                      <a:nvSpPr>
                        <a:cNvPr id="13" name="TextBox 12"/>
                        <a:cNvSpPr txBox="1"/>
                      </a:nvSpPr>
                      <a:spPr>
                        <a:xfrm>
                          <a:off x="8460432" y="5445224"/>
                          <a:ext cx="504056"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3600" b="1" dirty="0" smtClean="0"/>
                              <a:t>F</a:t>
                            </a:r>
                            <a:endParaRPr lang="en-GB" b="1" dirty="0"/>
                          </a:p>
                        </a:txBody>
                        <a:useSpRect/>
                      </a:txSp>
                    </a:sp>
                    <a:sp>
                      <a:nvSpPr>
                        <a:cNvPr id="15" name="TextBox 14"/>
                        <a:cNvSpPr txBox="1"/>
                      </a:nvSpPr>
                      <a:spPr>
                        <a:xfrm>
                          <a:off x="251520" y="3068960"/>
                          <a:ext cx="504056"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3600" b="1" dirty="0"/>
                              <a:t>C</a:t>
                            </a:r>
                            <a:endParaRPr lang="en-GB" b="1" dirty="0"/>
                          </a:p>
                        </a:txBody>
                        <a:useSpRect/>
                      </a:txSp>
                    </a:sp>
                    <a:sp>
                      <a:nvSpPr>
                        <a:cNvPr id="16" name="TextBox 15"/>
                        <a:cNvSpPr txBox="1"/>
                      </a:nvSpPr>
                      <a:spPr>
                        <a:xfrm>
                          <a:off x="251520" y="5446965"/>
                          <a:ext cx="504056"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3600" b="1" dirty="0" smtClean="0"/>
                              <a:t>E</a:t>
                            </a:r>
                            <a:endParaRPr lang="en-GB" b="1" dirty="0"/>
                          </a:p>
                        </a:txBody>
                        <a:useSpRect/>
                      </a:txSp>
                    </a:sp>
                  </a:grpSp>
                </lc:lockedCanvas>
              </a:graphicData>
            </a:graphic>
          </wp:inline>
        </w:drawing>
      </w:r>
      <w:proofErr w:type="gramStart"/>
      <w:r w:rsidR="005A4C76">
        <w:rPr>
          <w:rFonts w:asciiTheme="majorHAnsi" w:hAnsiTheme="majorHAnsi"/>
          <w:b/>
        </w:rPr>
        <w:t>Figure</w:t>
      </w:r>
      <w:r w:rsidR="002428CD">
        <w:rPr>
          <w:rFonts w:asciiTheme="majorHAnsi" w:hAnsiTheme="majorHAnsi"/>
          <w:b/>
        </w:rPr>
        <w:t xml:space="preserve"> </w:t>
      </w:r>
      <w:r w:rsidR="0024632A">
        <w:rPr>
          <w:rFonts w:asciiTheme="majorHAnsi" w:hAnsiTheme="majorHAnsi"/>
          <w:b/>
        </w:rPr>
        <w:t>3.22</w:t>
      </w:r>
      <w:r w:rsidRPr="0013327C">
        <w:rPr>
          <w:rFonts w:asciiTheme="majorHAnsi" w:hAnsiTheme="majorHAnsi"/>
          <w:b/>
        </w:rPr>
        <w:t>.</w:t>
      </w:r>
      <w:proofErr w:type="gramEnd"/>
      <w:r w:rsidRPr="0013327C">
        <w:rPr>
          <w:rFonts w:asciiTheme="majorHAnsi" w:hAnsiTheme="majorHAnsi"/>
        </w:rPr>
        <w:t xml:space="preserve"> </w:t>
      </w:r>
      <w:r w:rsidRPr="002428CD">
        <w:rPr>
          <w:rFonts w:asciiTheme="majorHAnsi" w:hAnsiTheme="majorHAnsi"/>
          <w:b/>
        </w:rPr>
        <w:t xml:space="preserve">Stepwise segmentation of </w:t>
      </w:r>
      <w:r w:rsidR="000C26B2" w:rsidRPr="002428CD">
        <w:rPr>
          <w:rFonts w:asciiTheme="majorHAnsi" w:hAnsiTheme="majorHAnsi"/>
          <w:b/>
          <w:i/>
        </w:rPr>
        <w:t>PEX</w:t>
      </w:r>
      <w:r w:rsidRPr="002428CD">
        <w:rPr>
          <w:rFonts w:asciiTheme="majorHAnsi" w:hAnsiTheme="majorHAnsi"/>
          <w:b/>
        </w:rPr>
        <w:t>5 KD</w:t>
      </w:r>
      <w:r w:rsidRPr="0013327C">
        <w:rPr>
          <w:rFonts w:asciiTheme="majorHAnsi" w:hAnsiTheme="majorHAnsi"/>
        </w:rPr>
        <w:t xml:space="preserve">. The raw GFP (A) and nuclear (not shown) </w:t>
      </w:r>
      <w:proofErr w:type="gramStart"/>
      <w:r w:rsidRPr="0013327C">
        <w:rPr>
          <w:rFonts w:asciiTheme="majorHAnsi" w:hAnsiTheme="majorHAnsi"/>
        </w:rPr>
        <w:t>images  are</w:t>
      </w:r>
      <w:proofErr w:type="gramEnd"/>
      <w:r w:rsidRPr="0013327C">
        <w:rPr>
          <w:rFonts w:asciiTheme="majorHAnsi" w:hAnsiTheme="majorHAnsi"/>
        </w:rPr>
        <w:t xml:space="preserve"> segmented and merged (B). The eGFP positive nuclei are selected using Threshold (C) and are binarised and converted to 16-Bit (D). Transfluor then counts puncta in the original GFP image and nuclei in the binary image and presents them in a joint segmentation (E) from which puncta and nuclei can be counted and analysed. For comparison, the joint segmentation is laid over the original GFP image (F). Cells with the most </w:t>
      </w:r>
      <w:r w:rsidR="008B1FC8">
        <w:rPr>
          <w:rFonts w:asciiTheme="majorHAnsi" w:hAnsiTheme="majorHAnsi"/>
        </w:rPr>
        <w:t>puncta</w:t>
      </w:r>
      <w:r w:rsidRPr="0013327C">
        <w:rPr>
          <w:rFonts w:asciiTheme="majorHAnsi" w:hAnsiTheme="majorHAnsi"/>
        </w:rPr>
        <w:t xml:space="preserve"> appear to be those with the more moderate KDs.</w:t>
      </w:r>
    </w:p>
    <w:tbl>
      <w:tblPr>
        <w:tblW w:w="7887" w:type="dxa"/>
        <w:jc w:val="center"/>
        <w:tblInd w:w="-707" w:type="dxa"/>
        <w:tblLayout w:type="fixed"/>
        <w:tblCellMar>
          <w:left w:w="0" w:type="dxa"/>
          <w:right w:w="0" w:type="dxa"/>
        </w:tblCellMar>
        <w:tblLook w:val="04A0"/>
      </w:tblPr>
      <w:tblGrid>
        <w:gridCol w:w="724"/>
        <w:gridCol w:w="1068"/>
        <w:gridCol w:w="1134"/>
        <w:gridCol w:w="992"/>
        <w:gridCol w:w="1427"/>
        <w:gridCol w:w="992"/>
        <w:gridCol w:w="1550"/>
      </w:tblGrid>
      <w:tr w:rsidR="00597427" w:rsidRPr="0013327C" w:rsidTr="00C54F03">
        <w:trPr>
          <w:trHeight w:val="500"/>
          <w:jc w:val="center"/>
        </w:trPr>
        <w:tc>
          <w:tcPr>
            <w:tcW w:w="724"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8A3AD2">
            <w:pPr>
              <w:spacing w:after="0"/>
              <w:rPr>
                <w:rFonts w:asciiTheme="majorHAnsi" w:hAnsiTheme="majorHAnsi"/>
              </w:rPr>
            </w:pPr>
            <w:r w:rsidRPr="0013327C">
              <w:rPr>
                <w:rFonts w:asciiTheme="majorHAnsi" w:hAnsiTheme="majorHAnsi"/>
              </w:rPr>
              <w:t xml:space="preserve">Test </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8B1FC8" w:rsidP="008A3AD2">
            <w:pPr>
              <w:spacing w:after="0"/>
              <w:rPr>
                <w:rFonts w:asciiTheme="majorHAnsi" w:hAnsiTheme="majorHAnsi"/>
              </w:rPr>
            </w:pPr>
            <w:r>
              <w:rPr>
                <w:rFonts w:asciiTheme="majorHAnsi" w:hAnsiTheme="majorHAnsi"/>
              </w:rPr>
              <w:t>Puncta</w:t>
            </w:r>
            <w:r w:rsidR="00597427" w:rsidRPr="0013327C">
              <w:rPr>
                <w:rFonts w:asciiTheme="majorHAnsi" w:hAnsiTheme="majorHAnsi"/>
              </w:rPr>
              <w:t xml:space="preserve"> Count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8B1FC8" w:rsidP="008B1FC8">
            <w:pPr>
              <w:spacing w:after="0"/>
              <w:rPr>
                <w:rFonts w:asciiTheme="majorHAnsi" w:hAnsiTheme="majorHAnsi"/>
              </w:rPr>
            </w:pPr>
            <w:r>
              <w:rPr>
                <w:rFonts w:asciiTheme="majorHAnsi" w:hAnsiTheme="majorHAnsi"/>
              </w:rPr>
              <w:t>Puncta</w:t>
            </w:r>
            <w:r w:rsidR="00597427" w:rsidRPr="0013327C">
              <w:rPr>
                <w:rFonts w:asciiTheme="majorHAnsi" w:hAnsiTheme="majorHAnsi"/>
              </w:rPr>
              <w:t xml:space="preserve"> Per Cell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8A3AD2">
            <w:pPr>
              <w:spacing w:after="0"/>
              <w:rPr>
                <w:rFonts w:asciiTheme="majorHAnsi" w:hAnsiTheme="majorHAnsi"/>
              </w:rPr>
            </w:pPr>
            <w:r w:rsidRPr="0013327C">
              <w:rPr>
                <w:rFonts w:asciiTheme="majorHAnsi" w:hAnsiTheme="majorHAnsi"/>
              </w:rPr>
              <w:t xml:space="preserve">Pit Area Per Cell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8A3AD2">
            <w:pPr>
              <w:spacing w:after="0"/>
              <w:rPr>
                <w:rFonts w:asciiTheme="majorHAnsi" w:hAnsiTheme="majorHAnsi"/>
              </w:rPr>
            </w:pPr>
            <w:r w:rsidRPr="0013327C">
              <w:rPr>
                <w:rFonts w:asciiTheme="majorHAnsi" w:hAnsiTheme="majorHAnsi"/>
              </w:rPr>
              <w:t xml:space="preserve">Pit Average Intensity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8A3AD2">
            <w:pPr>
              <w:spacing w:after="0"/>
              <w:rPr>
                <w:rFonts w:asciiTheme="majorHAnsi" w:hAnsiTheme="majorHAnsi"/>
              </w:rPr>
            </w:pPr>
            <w:r w:rsidRPr="0013327C">
              <w:rPr>
                <w:rFonts w:asciiTheme="majorHAnsi" w:hAnsiTheme="majorHAnsi"/>
              </w:rPr>
              <w:t xml:space="preserve">Nuclear Count </w:t>
            </w:r>
          </w:p>
        </w:tc>
        <w:tc>
          <w:tcPr>
            <w:tcW w:w="1550"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8A3AD2">
            <w:pPr>
              <w:spacing w:after="0"/>
              <w:rPr>
                <w:rFonts w:asciiTheme="majorHAnsi" w:hAnsiTheme="majorHAnsi"/>
              </w:rPr>
            </w:pPr>
            <w:r w:rsidRPr="0013327C">
              <w:rPr>
                <w:rFonts w:asciiTheme="majorHAnsi" w:hAnsiTheme="majorHAnsi"/>
              </w:rPr>
              <w:t>Nuclear Area Per Cell (µm</w:t>
            </w:r>
            <w:r w:rsidRPr="002428CD">
              <w:rPr>
                <w:rFonts w:asciiTheme="majorHAnsi" w:hAnsiTheme="majorHAnsi"/>
                <w:vertAlign w:val="superscript"/>
              </w:rPr>
              <w:t>2</w:t>
            </w:r>
            <w:r w:rsidRPr="0013327C">
              <w:rPr>
                <w:rFonts w:asciiTheme="majorHAnsi" w:hAnsiTheme="majorHAnsi"/>
              </w:rPr>
              <w:t>)</w:t>
            </w:r>
          </w:p>
        </w:tc>
      </w:tr>
      <w:tr w:rsidR="00597427" w:rsidRPr="0013327C" w:rsidTr="00C54F03">
        <w:trPr>
          <w:trHeight w:val="500"/>
          <w:jc w:val="center"/>
        </w:trPr>
        <w:tc>
          <w:tcPr>
            <w:tcW w:w="724"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WT </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1446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42.5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8.1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726.8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34 </w:t>
            </w:r>
          </w:p>
        </w:tc>
        <w:tc>
          <w:tcPr>
            <w:tcW w:w="1550"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22.7 </w:t>
            </w:r>
          </w:p>
        </w:tc>
      </w:tr>
      <w:tr w:rsidR="00597427" w:rsidRPr="0013327C" w:rsidTr="00C54F03">
        <w:trPr>
          <w:trHeight w:val="500"/>
          <w:jc w:val="center"/>
        </w:trPr>
        <w:tc>
          <w:tcPr>
            <w:tcW w:w="724"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0C26B2" w:rsidP="00AE0264">
            <w:pPr>
              <w:spacing w:after="0"/>
              <w:jc w:val="both"/>
              <w:rPr>
                <w:rFonts w:asciiTheme="majorHAnsi" w:hAnsiTheme="majorHAnsi"/>
              </w:rPr>
            </w:pPr>
            <w:r w:rsidRPr="000C26B2">
              <w:rPr>
                <w:rFonts w:asciiTheme="majorHAnsi" w:hAnsiTheme="majorHAnsi"/>
                <w:i/>
              </w:rPr>
              <w:t>PEX</w:t>
            </w:r>
            <w:r w:rsidR="00597427" w:rsidRPr="0013327C">
              <w:rPr>
                <w:rFonts w:asciiTheme="majorHAnsi" w:hAnsiTheme="majorHAnsi"/>
              </w:rPr>
              <w:t xml:space="preserve">5 </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48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2.5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0.4 </w:t>
            </w:r>
          </w:p>
        </w:tc>
        <w:tc>
          <w:tcPr>
            <w:tcW w:w="1427"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649.8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19 </w:t>
            </w:r>
          </w:p>
        </w:tc>
        <w:tc>
          <w:tcPr>
            <w:tcW w:w="1550" w:type="dxa"/>
            <w:tcBorders>
              <w:top w:val="single" w:sz="8" w:space="0" w:color="000000"/>
              <w:left w:val="single" w:sz="8" w:space="0" w:color="000000"/>
              <w:bottom w:val="single" w:sz="8" w:space="0" w:color="000000"/>
              <w:right w:val="single" w:sz="8" w:space="0" w:color="000000"/>
            </w:tcBorders>
            <w:shd w:val="clear" w:color="auto" w:fill="auto"/>
            <w:tcMar>
              <w:top w:w="12" w:type="dxa"/>
              <w:left w:w="89" w:type="dxa"/>
              <w:bottom w:w="0" w:type="dxa"/>
              <w:right w:w="89" w:type="dxa"/>
            </w:tcMar>
            <w:vAlign w:val="bottom"/>
            <w:hideMark/>
          </w:tcPr>
          <w:p w:rsidR="00597427" w:rsidRPr="0013327C" w:rsidRDefault="00597427" w:rsidP="00AE0264">
            <w:pPr>
              <w:spacing w:after="0"/>
              <w:jc w:val="both"/>
              <w:rPr>
                <w:rFonts w:asciiTheme="majorHAnsi" w:hAnsiTheme="majorHAnsi"/>
              </w:rPr>
            </w:pPr>
            <w:r w:rsidRPr="0013327C">
              <w:rPr>
                <w:rFonts w:asciiTheme="majorHAnsi" w:hAnsiTheme="majorHAnsi"/>
              </w:rPr>
              <w:t xml:space="preserve">20.5 </w:t>
            </w:r>
          </w:p>
        </w:tc>
      </w:tr>
    </w:tbl>
    <w:p w:rsidR="00597427" w:rsidRPr="0013327C" w:rsidRDefault="005A4C76" w:rsidP="00AE0264">
      <w:pPr>
        <w:jc w:val="both"/>
        <w:rPr>
          <w:rFonts w:asciiTheme="majorHAnsi" w:hAnsiTheme="majorHAnsi"/>
        </w:rPr>
      </w:pPr>
      <w:proofErr w:type="gramStart"/>
      <w:r>
        <w:rPr>
          <w:rFonts w:asciiTheme="majorHAnsi" w:hAnsiTheme="majorHAnsi"/>
          <w:b/>
        </w:rPr>
        <w:t>Table</w:t>
      </w:r>
      <w:r w:rsidR="00597427" w:rsidRPr="0013327C">
        <w:rPr>
          <w:rFonts w:asciiTheme="majorHAnsi" w:hAnsiTheme="majorHAnsi"/>
          <w:b/>
        </w:rPr>
        <w:t xml:space="preserve"> 3.</w:t>
      </w:r>
      <w:r w:rsidR="00F31D98">
        <w:rPr>
          <w:rFonts w:asciiTheme="majorHAnsi" w:hAnsiTheme="majorHAnsi"/>
          <w:b/>
        </w:rPr>
        <w:t>1</w:t>
      </w:r>
      <w:r w:rsidR="00597427" w:rsidRPr="0013327C">
        <w:rPr>
          <w:rFonts w:asciiTheme="majorHAnsi" w:hAnsiTheme="majorHAnsi"/>
          <w:b/>
        </w:rPr>
        <w:t>.</w:t>
      </w:r>
      <w:proofErr w:type="gramEnd"/>
      <w:r w:rsidR="00597427" w:rsidRPr="0013327C">
        <w:rPr>
          <w:rFonts w:asciiTheme="majorHAnsi" w:hAnsiTheme="majorHAnsi"/>
        </w:rPr>
        <w:t xml:space="preserve"> An example of the data recorded for screen one. The data displayed is for the 2 sites compared in this chapter, taken from an early assay plate.</w:t>
      </w:r>
    </w:p>
    <w:p w:rsidR="00597427" w:rsidRPr="0013327C" w:rsidRDefault="00597427" w:rsidP="00AE0264">
      <w:pPr>
        <w:jc w:val="both"/>
        <w:rPr>
          <w:rFonts w:asciiTheme="majorHAnsi" w:hAnsiTheme="majorHAnsi"/>
        </w:rPr>
      </w:pPr>
      <w:r w:rsidRPr="0013327C">
        <w:rPr>
          <w:rFonts w:asciiTheme="majorHAnsi" w:hAnsiTheme="majorHAnsi"/>
        </w:rPr>
        <w:t xml:space="preserve">These data are of course only as accurate as the limitations imposed on them by the capabilities of the apparatus (e.g. microscope objective) the image quality (e.g. resolution) and software (e.g. segmentation of peroxisomes and nuclei). Peroxisomes that are out of focus are not only discounted but reduce the contrast between the neighbouring peroxisomes that are in focus and the surrounding cytosol. As seen in </w:t>
      </w:r>
      <w:r w:rsidRPr="0013327C">
        <w:rPr>
          <w:rFonts w:asciiTheme="majorHAnsi" w:hAnsiTheme="majorHAnsi"/>
        </w:rPr>
        <w:lastRenderedPageBreak/>
        <w:t xml:space="preserve">the </w:t>
      </w:r>
      <w:r w:rsidR="000C26B2" w:rsidRPr="000C26B2">
        <w:rPr>
          <w:rFonts w:asciiTheme="majorHAnsi" w:hAnsiTheme="majorHAnsi"/>
          <w:i/>
        </w:rPr>
        <w:t>PEX</w:t>
      </w:r>
      <w:r w:rsidRPr="0013327C">
        <w:rPr>
          <w:rFonts w:asciiTheme="majorHAnsi" w:hAnsiTheme="majorHAnsi"/>
        </w:rPr>
        <w:t xml:space="preserve">5 KD, a small number of peroxisomes are segmented, and therefore counted, in parts of the cell where, by eye, no punctum is present. This is because the sensitivity of the software to find a contrast of grey-levels above the threshold has caused the segmentation of a pit. It may be because a pit is present that is not observable by eye or simply that the software is so sensitive that it treats fluctuations in cytosolic eGFP as pits. Nonetheless the settings are necessarily sensitive enough to segment much dimmer peroxisomes in WT cells with low peroxisomal marker expression. The net effect is of an approximation of peroxisomes per cell which is accurate enough to reproducibly differentiate between a WT site and one with a </w:t>
      </w:r>
      <w:r w:rsidR="000C26B2" w:rsidRPr="000C26B2">
        <w:rPr>
          <w:rFonts w:asciiTheme="majorHAnsi" w:hAnsiTheme="majorHAnsi"/>
          <w:i/>
        </w:rPr>
        <w:t>PEX</w:t>
      </w:r>
      <w:r w:rsidRPr="0013327C">
        <w:rPr>
          <w:rFonts w:asciiTheme="majorHAnsi" w:hAnsiTheme="majorHAnsi"/>
        </w:rPr>
        <w:t xml:space="preserve"> phenotype.</w:t>
      </w:r>
    </w:p>
    <w:p w:rsidR="00597427" w:rsidRPr="0013327C" w:rsidRDefault="00597427" w:rsidP="00AE0264">
      <w:pPr>
        <w:jc w:val="both"/>
        <w:rPr>
          <w:rFonts w:asciiTheme="majorHAnsi" w:hAnsiTheme="majorHAnsi"/>
        </w:rPr>
      </w:pPr>
      <w:r w:rsidRPr="0013327C">
        <w:rPr>
          <w:rFonts w:asciiTheme="majorHAnsi" w:hAnsiTheme="majorHAnsi"/>
        </w:rPr>
        <w:t xml:space="preserve">The Transfluor application records a large number of statistics on both </w:t>
      </w:r>
      <w:proofErr w:type="gramStart"/>
      <w:r w:rsidRPr="0013327C">
        <w:rPr>
          <w:rFonts w:asciiTheme="majorHAnsi" w:hAnsiTheme="majorHAnsi"/>
        </w:rPr>
        <w:t>a per</w:t>
      </w:r>
      <w:proofErr w:type="gramEnd"/>
      <w:r w:rsidRPr="0013327C">
        <w:rPr>
          <w:rFonts w:asciiTheme="majorHAnsi" w:hAnsiTheme="majorHAnsi"/>
        </w:rPr>
        <w:t xml:space="preserve"> cell (technically per nucleus) basis and a per site basis. The most important statistic that the screen would be judged upon would be “Average pits (peroxisomes) per nucleus” and all others would be analysed secondarily. The assay was able to consistently show significantly different peroxisome per cell counts (recorded as “pits per cell”) between the some of the positive </w:t>
      </w:r>
      <w:r w:rsidR="000C26B2" w:rsidRPr="000C26B2">
        <w:rPr>
          <w:rFonts w:asciiTheme="majorHAnsi" w:hAnsiTheme="majorHAnsi"/>
          <w:i/>
        </w:rPr>
        <w:t>PEX</w:t>
      </w:r>
      <w:r w:rsidRPr="0013327C">
        <w:rPr>
          <w:rFonts w:asciiTheme="majorHAnsi" w:hAnsiTheme="majorHAnsi"/>
        </w:rPr>
        <w:t xml:space="preserve"> controls and the average for the assay plate negative controls (see </w:t>
      </w:r>
      <w:r w:rsidR="008B694E" w:rsidRPr="008B694E">
        <w:rPr>
          <w:rFonts w:asciiTheme="majorHAnsi" w:hAnsiTheme="majorHAnsi"/>
        </w:rPr>
        <w:t>Table 3.2/3</w:t>
      </w:r>
      <w:r w:rsidRPr="0013327C">
        <w:rPr>
          <w:rFonts w:asciiTheme="majorHAnsi" w:hAnsiTheme="majorHAnsi"/>
        </w:rPr>
        <w:t xml:space="preserve">). For the screen significant differences would be considered to have a z-score greater than 2 standard deviations (σ) from the mean (µ). </w:t>
      </w:r>
      <w:r w:rsidR="000C26B2" w:rsidRPr="000C26B2">
        <w:rPr>
          <w:rFonts w:asciiTheme="majorHAnsi" w:hAnsiTheme="majorHAnsi"/>
          <w:i/>
        </w:rPr>
        <w:t>PEX</w:t>
      </w:r>
      <w:r w:rsidRPr="0013327C">
        <w:rPr>
          <w:rFonts w:asciiTheme="majorHAnsi" w:hAnsiTheme="majorHAnsi"/>
        </w:rPr>
        <w:t xml:space="preserve">5 has the strongest z-score. </w:t>
      </w:r>
      <w:r w:rsidR="000C26B2" w:rsidRPr="000C26B2">
        <w:rPr>
          <w:rFonts w:asciiTheme="majorHAnsi" w:hAnsiTheme="majorHAnsi"/>
          <w:i/>
        </w:rPr>
        <w:t>PEX</w:t>
      </w:r>
      <w:r w:rsidRPr="0013327C">
        <w:rPr>
          <w:rFonts w:asciiTheme="majorHAnsi" w:hAnsiTheme="majorHAnsi"/>
        </w:rPr>
        <w:t xml:space="preserve">3 and </w:t>
      </w:r>
      <w:r w:rsidR="000C26B2" w:rsidRPr="000C26B2">
        <w:rPr>
          <w:rFonts w:asciiTheme="majorHAnsi" w:hAnsiTheme="majorHAnsi"/>
          <w:i/>
        </w:rPr>
        <w:t>PEX</w:t>
      </w:r>
      <w:r w:rsidRPr="0013327C">
        <w:rPr>
          <w:rFonts w:asciiTheme="majorHAnsi" w:hAnsiTheme="majorHAnsi"/>
        </w:rPr>
        <w:t>19 showed less consistent KDs ranging from as low as 5 to as high as 25 peroxisomes.cell</w:t>
      </w:r>
      <w:r w:rsidRPr="0013327C">
        <w:rPr>
          <w:rFonts w:asciiTheme="majorHAnsi" w:hAnsiTheme="majorHAnsi"/>
          <w:vertAlign w:val="superscript"/>
        </w:rPr>
        <w:t>-1</w:t>
      </w:r>
      <w:r w:rsidRPr="0013327C">
        <w:rPr>
          <w:rFonts w:asciiTheme="majorHAnsi" w:hAnsiTheme="majorHAnsi"/>
        </w:rPr>
        <w:t xml:space="preserve"> but consistently below the mean (hardly ever above).  These data were derived from three separate assay plates with three different populations of cells transiently transfected separately with pMt-eGFP-PTS1 confirming the reproducibility of the screen. </w:t>
      </w:r>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1440160" cy="873388"/>
            <wp:effectExtent l="0" t="0" r="7640" b="0"/>
            <wp:docPr id="89"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440160" cy="873388"/>
                      <a:chOff x="1403648" y="4221088"/>
                      <a:chExt cx="1440160" cy="873388"/>
                    </a:xfrm>
                  </a:grpSpPr>
                  <a:grpSp>
                    <a:nvGrpSpPr>
                      <a:cNvPr id="15" name="Group 14"/>
                      <a:cNvGrpSpPr/>
                    </a:nvGrpSpPr>
                    <a:grpSpPr>
                      <a:xfrm>
                        <a:off x="1403648" y="4221088"/>
                        <a:ext cx="1440160" cy="873388"/>
                        <a:chOff x="1403648" y="4221088"/>
                        <a:chExt cx="1440160" cy="873388"/>
                      </a:xfrm>
                    </a:grpSpPr>
                    <a:sp>
                      <a:nvSpPr>
                        <a:cNvPr id="7" name="TextBox 6"/>
                        <a:cNvSpPr txBox="1"/>
                      </a:nvSpPr>
                      <a:spPr>
                        <a:xfrm>
                          <a:off x="1403648" y="4437112"/>
                          <a:ext cx="86409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z   =</a:t>
                            </a:r>
                            <a:endParaRPr lang="en-GB" dirty="0"/>
                          </a:p>
                        </a:txBody>
                        <a:useSpRect/>
                      </a:txSp>
                    </a:sp>
                    <a:sp>
                      <a:nvSpPr>
                        <a:cNvPr id="8" name="TextBox 7"/>
                        <a:cNvSpPr txBox="1"/>
                      </a:nvSpPr>
                      <a:spPr>
                        <a:xfrm>
                          <a:off x="2123728" y="4221088"/>
                          <a:ext cx="64807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n -</a:t>
                            </a:r>
                            <a:r>
                              <a:rPr lang="el-GR" dirty="0" smtClean="0"/>
                              <a:t> μ</a:t>
                            </a:r>
                            <a:endParaRPr lang="en-GB" dirty="0"/>
                          </a:p>
                        </a:txBody>
                        <a:useSpRect/>
                      </a:txSp>
                    </a:sp>
                    <a:cxnSp>
                      <a:nvCxnSpPr>
                        <a:cNvPr id="10" name="Straight Connector 9"/>
                        <a:cNvCxnSpPr/>
                      </a:nvCxnSpPr>
                      <a:spPr>
                        <a:xfrm>
                          <a:off x="2051720" y="4653136"/>
                          <a:ext cx="792088" cy="0"/>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TextBox 13"/>
                        <a:cNvSpPr txBox="1"/>
                      </a:nvSpPr>
                      <a:spPr>
                        <a:xfrm>
                          <a:off x="2123728" y="4725144"/>
                          <a:ext cx="64807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l-GR" dirty="0" smtClean="0"/>
                              <a:t>σ</a:t>
                            </a:r>
                            <a:endParaRPr lang="en-GB" dirty="0"/>
                          </a:p>
                        </a:txBody>
                        <a:useSpRect/>
                      </a:txSp>
                    </a:sp>
                  </a:grpSp>
                </lc:lockedCanvas>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3.</w:t>
      </w:r>
      <w:r w:rsidR="00D0579D" w:rsidRPr="0013327C">
        <w:rPr>
          <w:rFonts w:asciiTheme="majorHAnsi" w:hAnsiTheme="majorHAnsi"/>
          <w:b/>
        </w:rPr>
        <w:t>2</w:t>
      </w:r>
      <w:r w:rsidR="00A50E49">
        <w:rPr>
          <w:rFonts w:asciiTheme="majorHAnsi" w:hAnsiTheme="majorHAnsi"/>
          <w:b/>
        </w:rPr>
        <w:t>3</w:t>
      </w:r>
      <w:r w:rsidR="00D0579D" w:rsidRPr="0013327C">
        <w:rPr>
          <w:rFonts w:asciiTheme="majorHAnsi" w:hAnsiTheme="majorHAnsi"/>
          <w:b/>
        </w:rPr>
        <w:t>.</w:t>
      </w:r>
      <w:proofErr w:type="gramEnd"/>
      <w:r w:rsidRPr="0013327C">
        <w:rPr>
          <w:rFonts w:asciiTheme="majorHAnsi" w:hAnsiTheme="majorHAnsi"/>
          <w:b/>
        </w:rPr>
        <w:t xml:space="preserve"> </w:t>
      </w:r>
      <w:proofErr w:type="gramStart"/>
      <w:r w:rsidRPr="002428CD">
        <w:rPr>
          <w:rFonts w:asciiTheme="majorHAnsi" w:hAnsiTheme="majorHAnsi"/>
          <w:b/>
        </w:rPr>
        <w:t xml:space="preserve">The equation for calculating a </w:t>
      </w:r>
      <w:r w:rsidR="002428CD">
        <w:rPr>
          <w:rFonts w:asciiTheme="majorHAnsi" w:hAnsiTheme="majorHAnsi"/>
          <w:b/>
        </w:rPr>
        <w:t>Z</w:t>
      </w:r>
      <w:r w:rsidRPr="002428CD">
        <w:rPr>
          <w:rFonts w:asciiTheme="majorHAnsi" w:hAnsiTheme="majorHAnsi"/>
          <w:b/>
        </w:rPr>
        <w:t>-score (</w:t>
      </w:r>
      <w:r w:rsidR="002428CD">
        <w:rPr>
          <w:rFonts w:asciiTheme="majorHAnsi" w:hAnsiTheme="majorHAnsi"/>
          <w:b/>
        </w:rPr>
        <w:t>Z</w:t>
      </w:r>
      <w:r w:rsidRPr="002428CD">
        <w:rPr>
          <w:rFonts w:asciiTheme="majorHAnsi" w:hAnsiTheme="majorHAnsi"/>
          <w:b/>
        </w:rPr>
        <w:t>).</w:t>
      </w:r>
      <w:proofErr w:type="gramEnd"/>
      <w:r w:rsidRPr="0013327C">
        <w:rPr>
          <w:rFonts w:asciiTheme="majorHAnsi" w:hAnsiTheme="majorHAnsi"/>
        </w:rPr>
        <w:t xml:space="preserve"> A value (n) is expressed by its distance from the mean (µ) in terms of the standard deviation (σ).</w:t>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650173" cy="2232260"/>
            <wp:effectExtent l="0" t="0" r="7677" b="0"/>
            <wp:docPr id="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srcRect/>
                    <a:stretch>
                      <a:fillRect/>
                    </a:stretch>
                  </pic:blipFill>
                  <pic:spPr bwMode="auto">
                    <a:xfrm>
                      <a:off x="0" y="0"/>
                      <a:ext cx="5651991" cy="2232978"/>
                    </a:xfrm>
                    <a:prstGeom prst="rect">
                      <a:avLst/>
                    </a:prstGeom>
                    <a:noFill/>
                  </pic:spPr>
                </pic:pic>
              </a:graphicData>
            </a:graphic>
          </wp:inline>
        </w:drawing>
      </w:r>
    </w:p>
    <w:p w:rsidR="00597427" w:rsidRPr="0013327C" w:rsidRDefault="00F31D98" w:rsidP="00AE0264">
      <w:pPr>
        <w:jc w:val="both"/>
        <w:rPr>
          <w:rFonts w:asciiTheme="majorHAnsi" w:hAnsiTheme="majorHAnsi"/>
        </w:rPr>
      </w:pPr>
      <w:proofErr w:type="gramStart"/>
      <w:r>
        <w:rPr>
          <w:rFonts w:asciiTheme="majorHAnsi" w:hAnsiTheme="majorHAnsi"/>
          <w:b/>
        </w:rPr>
        <w:t>Table 3.2</w:t>
      </w:r>
      <w:r w:rsidR="00D0579D" w:rsidRPr="0013327C">
        <w:rPr>
          <w:rFonts w:asciiTheme="majorHAnsi" w:hAnsiTheme="majorHAnsi"/>
          <w:b/>
        </w:rPr>
        <w:t>.</w:t>
      </w:r>
      <w:proofErr w:type="gramEnd"/>
      <w:r w:rsidR="00597427" w:rsidRPr="0013327C">
        <w:rPr>
          <w:rFonts w:asciiTheme="majorHAnsi" w:hAnsiTheme="majorHAnsi"/>
        </w:rPr>
        <w:t xml:space="preserve"> </w:t>
      </w:r>
      <w:r w:rsidR="008C48FD" w:rsidRPr="002428CD">
        <w:rPr>
          <w:rFonts w:asciiTheme="majorHAnsi" w:hAnsiTheme="majorHAnsi"/>
          <w:b/>
        </w:rPr>
        <w:t xml:space="preserve">Assay plate </w:t>
      </w:r>
      <w:r>
        <w:rPr>
          <w:rFonts w:asciiTheme="majorHAnsi" w:hAnsiTheme="majorHAnsi"/>
          <w:b/>
        </w:rPr>
        <w:t xml:space="preserve">control </w:t>
      </w:r>
      <w:r w:rsidR="008C48FD" w:rsidRPr="002428CD">
        <w:rPr>
          <w:rFonts w:asciiTheme="majorHAnsi" w:hAnsiTheme="majorHAnsi"/>
          <w:b/>
        </w:rPr>
        <w:t>testing</w:t>
      </w:r>
      <w:r w:rsidR="008C48FD" w:rsidRPr="0013327C">
        <w:rPr>
          <w:rFonts w:asciiTheme="majorHAnsi" w:hAnsiTheme="majorHAnsi"/>
        </w:rPr>
        <w:t xml:space="preserve">. </w:t>
      </w:r>
      <w:r w:rsidR="00597427" w:rsidRPr="0013327C">
        <w:rPr>
          <w:rFonts w:asciiTheme="majorHAnsi" w:hAnsiTheme="majorHAnsi"/>
        </w:rPr>
        <w:t xml:space="preserve">The peroxisome per cell counts for each control on each plate and their mean across all plates. The mean for each entire plate and its standard deviation (SD) and the mean and SD for all three plates are also given for comparison. The mean for each control is also represented as a z-score. </w:t>
      </w:r>
    </w:p>
    <w:p w:rsidR="00597427" w:rsidRPr="0013327C" w:rsidRDefault="00597427" w:rsidP="00AE0264">
      <w:pPr>
        <w:pStyle w:val="Heading2"/>
        <w:jc w:val="both"/>
      </w:pPr>
      <w:bookmarkStart w:id="99" w:name="_Toc348423351"/>
      <w:r w:rsidRPr="0013327C">
        <w:t>Summary of progress so far</w:t>
      </w:r>
      <w:bookmarkEnd w:id="99"/>
    </w:p>
    <w:p w:rsidR="00597427" w:rsidRPr="0013327C" w:rsidRDefault="00597427" w:rsidP="00AE0264">
      <w:pPr>
        <w:jc w:val="both"/>
        <w:rPr>
          <w:rFonts w:asciiTheme="majorHAnsi" w:hAnsiTheme="majorHAnsi"/>
        </w:rPr>
      </w:pPr>
      <w:r w:rsidRPr="0013327C">
        <w:rPr>
          <w:rFonts w:asciiTheme="majorHAnsi" w:hAnsiTheme="majorHAnsi"/>
        </w:rPr>
        <w:t xml:space="preserve">The focus of assay development is to produce a working assay that reports numerical data from microscopic images that can differentiate non-WT phenotypes as statistically different data from WT phenotypes (the rest of the genome-wide screen). Whilst the use of </w:t>
      </w:r>
      <w:r w:rsidR="000C26B2" w:rsidRPr="000C26B2">
        <w:rPr>
          <w:rFonts w:asciiTheme="majorHAnsi" w:hAnsiTheme="majorHAnsi"/>
          <w:i/>
        </w:rPr>
        <w:t>PEX</w:t>
      </w:r>
      <w:r w:rsidRPr="0013327C">
        <w:rPr>
          <w:rFonts w:asciiTheme="majorHAnsi" w:hAnsiTheme="majorHAnsi"/>
        </w:rPr>
        <w:t xml:space="preserve"> gene KDs in assay development has provided evidence that this is possible in the context of identifying peroxins, it is still evident that there are ways in which the assay is flawed. It has been shown that gene KDs producing strongly aberrant phenotypes such as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 xml:space="preserve">16 will be recorded as outlying data in assay plates, yet KDs of </w:t>
      </w:r>
      <w:r w:rsidR="000C26B2" w:rsidRPr="000C26B2">
        <w:rPr>
          <w:rFonts w:asciiTheme="majorHAnsi" w:hAnsiTheme="majorHAnsi"/>
          <w:i/>
        </w:rPr>
        <w:t>PEX</w:t>
      </w:r>
      <w:r w:rsidRPr="0013327C">
        <w:rPr>
          <w:rFonts w:asciiTheme="majorHAnsi" w:hAnsiTheme="majorHAnsi"/>
        </w:rPr>
        <w:t xml:space="preserve">3 and </w:t>
      </w:r>
      <w:r w:rsidR="000C26B2" w:rsidRPr="000C26B2">
        <w:rPr>
          <w:rFonts w:asciiTheme="majorHAnsi" w:hAnsiTheme="majorHAnsi"/>
          <w:i/>
        </w:rPr>
        <w:t>PEX</w:t>
      </w:r>
      <w:r w:rsidRPr="0013327C">
        <w:rPr>
          <w:rFonts w:asciiTheme="majorHAnsi" w:hAnsiTheme="majorHAnsi"/>
        </w:rPr>
        <w:t>19 do not produce the deviation required to immediately distinguish them from gene KDs that appear as WT. This would suggest that moderately affecting genes that may be of interest could in fact be missed by the statistical analysis, requiring visual confirmation. It is also apparent that the quality of a probe (its efficiency at producing effective siRNAs) will also determine whether a gene KD will occur. As discussed in Ch.</w:t>
      </w:r>
      <w:r w:rsidR="002428CD">
        <w:rPr>
          <w:rFonts w:asciiTheme="majorHAnsi" w:hAnsiTheme="majorHAnsi"/>
        </w:rPr>
        <w:t xml:space="preserve"> </w:t>
      </w:r>
      <w:r w:rsidRPr="0013327C">
        <w:rPr>
          <w:rFonts w:asciiTheme="majorHAnsi" w:hAnsiTheme="majorHAnsi"/>
        </w:rPr>
        <w:t xml:space="preserve">3.5, there are a number of factors which will determine a probe’s individual efficacy of gene KD. While no screen is perfect it is still anticipated that the most extreme phenotypes will be differentiated from the rest of the genome and with this purpose it was decided to commence with the screen but realising that it is unlikely to reveal all peroxins in </w:t>
      </w:r>
      <w:r w:rsidRPr="0013327C">
        <w:rPr>
          <w:rFonts w:asciiTheme="majorHAnsi" w:hAnsiTheme="majorHAnsi"/>
          <w:i/>
        </w:rPr>
        <w:t>D. melanogaster</w:t>
      </w:r>
      <w:r w:rsidRPr="0013327C">
        <w:rPr>
          <w:rFonts w:asciiTheme="majorHAnsi" w:hAnsiTheme="majorHAnsi"/>
        </w:rPr>
        <w:t>.</w:t>
      </w:r>
    </w:p>
    <w:p w:rsidR="00597427" w:rsidRPr="0013327C" w:rsidRDefault="00597427" w:rsidP="00AE0264">
      <w:pPr>
        <w:pStyle w:val="Heading2"/>
        <w:jc w:val="both"/>
      </w:pPr>
      <w:bookmarkStart w:id="100" w:name="_Toc348423352"/>
      <w:r w:rsidRPr="0013327C">
        <w:t>Results for Genome-wide Screen 1</w:t>
      </w:r>
      <w:bookmarkEnd w:id="100"/>
    </w:p>
    <w:p w:rsidR="00597427" w:rsidRPr="0013327C" w:rsidRDefault="00597427" w:rsidP="00AE0264">
      <w:pPr>
        <w:jc w:val="both"/>
        <w:rPr>
          <w:rFonts w:asciiTheme="majorHAnsi" w:hAnsiTheme="majorHAnsi"/>
        </w:rPr>
      </w:pPr>
      <w:r w:rsidRPr="0013327C">
        <w:rPr>
          <w:rFonts w:asciiTheme="majorHAnsi" w:hAnsiTheme="majorHAnsi"/>
        </w:rPr>
        <w:t>The genome-wide screen was performed and analysed. The analysis of the screen is presented and discussed in the remainder of the chapter.</w:t>
      </w:r>
    </w:p>
    <w:p w:rsidR="00597427" w:rsidRPr="0013327C" w:rsidRDefault="00597427" w:rsidP="00AE0264">
      <w:pPr>
        <w:pStyle w:val="Heading2"/>
        <w:jc w:val="both"/>
      </w:pPr>
      <w:bookmarkStart w:id="101" w:name="_Toc348423353"/>
      <w:r w:rsidRPr="0013327C">
        <w:lastRenderedPageBreak/>
        <w:t>3 Controls showed consistently greatly reduced numbers of peroxisomes per cell.</w:t>
      </w:r>
      <w:bookmarkEnd w:id="101"/>
    </w:p>
    <w:p w:rsidR="00597427" w:rsidRPr="0013327C" w:rsidRDefault="00597427" w:rsidP="00AE0264">
      <w:pPr>
        <w:jc w:val="both"/>
        <w:rPr>
          <w:rFonts w:asciiTheme="majorHAnsi" w:hAnsiTheme="majorHAnsi"/>
        </w:rPr>
      </w:pPr>
      <w:r w:rsidRPr="0013327C">
        <w:rPr>
          <w:rFonts w:asciiTheme="majorHAnsi" w:hAnsiTheme="majorHAnsi"/>
        </w:rPr>
        <w:t xml:space="preserve">Before the genome-wide screen was analysed in detail the efficacy of the included knockdown of our control </w:t>
      </w:r>
      <w:r w:rsidR="000C26B2" w:rsidRPr="000C26B2">
        <w:rPr>
          <w:rFonts w:asciiTheme="majorHAnsi" w:hAnsiTheme="majorHAnsi"/>
          <w:i/>
        </w:rPr>
        <w:t>PEX</w:t>
      </w:r>
      <w:r w:rsidRPr="0013327C">
        <w:rPr>
          <w:rFonts w:asciiTheme="majorHAnsi" w:hAnsiTheme="majorHAnsi"/>
        </w:rPr>
        <w:t xml:space="preserve"> probes was visually determined. As expected from our previous experiments in our assay development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16 KDs were each highly effective in generating an aberrant phenotype in contrast to WT images. Since these controls worked the complete genome-wide screen was analysed using our peroxisome analysis algorithm developed in METAXpress.</w:t>
      </w:r>
    </w:p>
    <w:p w:rsidR="00597427" w:rsidRPr="0013327C" w:rsidRDefault="00307BDB" w:rsidP="00AE0264">
      <w:pPr>
        <w:jc w:val="both"/>
        <w:rPr>
          <w:rFonts w:asciiTheme="majorHAnsi" w:hAnsiTheme="majorHAnsi"/>
        </w:rPr>
      </w:pPr>
      <w:r>
        <w:rPr>
          <w:rFonts w:asciiTheme="majorHAnsi" w:hAnsiTheme="majorHAnsi"/>
          <w:b/>
          <w:noProof/>
          <w:lang w:eastAsia="en-GB"/>
        </w:rPr>
        <w:drawing>
          <wp:inline distT="0" distB="0" distL="0" distR="0">
            <wp:extent cx="5317627" cy="3052897"/>
            <wp:effectExtent l="19050" t="0" r="0" b="0"/>
            <wp:docPr id="2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lum bright="20000" contrast="40000"/>
                    </a:blip>
                    <a:srcRect/>
                    <a:stretch>
                      <a:fillRect/>
                    </a:stretch>
                  </pic:blipFill>
                  <pic:spPr bwMode="auto">
                    <a:xfrm>
                      <a:off x="0" y="0"/>
                      <a:ext cx="5324098" cy="3056612"/>
                    </a:xfrm>
                    <a:prstGeom prst="rect">
                      <a:avLst/>
                    </a:prstGeom>
                    <a:noFill/>
                  </pic:spPr>
                </pic:pic>
              </a:graphicData>
            </a:graphic>
          </wp:inline>
        </w:drawing>
      </w:r>
      <w:r w:rsidR="00597427" w:rsidRPr="0013327C">
        <w:rPr>
          <w:rFonts w:asciiTheme="majorHAnsi" w:hAnsiTheme="majorHAnsi"/>
          <w:b/>
        </w:rPr>
        <w:t xml:space="preserve"> </w:t>
      </w:r>
      <w:proofErr w:type="gramStart"/>
      <w:r w:rsidR="00597427" w:rsidRPr="0013327C">
        <w:rPr>
          <w:rFonts w:asciiTheme="majorHAnsi" w:hAnsiTheme="majorHAnsi"/>
          <w:b/>
        </w:rPr>
        <w:t>Figure 3.</w:t>
      </w:r>
      <w:r w:rsidR="004050DA" w:rsidRPr="0013327C">
        <w:rPr>
          <w:rFonts w:asciiTheme="majorHAnsi" w:hAnsiTheme="majorHAnsi"/>
          <w:b/>
        </w:rPr>
        <w:t>2</w:t>
      </w:r>
      <w:r w:rsidR="00A50E49">
        <w:rPr>
          <w:rFonts w:asciiTheme="majorHAnsi" w:hAnsiTheme="majorHAnsi"/>
          <w:b/>
        </w:rPr>
        <w:t>4</w:t>
      </w:r>
      <w:r w:rsidR="00597427" w:rsidRPr="0013327C">
        <w:rPr>
          <w:rFonts w:asciiTheme="majorHAnsi" w:hAnsiTheme="majorHAnsi"/>
          <w:b/>
        </w:rPr>
        <w:t>.</w:t>
      </w:r>
      <w:proofErr w:type="gramEnd"/>
      <w:r w:rsidR="00597427" w:rsidRPr="0013327C">
        <w:rPr>
          <w:rFonts w:asciiTheme="majorHAnsi" w:hAnsiTheme="majorHAnsi"/>
          <w:b/>
        </w:rPr>
        <w:t xml:space="preserve"> </w:t>
      </w:r>
      <w:r w:rsidR="004050DA" w:rsidRPr="0013327C">
        <w:rPr>
          <w:rFonts w:asciiTheme="majorHAnsi" w:hAnsiTheme="majorHAnsi"/>
          <w:b/>
        </w:rPr>
        <w:t xml:space="preserve">Screen 1 </w:t>
      </w:r>
      <w:proofErr w:type="gramStart"/>
      <w:r w:rsidR="004050DA" w:rsidRPr="0013327C">
        <w:rPr>
          <w:rFonts w:asciiTheme="majorHAnsi" w:hAnsiTheme="majorHAnsi"/>
          <w:b/>
        </w:rPr>
        <w:t>Controls</w:t>
      </w:r>
      <w:proofErr w:type="gramEnd"/>
      <w:r w:rsidR="004050DA" w:rsidRPr="0013327C">
        <w:rPr>
          <w:rFonts w:asciiTheme="majorHAnsi" w:hAnsiTheme="majorHAnsi"/>
          <w:b/>
        </w:rPr>
        <w:t xml:space="preserve">. </w:t>
      </w:r>
      <w:proofErr w:type="gramStart"/>
      <w:r w:rsidR="00597427" w:rsidRPr="0013327C">
        <w:rPr>
          <w:rFonts w:asciiTheme="majorHAnsi" w:hAnsiTheme="majorHAnsi"/>
        </w:rPr>
        <w:t>One image each from a site of the control probes taken from plate 1 of the screen.</w:t>
      </w:r>
      <w:proofErr w:type="gramEnd"/>
      <w:r w:rsidR="00597427" w:rsidRPr="0013327C">
        <w:rPr>
          <w:rFonts w:asciiTheme="majorHAnsi" w:hAnsiTheme="majorHAnsi"/>
        </w:rPr>
        <w:t xml:space="preserve"> The “Empty” image is of Plate 1, Well A03, which was filled with 5µl nuclease-free de-ionised water, displaying a WT phenotype. Bar = 20.00 µm.</w:t>
      </w:r>
    </w:p>
    <w:p w:rsidR="00597427" w:rsidRPr="0013327C" w:rsidRDefault="00597427" w:rsidP="00AE0264">
      <w:pPr>
        <w:jc w:val="both"/>
        <w:rPr>
          <w:rFonts w:asciiTheme="majorHAnsi" w:hAnsiTheme="majorHAnsi"/>
        </w:rPr>
      </w:pPr>
      <w:r w:rsidRPr="0013327C">
        <w:rPr>
          <w:rFonts w:asciiTheme="majorHAnsi" w:hAnsiTheme="majorHAnsi"/>
        </w:rPr>
        <w:t xml:space="preserve">Each plate of the screen contained two copies of each control probe. This meant that 106 datapoints could be analysed per control. The positive controls </w:t>
      </w:r>
      <w:r w:rsidR="000C26B2" w:rsidRPr="000C26B2">
        <w:rPr>
          <w:rFonts w:asciiTheme="majorHAnsi" w:hAnsiTheme="majorHAnsi"/>
          <w:i/>
        </w:rPr>
        <w:t>PEX</w:t>
      </w:r>
      <w:r w:rsidRPr="0013327C">
        <w:rPr>
          <w:rFonts w:asciiTheme="majorHAnsi" w:hAnsiTheme="majorHAnsi"/>
        </w:rPr>
        <w:t xml:space="preserve">s 3, 5, 16 returned average peroxisome per cell numbers of 7.19, 0.79 and 3.11 respectively see </w:t>
      </w:r>
      <w:proofErr w:type="gramStart"/>
      <w:r w:rsidRPr="0013327C">
        <w:rPr>
          <w:rFonts w:asciiTheme="majorHAnsi" w:hAnsiTheme="majorHAnsi"/>
        </w:rPr>
        <w:t xml:space="preserve">table </w:t>
      </w:r>
      <w:r w:rsidRPr="0013327C">
        <w:rPr>
          <w:rFonts w:asciiTheme="majorHAnsi" w:hAnsiTheme="majorHAnsi"/>
          <w:color w:val="FF0000"/>
        </w:rPr>
        <w:t>?</w:t>
      </w:r>
      <w:r w:rsidRPr="0013327C">
        <w:rPr>
          <w:rFonts w:asciiTheme="majorHAnsi" w:hAnsiTheme="majorHAnsi"/>
        </w:rPr>
        <w:t>.</w:t>
      </w:r>
      <w:proofErr w:type="gramEnd"/>
      <w:r w:rsidRPr="0013327C">
        <w:rPr>
          <w:rFonts w:asciiTheme="majorHAnsi" w:hAnsiTheme="majorHAnsi"/>
        </w:rPr>
        <w:t xml:space="preserve">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 xml:space="preserve">16 have means of their 106 datapoints greater than 2 standard deviations (2σ, 7.42 peroxisomes per cell) of the entire screen from its mean (µ, 15.74) and only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 xml:space="preserve">16 have 95% of their datapoints greater than 2 σ from the mean. Despite this </w:t>
      </w:r>
      <w:r w:rsidR="000C26B2" w:rsidRPr="000C26B2">
        <w:rPr>
          <w:rFonts w:asciiTheme="majorHAnsi" w:hAnsiTheme="majorHAnsi"/>
          <w:i/>
        </w:rPr>
        <w:t>PEX</w:t>
      </w:r>
      <w:r w:rsidRPr="0013327C">
        <w:rPr>
          <w:rFonts w:asciiTheme="majorHAnsi" w:hAnsiTheme="majorHAnsi"/>
        </w:rPr>
        <w:t xml:space="preserve">3 shows a visible deviation from WT phenotypes in all wells in all plates, as do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 xml:space="preserve">16. </w:t>
      </w:r>
    </w:p>
    <w:p w:rsidR="00597427" w:rsidRPr="0013327C" w:rsidRDefault="000C26B2" w:rsidP="00AE0264">
      <w:pPr>
        <w:jc w:val="both"/>
        <w:rPr>
          <w:rFonts w:asciiTheme="majorHAnsi" w:hAnsiTheme="majorHAnsi"/>
        </w:rPr>
      </w:pPr>
      <w:r w:rsidRPr="000C26B2">
        <w:rPr>
          <w:rFonts w:asciiTheme="majorHAnsi" w:hAnsiTheme="majorHAnsi"/>
          <w:i/>
        </w:rPr>
        <w:t>PEX</w:t>
      </w:r>
      <w:r w:rsidR="00597427" w:rsidRPr="0013327C">
        <w:rPr>
          <w:rFonts w:asciiTheme="majorHAnsi" w:hAnsiTheme="majorHAnsi"/>
        </w:rPr>
        <w:t xml:space="preserve">19 and Tango11 probes were also included and as expected from our previous experiments proved to be ineffective at producing a non-WT phenotype. None of the </w:t>
      </w:r>
      <w:r w:rsidRPr="000C26B2">
        <w:rPr>
          <w:rFonts w:asciiTheme="majorHAnsi" w:hAnsiTheme="majorHAnsi"/>
          <w:i/>
        </w:rPr>
        <w:lastRenderedPageBreak/>
        <w:t>PEX</w:t>
      </w:r>
      <w:r w:rsidR="00597427" w:rsidRPr="0013327C">
        <w:rPr>
          <w:rFonts w:asciiTheme="majorHAnsi" w:hAnsiTheme="majorHAnsi"/>
        </w:rPr>
        <w:t xml:space="preserve">19 or the Tango11 datapoints </w:t>
      </w:r>
      <w:proofErr w:type="gramStart"/>
      <w:r w:rsidR="00597427" w:rsidRPr="0013327C">
        <w:rPr>
          <w:rFonts w:asciiTheme="majorHAnsi" w:hAnsiTheme="majorHAnsi"/>
        </w:rPr>
        <w:t>exceed</w:t>
      </w:r>
      <w:proofErr w:type="gramEnd"/>
      <w:r w:rsidR="00597427" w:rsidRPr="0013327C">
        <w:rPr>
          <w:rFonts w:asciiTheme="majorHAnsi" w:hAnsiTheme="majorHAnsi"/>
        </w:rPr>
        <w:t xml:space="preserve"> a Z-score of -2. Their means are both within one σ of the mean (-.09 and 0.12 respectively).</w:t>
      </w:r>
    </w:p>
    <w:p w:rsidR="00597427" w:rsidRPr="0013327C" w:rsidRDefault="00597427" w:rsidP="00AE0264">
      <w:pPr>
        <w:jc w:val="both"/>
        <w:rPr>
          <w:rFonts w:asciiTheme="majorHAnsi" w:hAnsiTheme="majorHAnsi"/>
        </w:rPr>
      </w:pPr>
      <w:r w:rsidRPr="0013327C">
        <w:rPr>
          <w:rFonts w:asciiTheme="majorHAnsi" w:hAnsiTheme="majorHAnsi"/>
          <w:b/>
          <w:noProof/>
          <w:lang w:eastAsia="en-GB"/>
        </w:rPr>
        <w:drawing>
          <wp:inline distT="0" distB="0" distL="0" distR="0">
            <wp:extent cx="5731510" cy="3830372"/>
            <wp:effectExtent l="19050" t="0" r="2540" b="0"/>
            <wp:docPr id="9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0" cstate="print"/>
                    <a:srcRect/>
                    <a:stretch>
                      <a:fillRect/>
                    </a:stretch>
                  </pic:blipFill>
                  <pic:spPr bwMode="auto">
                    <a:xfrm>
                      <a:off x="0" y="0"/>
                      <a:ext cx="5731510" cy="3830372"/>
                    </a:xfrm>
                    <a:prstGeom prst="rect">
                      <a:avLst/>
                    </a:prstGeom>
                    <a:noFill/>
                    <a:ln w="9525">
                      <a:noFill/>
                      <a:miter lim="800000"/>
                      <a:headEnd/>
                      <a:tailEnd/>
                    </a:ln>
                  </pic:spPr>
                </pic:pic>
              </a:graphicData>
            </a:graphic>
          </wp:inline>
        </w:drawing>
      </w:r>
      <w:proofErr w:type="gramStart"/>
      <w:r w:rsidRPr="0013327C">
        <w:rPr>
          <w:rFonts w:asciiTheme="majorHAnsi" w:hAnsiTheme="majorHAnsi"/>
          <w:b/>
        </w:rPr>
        <w:t>Figure 3.</w:t>
      </w:r>
      <w:r w:rsidR="004504A0">
        <w:rPr>
          <w:rFonts w:asciiTheme="majorHAnsi" w:hAnsiTheme="majorHAnsi"/>
          <w:b/>
        </w:rPr>
        <w:t>2</w:t>
      </w:r>
      <w:r w:rsidR="00A50E49">
        <w:rPr>
          <w:rFonts w:asciiTheme="majorHAnsi" w:hAnsiTheme="majorHAnsi"/>
          <w:b/>
        </w:rPr>
        <w:t>5</w:t>
      </w:r>
      <w:r w:rsidRPr="0013327C">
        <w:rPr>
          <w:rFonts w:asciiTheme="majorHAnsi" w:hAnsiTheme="majorHAnsi"/>
          <w:b/>
        </w:rPr>
        <w:t>.</w:t>
      </w:r>
      <w:proofErr w:type="gramEnd"/>
      <w:r w:rsidRPr="0013327C">
        <w:rPr>
          <w:rFonts w:asciiTheme="majorHAnsi" w:hAnsiTheme="majorHAnsi"/>
          <w:b/>
        </w:rPr>
        <w:t xml:space="preserve"> </w:t>
      </w:r>
      <w:proofErr w:type="gramStart"/>
      <w:r w:rsidR="00A46ADD" w:rsidRPr="003F5DF1">
        <w:rPr>
          <w:rFonts w:asciiTheme="majorHAnsi" w:hAnsiTheme="majorHAnsi"/>
          <w:b/>
        </w:rPr>
        <w:t>Schematic of a normal distribution curve</w:t>
      </w:r>
      <w:r w:rsidR="00A46ADD" w:rsidRPr="0013327C">
        <w:rPr>
          <w:rFonts w:asciiTheme="majorHAnsi" w:hAnsiTheme="majorHAnsi"/>
        </w:rPr>
        <w:t>.</w:t>
      </w:r>
      <w:proofErr w:type="gramEnd"/>
      <w:r w:rsidR="00A46ADD" w:rsidRPr="0013327C">
        <w:rPr>
          <w:rFonts w:asciiTheme="majorHAnsi" w:hAnsiTheme="majorHAnsi"/>
          <w:b/>
        </w:rPr>
        <w:t xml:space="preserve"> </w:t>
      </w:r>
      <w:proofErr w:type="gramStart"/>
      <w:r w:rsidRPr="0013327C">
        <w:rPr>
          <w:rFonts w:asciiTheme="majorHAnsi" w:hAnsiTheme="majorHAnsi"/>
        </w:rPr>
        <w:t>A normal distribution curve showing the mean (µ) and lines representing standard deviations (σ) from the mean.</w:t>
      </w:r>
      <w:proofErr w:type="gramEnd"/>
      <w:r w:rsidRPr="0013327C">
        <w:rPr>
          <w:rFonts w:asciiTheme="majorHAnsi" w:hAnsiTheme="majorHAnsi"/>
        </w:rPr>
        <w:t xml:space="preserve"> The area under the curve and between each line is given as a percentage of the distributed data that it represents. Data that exceed a magnitude of 2σ are within the 4.55% (2 decimal places) of the most outlying data in the distribution. This exceeds a 95% Confidence Interval and data exceeding a magnitude of 2σ from µ are considered statistically significant aberrant phenotypes. </w:t>
      </w: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732327" w:rsidP="00AE0264">
      <w:pPr>
        <w:jc w:val="both"/>
        <w:rPr>
          <w:rFonts w:asciiTheme="majorHAnsi" w:hAnsiTheme="majorHAnsi"/>
        </w:rPr>
      </w:pPr>
      <w:r>
        <w:rPr>
          <w:rFonts w:asciiTheme="majorHAnsi" w:hAnsiTheme="majorHAnsi"/>
          <w:noProof/>
          <w:lang w:eastAsia="en-GB"/>
        </w:rPr>
        <w:lastRenderedPageBreak/>
        <w:drawing>
          <wp:inline distT="0" distB="0" distL="0" distR="0">
            <wp:extent cx="5404098" cy="8839200"/>
            <wp:effectExtent l="19050" t="0" r="0" b="0"/>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srcRect/>
                    <a:stretch>
                      <a:fillRect/>
                    </a:stretch>
                  </pic:blipFill>
                  <pic:spPr bwMode="auto">
                    <a:xfrm>
                      <a:off x="0" y="0"/>
                      <a:ext cx="5403795" cy="8838704"/>
                    </a:xfrm>
                    <a:prstGeom prst="rect">
                      <a:avLst/>
                    </a:prstGeom>
                    <a:noFill/>
                  </pic:spPr>
                </pic:pic>
              </a:graphicData>
            </a:graphic>
          </wp:inline>
        </w:drawing>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803775" cy="2444750"/>
            <wp:effectExtent l="0" t="0" r="0" b="0"/>
            <wp:docPr id="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srcRect/>
                    <a:stretch>
                      <a:fillRect/>
                    </a:stretch>
                  </pic:blipFill>
                  <pic:spPr bwMode="auto">
                    <a:xfrm>
                      <a:off x="0" y="0"/>
                      <a:ext cx="4803775" cy="2444750"/>
                    </a:xfrm>
                    <a:prstGeom prst="rect">
                      <a:avLst/>
                    </a:prstGeom>
                    <a:noFill/>
                  </pic:spPr>
                </pic:pic>
              </a:graphicData>
            </a:graphic>
          </wp:inline>
        </w:drawing>
      </w:r>
    </w:p>
    <w:p w:rsidR="00597427" w:rsidRPr="0013327C" w:rsidRDefault="00F54C76" w:rsidP="00AE0264">
      <w:pPr>
        <w:jc w:val="both"/>
        <w:rPr>
          <w:rFonts w:asciiTheme="majorHAnsi" w:eastAsia="Times New Roman" w:hAnsiTheme="majorHAnsi" w:cs="Times New Roman"/>
          <w:color w:val="000000"/>
          <w:lang w:eastAsia="en-GB"/>
        </w:rPr>
      </w:pPr>
      <w:proofErr w:type="gramStart"/>
      <w:r>
        <w:rPr>
          <w:rFonts w:asciiTheme="majorHAnsi" w:hAnsiTheme="majorHAnsi"/>
          <w:b/>
        </w:rPr>
        <w:t>Table</w:t>
      </w:r>
      <w:r w:rsidR="00597427" w:rsidRPr="0013327C">
        <w:rPr>
          <w:rFonts w:asciiTheme="majorHAnsi" w:hAnsiTheme="majorHAnsi"/>
        </w:rPr>
        <w:t xml:space="preserve"> </w:t>
      </w:r>
      <w:r w:rsidR="003C07AE" w:rsidRPr="0013327C">
        <w:rPr>
          <w:rFonts w:asciiTheme="majorHAnsi" w:hAnsiTheme="majorHAnsi"/>
          <w:b/>
        </w:rPr>
        <w:t>3.</w:t>
      </w:r>
      <w:r>
        <w:rPr>
          <w:rFonts w:asciiTheme="majorHAnsi" w:hAnsiTheme="majorHAnsi"/>
          <w:b/>
        </w:rPr>
        <w:t>3</w:t>
      </w:r>
      <w:r w:rsidR="00597427" w:rsidRPr="0013327C">
        <w:rPr>
          <w:rFonts w:asciiTheme="majorHAnsi" w:hAnsiTheme="majorHAnsi"/>
          <w:b/>
        </w:rPr>
        <w:t>.</w:t>
      </w:r>
      <w:proofErr w:type="gramEnd"/>
      <w:r w:rsidR="00597427" w:rsidRPr="0013327C">
        <w:rPr>
          <w:rFonts w:asciiTheme="majorHAnsi" w:hAnsiTheme="majorHAnsi"/>
          <w:b/>
        </w:rPr>
        <w:t xml:space="preserve"> </w:t>
      </w:r>
      <w:proofErr w:type="gramStart"/>
      <w:r w:rsidR="003C07AE" w:rsidRPr="0013327C">
        <w:rPr>
          <w:rFonts w:asciiTheme="majorHAnsi" w:hAnsiTheme="majorHAnsi"/>
          <w:b/>
        </w:rPr>
        <w:t>Probe data summary for Screen 1.</w:t>
      </w:r>
      <w:proofErr w:type="gramEnd"/>
      <w:r w:rsidR="003C07AE" w:rsidRPr="0013327C">
        <w:rPr>
          <w:rFonts w:asciiTheme="majorHAnsi" w:hAnsiTheme="majorHAnsi"/>
          <w:b/>
        </w:rPr>
        <w:t xml:space="preserve"> </w:t>
      </w:r>
      <w:proofErr w:type="gramStart"/>
      <w:r w:rsidR="00597427" w:rsidRPr="0013327C">
        <w:rPr>
          <w:rFonts w:asciiTheme="majorHAnsi" w:hAnsiTheme="majorHAnsi"/>
        </w:rPr>
        <w:t>Number of peroxisomes per cell and Z-scores for each probe across all the plates (106 wells per probe) in non-normalised data.</w:t>
      </w:r>
      <w:proofErr w:type="gramEnd"/>
      <w:r w:rsidR="00597427" w:rsidRPr="0013327C">
        <w:rPr>
          <w:rFonts w:asciiTheme="majorHAnsi" w:hAnsiTheme="majorHAnsi"/>
        </w:rPr>
        <w:t xml:space="preserve"> </w:t>
      </w:r>
      <w:r w:rsidR="00597427" w:rsidRPr="0013327C">
        <w:rPr>
          <w:rFonts w:asciiTheme="majorHAnsi" w:hAnsiTheme="majorHAnsi"/>
          <w:color w:val="FF0000"/>
        </w:rPr>
        <w:t>*</w:t>
      </w:r>
      <w:r w:rsidR="00597427" w:rsidRPr="0013327C">
        <w:rPr>
          <w:rFonts w:asciiTheme="majorHAnsi" w:hAnsiTheme="majorHAnsi"/>
        </w:rPr>
        <w:t xml:space="preserve">The standard deviation of each control’s 106 data-points from </w:t>
      </w:r>
      <w:r w:rsidR="00597427" w:rsidRPr="0013327C">
        <w:rPr>
          <w:rFonts w:asciiTheme="majorHAnsi" w:hAnsiTheme="majorHAnsi"/>
          <w:b/>
        </w:rPr>
        <w:t>its</w:t>
      </w:r>
      <w:r w:rsidR="00597427" w:rsidRPr="0013327C">
        <w:rPr>
          <w:rFonts w:asciiTheme="majorHAnsi" w:hAnsiTheme="majorHAnsi"/>
        </w:rPr>
        <w:t xml:space="preserve"> mean, the higher this SD the greater the variance of that probe’s values about its mean datapoint.</w:t>
      </w:r>
      <w:r w:rsidR="00597427" w:rsidRPr="0013327C">
        <w:rPr>
          <w:rFonts w:asciiTheme="majorHAnsi" w:eastAsia="Times New Roman" w:hAnsiTheme="majorHAnsi" w:cs="Times New Roman"/>
          <w:color w:val="000000"/>
          <w:lang w:eastAsia="en-GB"/>
        </w:rPr>
        <w:t xml:space="preserve"> </w:t>
      </w:r>
      <w:r w:rsidR="00597427" w:rsidRPr="0013327C">
        <w:rPr>
          <w:rFonts w:asciiTheme="majorHAnsi" w:hAnsiTheme="majorHAnsi"/>
        </w:rPr>
        <w:t>σ</w:t>
      </w:r>
      <w:r w:rsidR="00597427" w:rsidRPr="0013327C">
        <w:rPr>
          <w:rFonts w:asciiTheme="majorHAnsi" w:eastAsia="Times New Roman" w:hAnsiTheme="majorHAnsi" w:cs="Times New Roman"/>
          <w:color w:val="000000"/>
          <w:lang w:eastAsia="en-GB"/>
        </w:rPr>
        <w:t xml:space="preserve"> = standard deviation of the entire screen’s data excluding controls, from which z-scores were determined for all probes. </w:t>
      </w:r>
      <w:r w:rsidR="00597427" w:rsidRPr="0013327C">
        <w:rPr>
          <w:rFonts w:asciiTheme="majorHAnsi" w:eastAsia="Times New Roman" w:hAnsiTheme="majorHAnsi" w:cs="Times New Roman"/>
          <w:color w:val="FF0000"/>
          <w:lang w:eastAsia="en-GB"/>
        </w:rPr>
        <w:t>‡</w:t>
      </w:r>
      <w:r w:rsidR="00597427" w:rsidRPr="0013327C">
        <w:rPr>
          <w:rFonts w:asciiTheme="majorHAnsi" w:eastAsia="Times New Roman" w:hAnsiTheme="majorHAnsi" w:cs="Times New Roman"/>
          <w:color w:val="000000"/>
          <w:lang w:eastAsia="en-GB"/>
        </w:rPr>
        <w:t xml:space="preserve">The mean and range of that control’s data expressed in </w:t>
      </w:r>
      <w:r w:rsidR="00597427" w:rsidRPr="0013327C">
        <w:rPr>
          <w:rFonts w:asciiTheme="majorHAnsi" w:hAnsiTheme="majorHAnsi"/>
        </w:rPr>
        <w:t>σ</w:t>
      </w:r>
      <w:r w:rsidR="00597427" w:rsidRPr="0013327C">
        <w:rPr>
          <w:rFonts w:asciiTheme="majorHAnsi" w:eastAsia="Times New Roman" w:hAnsiTheme="majorHAnsi" w:cs="Times New Roman"/>
          <w:color w:val="000000"/>
          <w:lang w:eastAsia="en-GB"/>
        </w:rPr>
        <w:t xml:space="preserve"> s from the mean of the screen data (µ = population mean, 15.74).</w:t>
      </w:r>
    </w:p>
    <w:p w:rsidR="00597427" w:rsidRPr="0013327C" w:rsidRDefault="00597427" w:rsidP="00AE0264">
      <w:pPr>
        <w:pStyle w:val="Heading2"/>
        <w:jc w:val="both"/>
      </w:pPr>
      <w:bookmarkStart w:id="102" w:name="_Toc348423354"/>
      <w:r w:rsidRPr="0013327C">
        <w:t>11 gene KDs homologous to genes known to have peroxisome biogenesis function gave loss-of-function phenotypes</w:t>
      </w:r>
      <w:bookmarkEnd w:id="102"/>
      <w:r w:rsidRPr="0013327C">
        <w:t xml:space="preserve"> </w:t>
      </w:r>
    </w:p>
    <w:p w:rsidR="00597427" w:rsidRPr="0013327C" w:rsidRDefault="00597427" w:rsidP="00AE0264">
      <w:pPr>
        <w:jc w:val="both"/>
        <w:rPr>
          <w:rFonts w:asciiTheme="majorHAnsi" w:hAnsiTheme="majorHAnsi"/>
          <w:noProof/>
          <w:lang w:eastAsia="en-GB"/>
        </w:rPr>
      </w:pPr>
      <w:r w:rsidRPr="0013327C">
        <w:rPr>
          <w:rFonts w:asciiTheme="majorHAnsi" w:hAnsiTheme="majorHAnsi"/>
        </w:rPr>
        <w:t xml:space="preserve">KDs with z-scores greater than a magnitude of 2 (43 &lt;-2.0, 472&gt;2.0) were checked visually for </w:t>
      </w:r>
      <w:r w:rsidR="000C26B2" w:rsidRPr="000C26B2">
        <w:rPr>
          <w:rFonts w:asciiTheme="majorHAnsi" w:hAnsiTheme="majorHAnsi"/>
          <w:i/>
        </w:rPr>
        <w:t>PEX</w:t>
      </w:r>
      <w:r w:rsidRPr="0013327C">
        <w:rPr>
          <w:rFonts w:asciiTheme="majorHAnsi" w:hAnsiTheme="majorHAnsi"/>
        </w:rPr>
        <w:t xml:space="preserve">-like phenotypes. The screen reported </w:t>
      </w:r>
      <w:r w:rsidR="000C26B2" w:rsidRPr="000C26B2">
        <w:rPr>
          <w:rFonts w:asciiTheme="majorHAnsi" w:hAnsiTheme="majorHAnsi"/>
          <w:i/>
        </w:rPr>
        <w:t>PEX</w:t>
      </w:r>
      <w:r w:rsidRPr="0013327C">
        <w:rPr>
          <w:rFonts w:asciiTheme="majorHAnsi" w:hAnsiTheme="majorHAnsi"/>
        </w:rPr>
        <w:t xml:space="preserve"> phenotypes for some, but not all, orthologues of, or genes known to be homologous to, </w:t>
      </w:r>
      <w:r w:rsidR="000C26B2" w:rsidRPr="000C26B2">
        <w:rPr>
          <w:rFonts w:asciiTheme="majorHAnsi" w:hAnsiTheme="majorHAnsi"/>
          <w:i/>
        </w:rPr>
        <w:t>PEX</w:t>
      </w:r>
      <w:r w:rsidRPr="0013327C">
        <w:rPr>
          <w:rFonts w:asciiTheme="majorHAnsi" w:hAnsiTheme="majorHAnsi"/>
        </w:rPr>
        <w:t xml:space="preserve"> genes from either </w:t>
      </w:r>
      <w:r w:rsidRPr="0013327C">
        <w:rPr>
          <w:rFonts w:asciiTheme="majorHAnsi" w:hAnsiTheme="majorHAnsi"/>
          <w:i/>
        </w:rPr>
        <w:t>H. sapiens</w:t>
      </w:r>
      <w:r w:rsidRPr="0013327C">
        <w:rPr>
          <w:rFonts w:asciiTheme="majorHAnsi" w:hAnsiTheme="majorHAnsi"/>
        </w:rPr>
        <w:t xml:space="preserve"> or </w:t>
      </w:r>
      <w:r w:rsidRPr="0013327C">
        <w:rPr>
          <w:rFonts w:asciiTheme="majorHAnsi" w:hAnsiTheme="majorHAnsi"/>
          <w:i/>
        </w:rPr>
        <w:t>S. cerevisiae</w:t>
      </w:r>
      <w:r w:rsidRPr="0013327C">
        <w:rPr>
          <w:rFonts w:asciiTheme="majorHAnsi" w:hAnsiTheme="majorHAnsi"/>
        </w:rPr>
        <w:t>. The screen revealed statistically significant aberrant phenotypes for the genes CG6760 (</w:t>
      </w:r>
      <w:r w:rsidR="000C26B2" w:rsidRPr="000C26B2">
        <w:rPr>
          <w:rFonts w:asciiTheme="majorHAnsi" w:hAnsiTheme="majorHAnsi"/>
          <w:i/>
        </w:rPr>
        <w:t>PEX</w:t>
      </w:r>
      <w:r w:rsidRPr="0013327C">
        <w:rPr>
          <w:rFonts w:asciiTheme="majorHAnsi" w:hAnsiTheme="majorHAnsi"/>
        </w:rPr>
        <w:t>1), CG6859 (</w:t>
      </w:r>
      <w:r w:rsidR="000C26B2" w:rsidRPr="000C26B2">
        <w:rPr>
          <w:rFonts w:asciiTheme="majorHAnsi" w:hAnsiTheme="majorHAnsi"/>
          <w:i/>
        </w:rPr>
        <w:t>PEX</w:t>
      </w:r>
      <w:r w:rsidRPr="0013327C">
        <w:rPr>
          <w:rFonts w:asciiTheme="majorHAnsi" w:hAnsiTheme="majorHAnsi"/>
        </w:rPr>
        <w:t>3), CG14815 (</w:t>
      </w:r>
      <w:r w:rsidR="000C26B2" w:rsidRPr="000C26B2">
        <w:rPr>
          <w:rFonts w:asciiTheme="majorHAnsi" w:hAnsiTheme="majorHAnsi"/>
          <w:i/>
        </w:rPr>
        <w:t>PEX</w:t>
      </w:r>
      <w:r w:rsidRPr="0013327C">
        <w:rPr>
          <w:rFonts w:asciiTheme="majorHAnsi" w:hAnsiTheme="majorHAnsi"/>
        </w:rPr>
        <w:t>5), CG4663 (</w:t>
      </w:r>
      <w:r w:rsidR="000C26B2" w:rsidRPr="000C26B2">
        <w:rPr>
          <w:rFonts w:asciiTheme="majorHAnsi" w:hAnsiTheme="majorHAnsi"/>
          <w:i/>
        </w:rPr>
        <w:t>PEX</w:t>
      </w:r>
      <w:r w:rsidRPr="0013327C">
        <w:rPr>
          <w:rFonts w:asciiTheme="majorHAnsi" w:hAnsiTheme="majorHAnsi"/>
        </w:rPr>
        <w:t>13), CG3947 (</w:t>
      </w:r>
      <w:r w:rsidR="000C26B2" w:rsidRPr="000C26B2">
        <w:rPr>
          <w:rFonts w:asciiTheme="majorHAnsi" w:hAnsiTheme="majorHAnsi"/>
          <w:i/>
        </w:rPr>
        <w:t>PEX</w:t>
      </w:r>
      <w:r w:rsidRPr="0013327C">
        <w:rPr>
          <w:rFonts w:asciiTheme="majorHAnsi" w:hAnsiTheme="majorHAnsi"/>
        </w:rPr>
        <w:t>16), and CG5325 (</w:t>
      </w:r>
      <w:r w:rsidR="000C26B2" w:rsidRPr="000C26B2">
        <w:rPr>
          <w:rFonts w:asciiTheme="majorHAnsi" w:hAnsiTheme="majorHAnsi"/>
          <w:i/>
        </w:rPr>
        <w:t>PEX</w:t>
      </w:r>
      <w:r w:rsidRPr="0013327C">
        <w:rPr>
          <w:rFonts w:asciiTheme="majorHAnsi" w:hAnsiTheme="majorHAnsi"/>
        </w:rPr>
        <w:t xml:space="preserve">19). </w:t>
      </w:r>
      <w:r w:rsidR="00012340">
        <w:rPr>
          <w:rFonts w:asciiTheme="majorHAnsi" w:hAnsiTheme="majorHAnsi"/>
        </w:rPr>
        <w:t>Another gene</w:t>
      </w:r>
      <w:r w:rsidRPr="0013327C">
        <w:rPr>
          <w:rFonts w:asciiTheme="majorHAnsi" w:hAnsiTheme="majorHAnsi"/>
        </w:rPr>
        <w:t xml:space="preserve"> known to be associated with peroxisome biogenesis whose homologue </w:t>
      </w:r>
      <w:r w:rsidR="00012340">
        <w:rPr>
          <w:rFonts w:asciiTheme="majorHAnsi" w:hAnsiTheme="majorHAnsi"/>
        </w:rPr>
        <w:t>was reported is</w:t>
      </w:r>
      <w:r w:rsidRPr="0013327C">
        <w:rPr>
          <w:rFonts w:asciiTheme="majorHAnsi" w:hAnsiTheme="majorHAnsi"/>
        </w:rPr>
        <w:t xml:space="preserve"> and CG30404 (Tango11).</w:t>
      </w:r>
      <w:r w:rsidRPr="0013327C">
        <w:rPr>
          <w:rFonts w:asciiTheme="majorHAnsi" w:hAnsiTheme="majorHAnsi"/>
          <w:noProof/>
          <w:lang w:eastAsia="en-GB"/>
        </w:rPr>
        <w:t xml:space="preserve"> </w:t>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666891" cy="2336301"/>
            <wp:effectExtent l="0" t="0" r="359" b="0"/>
            <wp:docPr id="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srcRect/>
                    <a:stretch>
                      <a:fillRect/>
                    </a:stretch>
                  </pic:blipFill>
                  <pic:spPr bwMode="auto">
                    <a:xfrm>
                      <a:off x="0" y="0"/>
                      <a:ext cx="4670019" cy="2337867"/>
                    </a:xfrm>
                    <a:prstGeom prst="rect">
                      <a:avLst/>
                    </a:prstGeom>
                    <a:noFill/>
                  </pic:spPr>
                </pic:pic>
              </a:graphicData>
            </a:graphic>
          </wp:inline>
        </w:drawing>
      </w:r>
    </w:p>
    <w:p w:rsidR="00597427" w:rsidRDefault="002D762E" w:rsidP="00AE0264">
      <w:pPr>
        <w:jc w:val="both"/>
        <w:rPr>
          <w:rFonts w:asciiTheme="majorHAnsi" w:hAnsiTheme="majorHAnsi"/>
        </w:rPr>
      </w:pPr>
      <w:proofErr w:type="gramStart"/>
      <w:r>
        <w:rPr>
          <w:rFonts w:asciiTheme="majorHAnsi" w:hAnsiTheme="majorHAnsi"/>
          <w:b/>
        </w:rPr>
        <w:t>Table</w:t>
      </w:r>
      <w:r w:rsidR="0013327C" w:rsidRPr="0013327C">
        <w:rPr>
          <w:rFonts w:asciiTheme="majorHAnsi" w:hAnsiTheme="majorHAnsi"/>
          <w:b/>
        </w:rPr>
        <w:t xml:space="preserve"> 3.</w:t>
      </w:r>
      <w:r>
        <w:rPr>
          <w:rFonts w:asciiTheme="majorHAnsi" w:hAnsiTheme="majorHAnsi"/>
          <w:b/>
        </w:rPr>
        <w:t>4</w:t>
      </w:r>
      <w:r w:rsidR="0013327C" w:rsidRPr="0013327C">
        <w:rPr>
          <w:rFonts w:asciiTheme="majorHAnsi" w:hAnsiTheme="majorHAnsi"/>
          <w:b/>
        </w:rPr>
        <w:t>.</w:t>
      </w:r>
      <w:proofErr w:type="gramEnd"/>
      <w:r w:rsidR="00597427" w:rsidRPr="0013327C">
        <w:rPr>
          <w:rFonts w:asciiTheme="majorHAnsi" w:hAnsiTheme="majorHAnsi"/>
        </w:rPr>
        <w:t xml:space="preserve"> </w:t>
      </w:r>
      <w:proofErr w:type="gramStart"/>
      <w:r w:rsidR="003F5DF1">
        <w:rPr>
          <w:rFonts w:asciiTheme="majorHAnsi" w:hAnsiTheme="majorHAnsi"/>
        </w:rPr>
        <w:t>Z</w:t>
      </w:r>
      <w:r w:rsidR="00C47DEE" w:rsidRPr="00C47DEE">
        <w:rPr>
          <w:rFonts w:asciiTheme="majorHAnsi" w:hAnsiTheme="majorHAnsi"/>
          <w:b/>
        </w:rPr>
        <w:t>-scores</w:t>
      </w:r>
      <w:r w:rsidR="00597427" w:rsidRPr="009B0EF3">
        <w:rPr>
          <w:rFonts w:asciiTheme="majorHAnsi" w:hAnsiTheme="majorHAnsi"/>
          <w:b/>
        </w:rPr>
        <w:t xml:space="preserve"> of known </w:t>
      </w:r>
      <w:r w:rsidR="000C26B2" w:rsidRPr="000C26B2">
        <w:rPr>
          <w:rFonts w:asciiTheme="majorHAnsi" w:hAnsiTheme="majorHAnsi"/>
          <w:b/>
          <w:i/>
        </w:rPr>
        <w:t>PEX</w:t>
      </w:r>
      <w:r w:rsidR="00597427" w:rsidRPr="009B0EF3">
        <w:rPr>
          <w:rFonts w:asciiTheme="majorHAnsi" w:hAnsiTheme="majorHAnsi"/>
          <w:b/>
        </w:rPr>
        <w:t xml:space="preserve"> orthologues</w:t>
      </w:r>
      <w:r w:rsidR="009B0EF3" w:rsidRPr="009B0EF3">
        <w:rPr>
          <w:rFonts w:asciiTheme="majorHAnsi" w:hAnsiTheme="majorHAnsi"/>
          <w:b/>
        </w:rPr>
        <w:t>.</w:t>
      </w:r>
      <w:proofErr w:type="gramEnd"/>
      <w:r w:rsidR="009B0EF3">
        <w:rPr>
          <w:rFonts w:asciiTheme="majorHAnsi" w:hAnsiTheme="majorHAnsi"/>
        </w:rPr>
        <w:t xml:space="preserve"> </w:t>
      </w:r>
      <w:proofErr w:type="gramStart"/>
      <w:r w:rsidR="009B0EF3" w:rsidRPr="0013327C">
        <w:rPr>
          <w:rFonts w:asciiTheme="majorHAnsi" w:hAnsiTheme="majorHAnsi"/>
        </w:rPr>
        <w:t xml:space="preserve">Table of known </w:t>
      </w:r>
      <w:r w:rsidR="000C26B2" w:rsidRPr="000C26B2">
        <w:rPr>
          <w:rFonts w:asciiTheme="majorHAnsi" w:hAnsiTheme="majorHAnsi"/>
          <w:i/>
        </w:rPr>
        <w:t>PEX</w:t>
      </w:r>
      <w:r w:rsidR="009B0EF3" w:rsidRPr="0013327C">
        <w:rPr>
          <w:rFonts w:asciiTheme="majorHAnsi" w:hAnsiTheme="majorHAnsi"/>
        </w:rPr>
        <w:t xml:space="preserve"> orthologues</w:t>
      </w:r>
      <w:r w:rsidR="00597427" w:rsidRPr="0013327C">
        <w:rPr>
          <w:rFonts w:asciiTheme="majorHAnsi" w:hAnsiTheme="majorHAnsi"/>
        </w:rPr>
        <w:t xml:space="preserve"> with statistically significant average peroxisomes per cell per well and their corresponding Z-scores.</w:t>
      </w:r>
      <w:proofErr w:type="gramEnd"/>
    </w:p>
    <w:p w:rsidR="002C1BE7" w:rsidRPr="0013327C" w:rsidRDefault="002C1BE7" w:rsidP="00AE0264">
      <w:pPr>
        <w:jc w:val="both"/>
        <w:rPr>
          <w:rFonts w:asciiTheme="majorHAnsi" w:hAnsiTheme="majorHAnsi"/>
        </w:rPr>
      </w:pPr>
    </w:p>
    <w:p w:rsidR="00597427" w:rsidRPr="00C47DEE" w:rsidRDefault="00B87178" w:rsidP="00AE0264">
      <w:pPr>
        <w:jc w:val="both"/>
        <w:rPr>
          <w:rFonts w:asciiTheme="majorHAnsi" w:hAnsiTheme="majorHAnsi"/>
          <w:b/>
        </w:rPr>
      </w:pPr>
      <w:r>
        <w:rPr>
          <w:rFonts w:asciiTheme="majorHAnsi" w:hAnsiTheme="majorHAnsi"/>
          <w:b/>
          <w:noProof/>
          <w:lang w:eastAsia="en-GB"/>
        </w:rPr>
        <w:drawing>
          <wp:inline distT="0" distB="0" distL="0" distR="0">
            <wp:extent cx="5434641" cy="4281865"/>
            <wp:effectExtent l="0" t="0" r="0" b="0"/>
            <wp:docPr id="2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srcRect/>
                    <a:stretch>
                      <a:fillRect/>
                    </a:stretch>
                  </pic:blipFill>
                  <pic:spPr bwMode="auto">
                    <a:xfrm>
                      <a:off x="0" y="0"/>
                      <a:ext cx="5433153" cy="4280693"/>
                    </a:xfrm>
                    <a:prstGeom prst="rect">
                      <a:avLst/>
                    </a:prstGeom>
                    <a:noFill/>
                  </pic:spPr>
                </pic:pic>
              </a:graphicData>
            </a:graphic>
          </wp:inline>
        </w:drawing>
      </w:r>
      <w:proofErr w:type="gramStart"/>
      <w:r w:rsidR="00597427" w:rsidRPr="0013327C">
        <w:rPr>
          <w:rFonts w:asciiTheme="majorHAnsi" w:hAnsiTheme="majorHAnsi"/>
          <w:b/>
        </w:rPr>
        <w:t>Figure 3.</w:t>
      </w:r>
      <w:r w:rsidR="00C96FF4">
        <w:rPr>
          <w:rFonts w:asciiTheme="majorHAnsi" w:hAnsiTheme="majorHAnsi"/>
          <w:b/>
        </w:rPr>
        <w:t>27</w:t>
      </w:r>
      <w:r w:rsidR="00597427" w:rsidRPr="0013327C">
        <w:rPr>
          <w:rFonts w:asciiTheme="majorHAnsi" w:hAnsiTheme="majorHAnsi"/>
          <w:b/>
        </w:rPr>
        <w:t>.</w:t>
      </w:r>
      <w:proofErr w:type="gramEnd"/>
      <w:r w:rsidR="00597427" w:rsidRPr="0013327C">
        <w:rPr>
          <w:rFonts w:asciiTheme="majorHAnsi" w:hAnsiTheme="majorHAnsi"/>
          <w:b/>
        </w:rPr>
        <w:t xml:space="preserve"> </w:t>
      </w:r>
      <w:r w:rsidR="000C26B2" w:rsidRPr="000C26B2">
        <w:rPr>
          <w:rFonts w:asciiTheme="majorHAnsi" w:hAnsiTheme="majorHAnsi"/>
          <w:b/>
          <w:i/>
        </w:rPr>
        <w:t>PEX</w:t>
      </w:r>
      <w:r w:rsidR="00C47DEE">
        <w:rPr>
          <w:rFonts w:asciiTheme="majorHAnsi" w:hAnsiTheme="majorHAnsi"/>
          <w:b/>
        </w:rPr>
        <w:t xml:space="preserve"> gene hits from Screen 1. </w:t>
      </w:r>
      <w:r w:rsidR="00597427" w:rsidRPr="0013327C">
        <w:rPr>
          <w:rFonts w:asciiTheme="majorHAnsi" w:hAnsiTheme="majorHAnsi"/>
        </w:rPr>
        <w:t xml:space="preserve">Composite images of one site each of seven genes that returned statistically significant </w:t>
      </w:r>
      <w:r w:rsidR="000C26B2" w:rsidRPr="000C26B2">
        <w:rPr>
          <w:rFonts w:asciiTheme="majorHAnsi" w:hAnsiTheme="majorHAnsi"/>
          <w:i/>
        </w:rPr>
        <w:t>PEX</w:t>
      </w:r>
      <w:r w:rsidR="00597427" w:rsidRPr="0013327C">
        <w:rPr>
          <w:rFonts w:asciiTheme="majorHAnsi" w:hAnsiTheme="majorHAnsi"/>
        </w:rPr>
        <w:t xml:space="preserve"> phenotypes. Bar = 20.00 µm.</w:t>
      </w:r>
    </w:p>
    <w:p w:rsidR="00597427" w:rsidRPr="0013327C" w:rsidRDefault="00597427" w:rsidP="00AE0264">
      <w:pPr>
        <w:jc w:val="both"/>
        <w:rPr>
          <w:rFonts w:asciiTheme="majorHAnsi" w:hAnsiTheme="majorHAnsi"/>
        </w:rPr>
      </w:pPr>
      <w:r w:rsidRPr="0013327C">
        <w:rPr>
          <w:rFonts w:asciiTheme="majorHAnsi" w:hAnsiTheme="majorHAnsi"/>
        </w:rPr>
        <w:lastRenderedPageBreak/>
        <w:t xml:space="preserve">Those genes homologous to human or yeast peroxins that did not report a statistically significant z-score when knocked down were sought and their images visually screened. Four of those KDs had images of cells expressing eGFP-PTS1 that showed </w:t>
      </w:r>
      <w:r w:rsidR="000C26B2" w:rsidRPr="000C26B2">
        <w:rPr>
          <w:rFonts w:asciiTheme="majorHAnsi" w:hAnsiTheme="majorHAnsi"/>
          <w:i/>
        </w:rPr>
        <w:t>PEX</w:t>
      </w:r>
      <w:r w:rsidRPr="0013327C">
        <w:rPr>
          <w:rFonts w:asciiTheme="majorHAnsi" w:hAnsiTheme="majorHAnsi"/>
        </w:rPr>
        <w:t>-like phenotypes. Those genes were CG7081 (</w:t>
      </w:r>
      <w:r w:rsidR="000C26B2" w:rsidRPr="000C26B2">
        <w:rPr>
          <w:rFonts w:asciiTheme="majorHAnsi" w:hAnsiTheme="majorHAnsi"/>
          <w:i/>
        </w:rPr>
        <w:t>PEX</w:t>
      </w:r>
      <w:r w:rsidRPr="0013327C">
        <w:rPr>
          <w:rFonts w:asciiTheme="majorHAnsi" w:hAnsiTheme="majorHAnsi"/>
        </w:rPr>
        <w:t>2), CG8315 (</w:t>
      </w:r>
      <w:r w:rsidR="000C26B2" w:rsidRPr="000C26B2">
        <w:rPr>
          <w:rFonts w:asciiTheme="majorHAnsi" w:hAnsiTheme="majorHAnsi"/>
          <w:i/>
        </w:rPr>
        <w:t>PEX</w:t>
      </w:r>
      <w:r w:rsidRPr="0013327C">
        <w:rPr>
          <w:rFonts w:asciiTheme="majorHAnsi" w:hAnsiTheme="majorHAnsi"/>
        </w:rPr>
        <w:t>11β), CG4289 (</w:t>
      </w:r>
      <w:r w:rsidR="000C26B2" w:rsidRPr="000C26B2">
        <w:rPr>
          <w:rFonts w:asciiTheme="majorHAnsi" w:hAnsiTheme="majorHAnsi"/>
          <w:i/>
        </w:rPr>
        <w:t>PEX</w:t>
      </w:r>
      <w:r w:rsidRPr="0013327C">
        <w:rPr>
          <w:rFonts w:asciiTheme="majorHAnsi" w:hAnsiTheme="majorHAnsi"/>
        </w:rPr>
        <w:t xml:space="preserve">14) CG3210 (Drp1). </w:t>
      </w:r>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5404379" cy="2234242"/>
            <wp:effectExtent l="0" t="0" r="5821" b="0"/>
            <wp:docPr id="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srcRect/>
                    <a:stretch>
                      <a:fillRect/>
                    </a:stretch>
                  </pic:blipFill>
                  <pic:spPr bwMode="auto">
                    <a:xfrm>
                      <a:off x="0" y="0"/>
                      <a:ext cx="5419530" cy="2240505"/>
                    </a:xfrm>
                    <a:prstGeom prst="rect">
                      <a:avLst/>
                    </a:prstGeom>
                    <a:noFill/>
                  </pic:spPr>
                </pic:pic>
              </a:graphicData>
            </a:graphic>
          </wp:inline>
        </w:drawing>
      </w:r>
    </w:p>
    <w:p w:rsidR="00597427" w:rsidRDefault="002D762E" w:rsidP="00AE0264">
      <w:pPr>
        <w:jc w:val="both"/>
        <w:rPr>
          <w:rFonts w:asciiTheme="majorHAnsi" w:hAnsiTheme="majorHAnsi"/>
        </w:rPr>
      </w:pPr>
      <w:proofErr w:type="gramStart"/>
      <w:r>
        <w:rPr>
          <w:rFonts w:asciiTheme="majorHAnsi" w:hAnsiTheme="majorHAnsi"/>
          <w:b/>
        </w:rPr>
        <w:t xml:space="preserve">Table </w:t>
      </w:r>
      <w:r w:rsidR="00597427" w:rsidRPr="005A4C71">
        <w:rPr>
          <w:rFonts w:asciiTheme="majorHAnsi" w:hAnsiTheme="majorHAnsi"/>
          <w:b/>
        </w:rPr>
        <w:t xml:space="preserve"> </w:t>
      </w:r>
      <w:r w:rsidR="005348E9">
        <w:rPr>
          <w:rFonts w:asciiTheme="majorHAnsi" w:hAnsiTheme="majorHAnsi"/>
          <w:b/>
        </w:rPr>
        <w:t>3.5</w:t>
      </w:r>
      <w:proofErr w:type="gramEnd"/>
      <w:r w:rsidR="00597427" w:rsidRPr="005A4C71">
        <w:rPr>
          <w:rFonts w:asciiTheme="majorHAnsi" w:hAnsiTheme="majorHAnsi"/>
          <w:b/>
        </w:rPr>
        <w:t xml:space="preserve">. </w:t>
      </w:r>
      <w:proofErr w:type="gramStart"/>
      <w:r w:rsidR="00A92BEF" w:rsidRPr="005A4C71">
        <w:rPr>
          <w:rFonts w:asciiTheme="majorHAnsi" w:hAnsiTheme="majorHAnsi"/>
          <w:b/>
        </w:rPr>
        <w:t xml:space="preserve">Unconfirmed </w:t>
      </w:r>
      <w:r w:rsidR="00D93535" w:rsidRPr="00D93535">
        <w:rPr>
          <w:rFonts w:asciiTheme="majorHAnsi" w:hAnsiTheme="majorHAnsi"/>
          <w:b/>
          <w:i/>
        </w:rPr>
        <w:t>PEX</w:t>
      </w:r>
      <w:r w:rsidR="00A92BEF" w:rsidRPr="005A4C71">
        <w:rPr>
          <w:rFonts w:asciiTheme="majorHAnsi" w:hAnsiTheme="majorHAnsi"/>
          <w:b/>
        </w:rPr>
        <w:t xml:space="preserve"> Genes from Screen 1.</w:t>
      </w:r>
      <w:proofErr w:type="gramEnd"/>
      <w:r w:rsidR="00A92BEF" w:rsidRPr="005A4C71">
        <w:rPr>
          <w:rFonts w:asciiTheme="majorHAnsi" w:hAnsiTheme="majorHAnsi"/>
          <w:b/>
        </w:rPr>
        <w:t xml:space="preserve"> </w:t>
      </w:r>
      <w:proofErr w:type="gramStart"/>
      <w:r w:rsidR="00597427" w:rsidRPr="0013327C">
        <w:rPr>
          <w:rFonts w:asciiTheme="majorHAnsi" w:hAnsiTheme="majorHAnsi"/>
        </w:rPr>
        <w:t xml:space="preserve">Table of known </w:t>
      </w:r>
      <w:r w:rsidR="000C26B2" w:rsidRPr="000C26B2">
        <w:rPr>
          <w:rFonts w:asciiTheme="majorHAnsi" w:hAnsiTheme="majorHAnsi"/>
          <w:i/>
        </w:rPr>
        <w:t>PEX</w:t>
      </w:r>
      <w:r w:rsidR="00597427" w:rsidRPr="0013327C">
        <w:rPr>
          <w:rFonts w:asciiTheme="majorHAnsi" w:hAnsiTheme="majorHAnsi"/>
        </w:rPr>
        <w:t xml:space="preserve"> orthologues with average peroxisomes per cell per well and their corresponding Z-scores prior to normalisation.</w:t>
      </w:r>
      <w:proofErr w:type="gramEnd"/>
    </w:p>
    <w:p w:rsidR="002C1BE7" w:rsidRDefault="002C1BE7" w:rsidP="00AE0264">
      <w:pPr>
        <w:jc w:val="both"/>
        <w:rPr>
          <w:rFonts w:asciiTheme="majorHAnsi" w:hAnsiTheme="majorHAnsi"/>
        </w:rPr>
      </w:pPr>
    </w:p>
    <w:p w:rsidR="002C1BE7" w:rsidRPr="0013327C" w:rsidRDefault="002C1BE7" w:rsidP="00AE0264">
      <w:pPr>
        <w:jc w:val="both"/>
        <w:rPr>
          <w:rFonts w:asciiTheme="majorHAnsi" w:hAnsiTheme="majorHAnsi"/>
        </w:rPr>
      </w:pPr>
    </w:p>
    <w:p w:rsidR="00597427" w:rsidRPr="0013327C" w:rsidRDefault="002C1BE7" w:rsidP="00A92BEF">
      <w:pPr>
        <w:jc w:val="center"/>
        <w:rPr>
          <w:rFonts w:asciiTheme="majorHAnsi" w:hAnsiTheme="majorHAnsi"/>
          <w:b/>
        </w:rPr>
      </w:pPr>
      <w:r>
        <w:rPr>
          <w:rFonts w:asciiTheme="majorHAnsi" w:hAnsiTheme="majorHAnsi"/>
          <w:b/>
          <w:noProof/>
          <w:lang w:eastAsia="en-GB"/>
        </w:rPr>
        <w:lastRenderedPageBreak/>
        <w:drawing>
          <wp:inline distT="0" distB="0" distL="0" distR="0">
            <wp:extent cx="5320701" cy="4443296"/>
            <wp:effectExtent l="19050" t="0" r="0" b="0"/>
            <wp:docPr id="2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srcRect/>
                    <a:stretch>
                      <a:fillRect/>
                    </a:stretch>
                  </pic:blipFill>
                  <pic:spPr bwMode="auto">
                    <a:xfrm>
                      <a:off x="0" y="0"/>
                      <a:ext cx="5322992" cy="4445209"/>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A92BEF">
        <w:rPr>
          <w:rFonts w:asciiTheme="majorHAnsi" w:hAnsiTheme="majorHAnsi"/>
          <w:b/>
        </w:rPr>
        <w:t xml:space="preserve">Figure </w:t>
      </w:r>
      <w:r w:rsidR="00A92BEF" w:rsidRPr="00A92BEF">
        <w:rPr>
          <w:rFonts w:asciiTheme="majorHAnsi" w:hAnsiTheme="majorHAnsi"/>
          <w:b/>
        </w:rPr>
        <w:t>3.</w:t>
      </w:r>
      <w:r w:rsidR="002C341F">
        <w:rPr>
          <w:rFonts w:asciiTheme="majorHAnsi" w:hAnsiTheme="majorHAnsi"/>
          <w:b/>
        </w:rPr>
        <w:t>28</w:t>
      </w:r>
      <w:r w:rsidRPr="00A92BEF">
        <w:rPr>
          <w:rFonts w:asciiTheme="majorHAnsi" w:hAnsiTheme="majorHAnsi"/>
          <w:b/>
        </w:rPr>
        <w:t>.</w:t>
      </w:r>
      <w:proofErr w:type="gramEnd"/>
      <w:r w:rsidRPr="00A92BEF">
        <w:rPr>
          <w:rFonts w:asciiTheme="majorHAnsi" w:hAnsiTheme="majorHAnsi"/>
          <w:b/>
        </w:rPr>
        <w:t xml:space="preserve"> </w:t>
      </w:r>
      <w:proofErr w:type="gramStart"/>
      <w:r w:rsidR="00A92BEF" w:rsidRPr="00A92BEF">
        <w:rPr>
          <w:rFonts w:asciiTheme="majorHAnsi" w:hAnsiTheme="majorHAnsi"/>
          <w:b/>
        </w:rPr>
        <w:t xml:space="preserve">Images of unconfirmed </w:t>
      </w:r>
      <w:r w:rsidR="000C26B2" w:rsidRPr="000C26B2">
        <w:rPr>
          <w:rFonts w:asciiTheme="majorHAnsi" w:hAnsiTheme="majorHAnsi"/>
          <w:b/>
          <w:i/>
        </w:rPr>
        <w:t>PEX</w:t>
      </w:r>
      <w:r w:rsidR="00A92BEF" w:rsidRPr="00A92BEF">
        <w:rPr>
          <w:rFonts w:asciiTheme="majorHAnsi" w:hAnsiTheme="majorHAnsi"/>
          <w:b/>
        </w:rPr>
        <w:t xml:space="preserve"> genes from Screen1.</w:t>
      </w:r>
      <w:proofErr w:type="gramEnd"/>
      <w:r w:rsidR="006E6502">
        <w:rPr>
          <w:rFonts w:asciiTheme="majorHAnsi" w:hAnsiTheme="majorHAnsi"/>
          <w:b/>
        </w:rPr>
        <w:t xml:space="preserve"> </w:t>
      </w:r>
      <w:r w:rsidR="006E6502">
        <w:rPr>
          <w:rFonts w:asciiTheme="majorHAnsi" w:hAnsiTheme="majorHAnsi"/>
        </w:rPr>
        <w:t>C</w:t>
      </w:r>
      <w:r w:rsidRPr="0013327C">
        <w:rPr>
          <w:rFonts w:asciiTheme="majorHAnsi" w:hAnsiTheme="majorHAnsi"/>
        </w:rPr>
        <w:t xml:space="preserve">omposite images of one site each of four genes that returned non-statistically significant </w:t>
      </w:r>
      <w:r w:rsidR="000C26B2" w:rsidRPr="000C26B2">
        <w:rPr>
          <w:rFonts w:asciiTheme="majorHAnsi" w:hAnsiTheme="majorHAnsi"/>
          <w:i/>
        </w:rPr>
        <w:t>PEX</w:t>
      </w:r>
      <w:r w:rsidRPr="0013327C">
        <w:rPr>
          <w:rFonts w:asciiTheme="majorHAnsi" w:hAnsiTheme="majorHAnsi"/>
        </w:rPr>
        <w:t xml:space="preserve"> phenotypes, discovered upon visual screening. Bar = 20.00 µm.</w:t>
      </w:r>
    </w:p>
    <w:p w:rsidR="00597427" w:rsidRPr="0013327C" w:rsidRDefault="00597427" w:rsidP="00AE0264">
      <w:pPr>
        <w:pStyle w:val="Heading2"/>
        <w:jc w:val="both"/>
      </w:pPr>
      <w:bookmarkStart w:id="103" w:name="_Toc348423355"/>
      <w:r w:rsidRPr="0013327C">
        <w:t xml:space="preserve">3 novel genes achieve </w:t>
      </w:r>
      <w:r w:rsidR="000C26B2" w:rsidRPr="000C26B2">
        <w:rPr>
          <w:i/>
        </w:rPr>
        <w:t>PEX</w:t>
      </w:r>
      <w:r w:rsidRPr="0013327C">
        <w:t xml:space="preserve"> KD phenotype in first Metazoan pan genomic screen for peroxins.</w:t>
      </w:r>
      <w:bookmarkEnd w:id="103"/>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noProof/>
          <w:lang w:eastAsia="en-GB"/>
        </w:rPr>
      </w:pPr>
      <w:r w:rsidRPr="0013327C">
        <w:rPr>
          <w:rFonts w:asciiTheme="majorHAnsi" w:hAnsiTheme="majorHAnsi"/>
        </w:rPr>
        <w:t xml:space="preserve">The first fluorescence microscopy screen for peroxins in </w:t>
      </w:r>
      <w:r w:rsidRPr="0013327C">
        <w:rPr>
          <w:rFonts w:asciiTheme="majorHAnsi" w:hAnsiTheme="majorHAnsi"/>
          <w:i/>
        </w:rPr>
        <w:t>D. melanogaster</w:t>
      </w:r>
      <w:r w:rsidRPr="0013327C">
        <w:rPr>
          <w:rFonts w:asciiTheme="majorHAnsi" w:hAnsiTheme="majorHAnsi"/>
        </w:rPr>
        <w:t xml:space="preserve"> S2R+ cells reveals that three gene KDs either cause phenotypes mimicking those of peroxin KDs or greatly disrupt numerical data and visual presentations when expressing eGFP-PTS1 . Two genes were statistically significant, CG5395 (Z-score -2.33), and CG3595 (two probes returned Z-scores of -2.20 and -2.09).</w:t>
      </w:r>
      <w:r w:rsidRPr="006E6502">
        <w:rPr>
          <w:rFonts w:asciiTheme="majorHAnsi" w:hAnsiTheme="majorHAnsi"/>
          <w:noProof/>
          <w:lang w:eastAsia="en-GB"/>
        </w:rPr>
        <w:t xml:space="preserve"> D</w:t>
      </w:r>
      <w:r w:rsidRPr="006E6502">
        <w:rPr>
          <w:rFonts w:asciiTheme="majorHAnsi" w:hAnsiTheme="majorHAnsi"/>
        </w:rPr>
        <w:t>ue</w:t>
      </w:r>
      <w:r w:rsidRPr="0013327C">
        <w:rPr>
          <w:rFonts w:asciiTheme="majorHAnsi" w:hAnsiTheme="majorHAnsi"/>
        </w:rPr>
        <w:t xml:space="preserve"> to the presence of visually aberrant phenotypes of </w:t>
      </w:r>
      <w:r w:rsidR="000C26B2" w:rsidRPr="000C26B2">
        <w:rPr>
          <w:rFonts w:asciiTheme="majorHAnsi" w:hAnsiTheme="majorHAnsi"/>
          <w:i/>
        </w:rPr>
        <w:t>PEX</w:t>
      </w:r>
      <w:r w:rsidRPr="0013327C">
        <w:rPr>
          <w:rFonts w:asciiTheme="majorHAnsi" w:hAnsiTheme="majorHAnsi"/>
        </w:rPr>
        <w:t xml:space="preserve"> homologues with z-scores greater than -2.0, all KDs scoring z-scores between -2.0 and -1.0 were visually screened (1268 gene KDs). </w:t>
      </w:r>
      <w:r w:rsidRPr="0013327C">
        <w:rPr>
          <w:rFonts w:asciiTheme="majorHAnsi" w:hAnsiTheme="majorHAnsi"/>
          <w:noProof/>
          <w:lang w:eastAsia="en-GB"/>
        </w:rPr>
        <w:t>One gene,</w:t>
      </w:r>
      <w:r w:rsidRPr="0013327C">
        <w:rPr>
          <w:rFonts w:asciiTheme="majorHAnsi" w:hAnsiTheme="majorHAnsi"/>
        </w:rPr>
        <w:t xml:space="preserve"> CG6668 (Z-score -1.39), was statistically insignificant but returned an aberrant phenotype.</w:t>
      </w:r>
      <w:r w:rsidRPr="0013327C">
        <w:rPr>
          <w:rFonts w:asciiTheme="majorHAnsi" w:hAnsiTheme="majorHAnsi"/>
          <w:noProof/>
          <w:lang w:eastAsia="en-GB"/>
        </w:rPr>
        <w:t xml:space="preserve"> </w:t>
      </w:r>
    </w:p>
    <w:p w:rsidR="00597427" w:rsidRPr="0013327C" w:rsidRDefault="00597427" w:rsidP="00AE0264">
      <w:pPr>
        <w:jc w:val="both"/>
        <w:rPr>
          <w:rFonts w:asciiTheme="majorHAnsi" w:hAnsiTheme="majorHAnsi"/>
          <w:b/>
          <w:noProof/>
          <w:lang w:eastAsia="en-GB"/>
        </w:rPr>
      </w:pPr>
      <w:r w:rsidRPr="0013327C">
        <w:rPr>
          <w:rFonts w:asciiTheme="majorHAnsi" w:hAnsiTheme="majorHAnsi"/>
          <w:noProof/>
          <w:lang w:eastAsia="en-GB"/>
        </w:rPr>
        <w:lastRenderedPageBreak/>
        <w:drawing>
          <wp:inline distT="0" distB="0" distL="0" distR="0">
            <wp:extent cx="4968875" cy="1518285"/>
            <wp:effectExtent l="0" t="0" r="3175" b="0"/>
            <wp:docPr id="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srcRect/>
                    <a:stretch>
                      <a:fillRect/>
                    </a:stretch>
                  </pic:blipFill>
                  <pic:spPr bwMode="auto">
                    <a:xfrm>
                      <a:off x="0" y="0"/>
                      <a:ext cx="4968875" cy="1518285"/>
                    </a:xfrm>
                    <a:prstGeom prst="rect">
                      <a:avLst/>
                    </a:prstGeom>
                    <a:noFill/>
                  </pic:spPr>
                </pic:pic>
              </a:graphicData>
            </a:graphic>
          </wp:inline>
        </w:drawing>
      </w:r>
    </w:p>
    <w:p w:rsidR="00597427" w:rsidRPr="0013327C" w:rsidRDefault="00597427" w:rsidP="00AE0264">
      <w:pPr>
        <w:jc w:val="both"/>
        <w:rPr>
          <w:rFonts w:asciiTheme="majorHAnsi" w:hAnsiTheme="majorHAnsi"/>
        </w:rPr>
      </w:pPr>
      <w:r w:rsidRPr="0013327C">
        <w:rPr>
          <w:rFonts w:asciiTheme="majorHAnsi" w:hAnsiTheme="majorHAnsi"/>
          <w:b/>
        </w:rPr>
        <w:t xml:space="preserve"> </w:t>
      </w:r>
      <w:proofErr w:type="gramStart"/>
      <w:r w:rsidR="002D762E">
        <w:rPr>
          <w:rFonts w:asciiTheme="majorHAnsi" w:hAnsiTheme="majorHAnsi"/>
          <w:b/>
        </w:rPr>
        <w:t>Table</w:t>
      </w:r>
      <w:r w:rsidRPr="0013327C">
        <w:rPr>
          <w:rFonts w:asciiTheme="majorHAnsi" w:hAnsiTheme="majorHAnsi"/>
          <w:b/>
        </w:rPr>
        <w:t xml:space="preserve"> </w:t>
      </w:r>
      <w:r w:rsidR="007F49F1">
        <w:rPr>
          <w:rFonts w:asciiTheme="majorHAnsi" w:hAnsiTheme="majorHAnsi"/>
          <w:b/>
        </w:rPr>
        <w:t>3.6</w:t>
      </w:r>
      <w:r w:rsidRPr="0013327C">
        <w:rPr>
          <w:rFonts w:asciiTheme="majorHAnsi" w:hAnsiTheme="majorHAnsi"/>
          <w:b/>
        </w:rPr>
        <w:t>.</w:t>
      </w:r>
      <w:proofErr w:type="gramEnd"/>
      <w:r w:rsidRPr="0013327C">
        <w:rPr>
          <w:rFonts w:asciiTheme="majorHAnsi" w:hAnsiTheme="majorHAnsi"/>
          <w:b/>
        </w:rPr>
        <w:t xml:space="preserve"> </w:t>
      </w:r>
      <w:proofErr w:type="gramStart"/>
      <w:r w:rsidR="005A4C71">
        <w:rPr>
          <w:rFonts w:asciiTheme="majorHAnsi" w:hAnsiTheme="majorHAnsi"/>
          <w:b/>
        </w:rPr>
        <w:t>Table of novel hits.</w:t>
      </w:r>
      <w:proofErr w:type="gramEnd"/>
      <w:r w:rsidR="005A4C71">
        <w:rPr>
          <w:rFonts w:asciiTheme="majorHAnsi" w:hAnsiTheme="majorHAnsi"/>
          <w:b/>
        </w:rPr>
        <w:t xml:space="preserve"> </w:t>
      </w:r>
      <w:proofErr w:type="gramStart"/>
      <w:r w:rsidRPr="0013327C">
        <w:rPr>
          <w:rFonts w:asciiTheme="majorHAnsi" w:hAnsiTheme="majorHAnsi"/>
        </w:rPr>
        <w:t>Table showing peroxisome counts per cell per well and Z-scores for the four probes that produced visually aberrant phenotypes.</w:t>
      </w:r>
      <w:proofErr w:type="gramEnd"/>
      <w:r w:rsidRPr="0013327C">
        <w:rPr>
          <w:rFonts w:asciiTheme="majorHAnsi" w:hAnsiTheme="majorHAnsi"/>
        </w:rPr>
        <w:t xml:space="preserve"> </w:t>
      </w:r>
      <w:proofErr w:type="gramStart"/>
      <w:r w:rsidRPr="0013327C">
        <w:rPr>
          <w:rFonts w:asciiTheme="majorHAnsi" w:hAnsiTheme="majorHAnsi"/>
        </w:rPr>
        <w:t>atl</w:t>
      </w:r>
      <w:proofErr w:type="gramEnd"/>
      <w:r w:rsidRPr="0013327C">
        <w:rPr>
          <w:rFonts w:asciiTheme="majorHAnsi" w:hAnsiTheme="majorHAnsi"/>
        </w:rPr>
        <w:t xml:space="preserve"> was a statistically insignificant KD that was included upon visual screening.</w:t>
      </w:r>
    </w:p>
    <w:p w:rsidR="00597427" w:rsidRPr="0013327C" w:rsidRDefault="00597427" w:rsidP="00AE0264">
      <w:pPr>
        <w:jc w:val="both"/>
        <w:rPr>
          <w:rFonts w:asciiTheme="majorHAnsi" w:hAnsiTheme="majorHAnsi"/>
        </w:rPr>
      </w:pPr>
    </w:p>
    <w:p w:rsidR="00597427" w:rsidRPr="0013327C" w:rsidRDefault="008A50B2" w:rsidP="00AE0264">
      <w:pPr>
        <w:jc w:val="both"/>
        <w:rPr>
          <w:rFonts w:asciiTheme="majorHAnsi" w:hAnsiTheme="majorHAnsi"/>
        </w:rPr>
      </w:pPr>
      <w:r>
        <w:rPr>
          <w:rFonts w:asciiTheme="majorHAnsi" w:hAnsiTheme="majorHAnsi"/>
          <w:b/>
          <w:noProof/>
          <w:lang w:eastAsia="en-GB"/>
        </w:rPr>
        <w:drawing>
          <wp:inline distT="0" distB="0" distL="0" distR="0">
            <wp:extent cx="5247035" cy="4244196"/>
            <wp:effectExtent l="19050" t="0" r="0" b="0"/>
            <wp:docPr id="2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5248384" cy="4245287"/>
                    </a:xfrm>
                    <a:prstGeom prst="rect">
                      <a:avLst/>
                    </a:prstGeom>
                    <a:noFill/>
                  </pic:spPr>
                </pic:pic>
              </a:graphicData>
            </a:graphic>
          </wp:inline>
        </w:drawing>
      </w:r>
      <w:proofErr w:type="gramStart"/>
      <w:r w:rsidR="00703761">
        <w:rPr>
          <w:rFonts w:asciiTheme="majorHAnsi" w:hAnsiTheme="majorHAnsi"/>
          <w:b/>
        </w:rPr>
        <w:t>Figure 3</w:t>
      </w:r>
      <w:r w:rsidR="00597427" w:rsidRPr="0013327C">
        <w:rPr>
          <w:rFonts w:asciiTheme="majorHAnsi" w:hAnsiTheme="majorHAnsi"/>
          <w:b/>
        </w:rPr>
        <w:t>.</w:t>
      </w:r>
      <w:r w:rsidR="002C341F">
        <w:rPr>
          <w:rFonts w:asciiTheme="majorHAnsi" w:hAnsiTheme="majorHAnsi"/>
          <w:b/>
        </w:rPr>
        <w:t>29</w:t>
      </w:r>
      <w:r w:rsidR="00597427" w:rsidRPr="0013327C">
        <w:rPr>
          <w:rFonts w:asciiTheme="majorHAnsi" w:hAnsiTheme="majorHAnsi"/>
          <w:b/>
        </w:rPr>
        <w:t>.</w:t>
      </w:r>
      <w:proofErr w:type="gramEnd"/>
      <w:r w:rsidR="00597427" w:rsidRPr="0013327C">
        <w:rPr>
          <w:rFonts w:asciiTheme="majorHAnsi" w:hAnsiTheme="majorHAnsi"/>
        </w:rPr>
        <w:t xml:space="preserve"> </w:t>
      </w:r>
      <w:proofErr w:type="gramStart"/>
      <w:r w:rsidR="005E014D" w:rsidRPr="005E014D">
        <w:rPr>
          <w:rFonts w:asciiTheme="majorHAnsi" w:hAnsiTheme="majorHAnsi"/>
          <w:b/>
        </w:rPr>
        <w:t>Images of Screen 1 hits.</w:t>
      </w:r>
      <w:proofErr w:type="gramEnd"/>
      <w:r w:rsidR="006E6502">
        <w:rPr>
          <w:rFonts w:asciiTheme="majorHAnsi" w:hAnsiTheme="majorHAnsi"/>
          <w:b/>
        </w:rPr>
        <w:t xml:space="preserve"> </w:t>
      </w:r>
      <w:r w:rsidR="00597427" w:rsidRPr="0013327C">
        <w:rPr>
          <w:rFonts w:asciiTheme="majorHAnsi" w:hAnsiTheme="majorHAnsi"/>
        </w:rPr>
        <w:t xml:space="preserve">Composite image from the four most convincing </w:t>
      </w:r>
      <w:r w:rsidR="000C26B2" w:rsidRPr="000C26B2">
        <w:rPr>
          <w:rFonts w:asciiTheme="majorHAnsi" w:hAnsiTheme="majorHAnsi"/>
          <w:i/>
        </w:rPr>
        <w:t>PEX</w:t>
      </w:r>
      <w:r w:rsidR="00597427" w:rsidRPr="0013327C">
        <w:rPr>
          <w:rFonts w:asciiTheme="majorHAnsi" w:hAnsiTheme="majorHAnsi"/>
        </w:rPr>
        <w:t>-like KDs from novel genes previously not associated with peroxisome biogenesis. “</w:t>
      </w:r>
      <w:proofErr w:type="gramStart"/>
      <w:r w:rsidR="00597427" w:rsidRPr="0013327C">
        <w:rPr>
          <w:rFonts w:asciiTheme="majorHAnsi" w:hAnsiTheme="majorHAnsi"/>
        </w:rPr>
        <w:t>nmd</w:t>
      </w:r>
      <w:proofErr w:type="gramEnd"/>
      <w:r w:rsidR="00597427" w:rsidRPr="0013327C">
        <w:rPr>
          <w:rFonts w:asciiTheme="majorHAnsi" w:hAnsiTheme="majorHAnsi"/>
        </w:rPr>
        <w:t>” (no mitochondrial derivative), atl (Atlastin) and sqh/myo2 (spaghetti squash/myosin light-chain II) were verified as candidates after visual screening. Bar = 20µm</w:t>
      </w:r>
    </w:p>
    <w:p w:rsidR="00597427" w:rsidRPr="0013327C" w:rsidRDefault="00597427" w:rsidP="00AE0264">
      <w:pPr>
        <w:jc w:val="both"/>
        <w:rPr>
          <w:rFonts w:asciiTheme="majorHAnsi" w:hAnsiTheme="majorHAnsi"/>
        </w:rPr>
      </w:pPr>
    </w:p>
    <w:p w:rsidR="00597427" w:rsidRPr="0013327C" w:rsidRDefault="00597427" w:rsidP="00AE0264">
      <w:pPr>
        <w:pStyle w:val="Heading2"/>
        <w:jc w:val="both"/>
      </w:pPr>
      <w:bookmarkStart w:id="104" w:name="_Toc348423356"/>
      <w:r w:rsidRPr="0013327C">
        <w:lastRenderedPageBreak/>
        <w:t>Mitosis derived and inconsistent phenotypes</w:t>
      </w:r>
      <w:bookmarkEnd w:id="104"/>
    </w:p>
    <w:p w:rsidR="00597427" w:rsidRPr="0013327C" w:rsidRDefault="00597427" w:rsidP="00AE0264">
      <w:pPr>
        <w:jc w:val="both"/>
        <w:rPr>
          <w:rFonts w:asciiTheme="majorHAnsi" w:hAnsiTheme="majorHAnsi"/>
        </w:rPr>
      </w:pPr>
      <w:r w:rsidRPr="0013327C">
        <w:rPr>
          <w:rFonts w:asciiTheme="majorHAnsi" w:hAnsiTheme="majorHAnsi"/>
        </w:rPr>
        <w:t xml:space="preserve">There were some phenotypes that while statistically significant and producing an aberrant phenotype, the deviation from WT could be attributed to reasons other than peroxisomal dynamics. Pavarotti (CG1258) is an example where a very high z-score was recorded in peroxisome per cell count. Upon inspection however Pavarotti had massively enlarged nuclei in pairs and tens of peroxisomes surrounding them in extremely large cytosolic bodies. This suggests that the phenotype is produced by cells in a stage of mitotic arrest, producing a false positive (see Figure 3.21.2). As another example three gene KDs had low scoring z-scores, but when they were visually screened one or two sites out of the nine contained colonies of cells that seemed to be showing </w:t>
      </w:r>
      <w:r w:rsidR="000C26B2" w:rsidRPr="000C26B2">
        <w:rPr>
          <w:rFonts w:asciiTheme="majorHAnsi" w:hAnsiTheme="majorHAnsi"/>
          <w:i/>
        </w:rPr>
        <w:t>PEX</w:t>
      </w:r>
      <w:r w:rsidRPr="0013327C">
        <w:rPr>
          <w:rFonts w:asciiTheme="majorHAnsi" w:hAnsiTheme="majorHAnsi"/>
        </w:rPr>
        <w:t xml:space="preserve"> phenotypes. The low abundance of these KD cells and a large number of WT cells among the other images makes categorising them difficult.</w:t>
      </w:r>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5261610" cy="1774190"/>
            <wp:effectExtent l="0" t="0" r="0" b="0"/>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srcRect/>
                    <a:stretch>
                      <a:fillRect/>
                    </a:stretch>
                  </pic:blipFill>
                  <pic:spPr bwMode="auto">
                    <a:xfrm>
                      <a:off x="0" y="0"/>
                      <a:ext cx="5261610" cy="1774190"/>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 xml:space="preserve">Table </w:t>
      </w:r>
      <w:r w:rsidR="005E014D">
        <w:rPr>
          <w:rFonts w:asciiTheme="majorHAnsi" w:hAnsiTheme="majorHAnsi"/>
          <w:b/>
        </w:rPr>
        <w:t>3.</w:t>
      </w:r>
      <w:r w:rsidR="007F49F1">
        <w:rPr>
          <w:rFonts w:asciiTheme="majorHAnsi" w:hAnsiTheme="majorHAnsi"/>
          <w:b/>
        </w:rPr>
        <w:t>7</w:t>
      </w:r>
      <w:r w:rsidRPr="0013327C">
        <w:rPr>
          <w:rFonts w:asciiTheme="majorHAnsi" w:hAnsiTheme="majorHAnsi"/>
          <w:b/>
        </w:rPr>
        <w:t>.</w:t>
      </w:r>
      <w:proofErr w:type="gramEnd"/>
      <w:r w:rsidRPr="0013327C">
        <w:rPr>
          <w:rFonts w:asciiTheme="majorHAnsi" w:hAnsiTheme="majorHAnsi"/>
        </w:rPr>
        <w:t xml:space="preserve"> </w:t>
      </w:r>
      <w:proofErr w:type="gramStart"/>
      <w:r w:rsidR="006E6502">
        <w:rPr>
          <w:rFonts w:asciiTheme="majorHAnsi" w:hAnsiTheme="majorHAnsi"/>
          <w:b/>
        </w:rPr>
        <w:t>False p</w:t>
      </w:r>
      <w:r w:rsidR="005E014D" w:rsidRPr="006E6502">
        <w:rPr>
          <w:rFonts w:asciiTheme="majorHAnsi" w:hAnsiTheme="majorHAnsi"/>
          <w:b/>
        </w:rPr>
        <w:t>ositives from Screen 1.</w:t>
      </w:r>
      <w:proofErr w:type="gramEnd"/>
      <w:r w:rsidR="005E014D">
        <w:rPr>
          <w:rFonts w:asciiTheme="majorHAnsi" w:hAnsiTheme="majorHAnsi"/>
        </w:rPr>
        <w:t xml:space="preserve"> </w:t>
      </w:r>
      <w:proofErr w:type="gramStart"/>
      <w:r w:rsidRPr="0013327C">
        <w:rPr>
          <w:rFonts w:asciiTheme="majorHAnsi" w:hAnsiTheme="majorHAnsi"/>
        </w:rPr>
        <w:t xml:space="preserve">Examples of gene KDs and their z-scores of false positives and possible </w:t>
      </w:r>
      <w:r w:rsidR="000C26B2" w:rsidRPr="000C26B2">
        <w:rPr>
          <w:rFonts w:asciiTheme="majorHAnsi" w:hAnsiTheme="majorHAnsi"/>
          <w:i/>
        </w:rPr>
        <w:t>PEX</w:t>
      </w:r>
      <w:r w:rsidRPr="0013327C">
        <w:rPr>
          <w:rFonts w:asciiTheme="majorHAnsi" w:hAnsiTheme="majorHAnsi"/>
        </w:rPr>
        <w:t xml:space="preserve"> phenotypes that may have registered false negatives.</w:t>
      </w:r>
      <w:proofErr w:type="gramEnd"/>
    </w:p>
    <w:p w:rsidR="00597427" w:rsidRPr="0013327C" w:rsidRDefault="00F07AE0" w:rsidP="00AE0264">
      <w:pPr>
        <w:jc w:val="both"/>
        <w:rPr>
          <w:rFonts w:asciiTheme="majorHAnsi" w:hAnsiTheme="majorHAnsi"/>
        </w:rPr>
      </w:pPr>
      <w:r>
        <w:rPr>
          <w:rFonts w:asciiTheme="majorHAnsi" w:hAnsiTheme="majorHAnsi"/>
          <w:noProof/>
          <w:lang w:eastAsia="en-GB"/>
        </w:rPr>
        <w:lastRenderedPageBreak/>
        <w:drawing>
          <wp:inline distT="0" distB="0" distL="0" distR="0">
            <wp:extent cx="5441471" cy="4290234"/>
            <wp:effectExtent l="19050" t="0" r="6829" b="0"/>
            <wp:docPr id="2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lum bright="20000" contrast="20000"/>
                    </a:blip>
                    <a:srcRect/>
                    <a:stretch>
                      <a:fillRect/>
                    </a:stretch>
                  </pic:blipFill>
                  <pic:spPr bwMode="auto">
                    <a:xfrm>
                      <a:off x="0" y="0"/>
                      <a:ext cx="5452061" cy="4298584"/>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3.</w:t>
      </w:r>
      <w:r w:rsidR="00D05920">
        <w:rPr>
          <w:rFonts w:asciiTheme="majorHAnsi" w:hAnsiTheme="majorHAnsi"/>
          <w:b/>
        </w:rPr>
        <w:t>30</w:t>
      </w:r>
      <w:r w:rsidRPr="0013327C">
        <w:rPr>
          <w:rFonts w:asciiTheme="majorHAnsi" w:hAnsiTheme="majorHAnsi"/>
          <w:b/>
        </w:rPr>
        <w:t>.</w:t>
      </w:r>
      <w:proofErr w:type="gramEnd"/>
      <w:r w:rsidRPr="0013327C">
        <w:rPr>
          <w:rFonts w:asciiTheme="majorHAnsi" w:hAnsiTheme="majorHAnsi"/>
          <w:b/>
        </w:rPr>
        <w:t xml:space="preserve"> </w:t>
      </w:r>
      <w:proofErr w:type="gramStart"/>
      <w:r w:rsidR="005E014D">
        <w:rPr>
          <w:rFonts w:asciiTheme="majorHAnsi" w:hAnsiTheme="majorHAnsi"/>
          <w:b/>
        </w:rPr>
        <w:t>Images of False positives .</w:t>
      </w:r>
      <w:r w:rsidRPr="0013327C">
        <w:rPr>
          <w:rFonts w:asciiTheme="majorHAnsi" w:hAnsiTheme="majorHAnsi"/>
        </w:rPr>
        <w:t>Composite</w:t>
      </w:r>
      <w:r w:rsidRPr="0013327C">
        <w:rPr>
          <w:rFonts w:asciiTheme="majorHAnsi" w:hAnsiTheme="majorHAnsi"/>
          <w:b/>
        </w:rPr>
        <w:t xml:space="preserve"> i</w:t>
      </w:r>
      <w:r w:rsidRPr="0013327C">
        <w:rPr>
          <w:rFonts w:asciiTheme="majorHAnsi" w:hAnsiTheme="majorHAnsi"/>
        </w:rPr>
        <w:t>mages of four examples of a false positive (Pavarotti) and three probable false negatives (Ints12, Ints3 and Hoepel1).</w:t>
      </w:r>
      <w:proofErr w:type="gramEnd"/>
      <w:r w:rsidRPr="0013327C">
        <w:rPr>
          <w:rFonts w:asciiTheme="majorHAnsi" w:hAnsiTheme="majorHAnsi"/>
        </w:rPr>
        <w:t xml:space="preserve"> The colonies shown are atypical of the remaining transfected cells in the KD images but suggest </w:t>
      </w:r>
      <w:r w:rsidR="000C26B2" w:rsidRPr="000C26B2">
        <w:rPr>
          <w:rFonts w:asciiTheme="majorHAnsi" w:hAnsiTheme="majorHAnsi"/>
          <w:i/>
        </w:rPr>
        <w:t>PEX</w:t>
      </w:r>
      <w:r w:rsidRPr="0013327C">
        <w:rPr>
          <w:rFonts w:asciiTheme="majorHAnsi" w:hAnsiTheme="majorHAnsi"/>
        </w:rPr>
        <w:t>-like phenotypes may be occurring. Bar = 20µm.</w:t>
      </w:r>
    </w:p>
    <w:p w:rsidR="00597427" w:rsidRPr="0013327C" w:rsidRDefault="00597427" w:rsidP="00AE0264">
      <w:pPr>
        <w:pStyle w:val="Heading2"/>
        <w:jc w:val="both"/>
      </w:pPr>
      <w:bookmarkStart w:id="105" w:name="_Toc348423357"/>
      <w:r w:rsidRPr="0013327C">
        <w:t>Discussion</w:t>
      </w:r>
      <w:bookmarkEnd w:id="105"/>
    </w:p>
    <w:p w:rsidR="00597427" w:rsidRPr="0013327C" w:rsidRDefault="00597427" w:rsidP="00AE0264">
      <w:pPr>
        <w:jc w:val="both"/>
        <w:rPr>
          <w:rFonts w:asciiTheme="majorHAnsi" w:hAnsiTheme="majorHAnsi"/>
        </w:rPr>
      </w:pPr>
      <w:r w:rsidRPr="0013327C">
        <w:rPr>
          <w:rFonts w:asciiTheme="majorHAnsi" w:hAnsiTheme="majorHAnsi"/>
        </w:rPr>
        <w:t xml:space="preserve">This preliminary screen identified a subset of genes homologous to human or yeast peroxins expected to have </w:t>
      </w:r>
      <w:r w:rsidR="000C26B2" w:rsidRPr="000C26B2">
        <w:rPr>
          <w:rFonts w:asciiTheme="majorHAnsi" w:hAnsiTheme="majorHAnsi"/>
          <w:i/>
        </w:rPr>
        <w:t>PEX</w:t>
      </w:r>
      <w:r w:rsidRPr="0013327C">
        <w:rPr>
          <w:rFonts w:asciiTheme="majorHAnsi" w:hAnsiTheme="majorHAnsi"/>
        </w:rPr>
        <w:t xml:space="preserve">-like KDs. It also uncovered 3 new genes previously not implicit in peroxisomal formation, multiplication or distribution. The statistical significance of the phenotypes was, however, low. The main reason for this is the low number of cells expressing eGFP-PTS1 that were included in each gene’s analysis. This may have resulted in a larger number of false negatives than we would deem acceptable for a genome-wide screen. </w:t>
      </w:r>
    </w:p>
    <w:p w:rsidR="00597427" w:rsidRPr="0013327C" w:rsidRDefault="00597427" w:rsidP="00AE0264">
      <w:pPr>
        <w:jc w:val="both"/>
        <w:rPr>
          <w:rFonts w:asciiTheme="majorHAnsi" w:hAnsiTheme="majorHAnsi"/>
        </w:rPr>
      </w:pPr>
      <w:r w:rsidRPr="0013327C">
        <w:rPr>
          <w:rFonts w:asciiTheme="majorHAnsi" w:hAnsiTheme="majorHAnsi"/>
        </w:rPr>
        <w:t xml:space="preserve">A large number of false positives </w:t>
      </w:r>
      <w:r w:rsidR="0087545C" w:rsidRPr="0013327C">
        <w:rPr>
          <w:rFonts w:asciiTheme="majorHAnsi" w:hAnsiTheme="majorHAnsi"/>
        </w:rPr>
        <w:t>were</w:t>
      </w:r>
      <w:r w:rsidRPr="0013327C">
        <w:rPr>
          <w:rFonts w:asciiTheme="majorHAnsi" w:hAnsiTheme="majorHAnsi"/>
        </w:rPr>
        <w:t xml:space="preserve"> also observed. These include genes whose loss of function induced large cell formation and subsequently high peroxisome per cell count (Pavarotti). Another phenotype included the high expression of the reporter to a level that reduced contrast between cytosol and peroxisomes (Ints3 and Ints12). </w:t>
      </w:r>
      <w:r w:rsidRPr="0013327C">
        <w:rPr>
          <w:rFonts w:asciiTheme="majorHAnsi" w:hAnsiTheme="majorHAnsi"/>
        </w:rPr>
        <w:lastRenderedPageBreak/>
        <w:t xml:space="preserve">These KDs caused an apparent </w:t>
      </w:r>
      <w:r w:rsidR="000C26B2" w:rsidRPr="000C26B2">
        <w:rPr>
          <w:rFonts w:asciiTheme="majorHAnsi" w:hAnsiTheme="majorHAnsi"/>
          <w:i/>
        </w:rPr>
        <w:t>PEX</w:t>
      </w:r>
      <w:r w:rsidRPr="0013327C">
        <w:rPr>
          <w:rFonts w:asciiTheme="majorHAnsi" w:hAnsiTheme="majorHAnsi"/>
        </w:rPr>
        <w:t xml:space="preserve"> phenotype, probably by saturating the PTS1 import machinery.</w:t>
      </w:r>
    </w:p>
    <w:p w:rsidR="00597427" w:rsidRPr="0013327C" w:rsidRDefault="00597427" w:rsidP="00AE0264">
      <w:pPr>
        <w:jc w:val="both"/>
        <w:rPr>
          <w:rFonts w:asciiTheme="majorHAnsi" w:hAnsiTheme="majorHAnsi"/>
        </w:rPr>
      </w:pPr>
      <w:r w:rsidRPr="0013327C">
        <w:rPr>
          <w:rFonts w:asciiTheme="majorHAnsi" w:hAnsiTheme="majorHAnsi"/>
        </w:rPr>
        <w:t>It was decided that based on these findings a new screen would be developed that would address these weaknesses in the screen’s reliability. The main aim would be to increase the number of cells expressing eGFP-PTS1 as the primary parameter of the screen. It was decided not to analyse the screen in any further detail.</w:t>
      </w:r>
    </w:p>
    <w:p w:rsidR="00597427" w:rsidRPr="0013327C" w:rsidRDefault="00597427" w:rsidP="00AE0264">
      <w:pPr>
        <w:pStyle w:val="Heading2"/>
        <w:jc w:val="both"/>
      </w:pPr>
      <w:bookmarkStart w:id="106" w:name="_Toc348423358"/>
      <w:r w:rsidRPr="0013327C">
        <w:t>Performing the screen with a selectable peroxisomal marker will produce a stable cell-line and improve the statistical power of the screen.</w:t>
      </w:r>
      <w:bookmarkEnd w:id="106"/>
    </w:p>
    <w:p w:rsidR="00597427" w:rsidRPr="0013327C" w:rsidRDefault="00597427" w:rsidP="00AE0264">
      <w:pPr>
        <w:jc w:val="both"/>
        <w:rPr>
          <w:rFonts w:asciiTheme="majorHAnsi" w:hAnsiTheme="majorHAnsi"/>
        </w:rPr>
      </w:pPr>
      <w:r w:rsidRPr="0013327C">
        <w:rPr>
          <w:rFonts w:asciiTheme="majorHAnsi" w:hAnsiTheme="majorHAnsi"/>
        </w:rPr>
        <w:t xml:space="preserve">A potential solution for the above-mentioned problems came early in the image-analysis phase of the screen. I was able to acquire the pMK33/pMtHy insect expression vector (see </w:t>
      </w:r>
      <w:r w:rsidR="0087545C" w:rsidRPr="0013327C">
        <w:rPr>
          <w:rFonts w:asciiTheme="majorHAnsi" w:hAnsiTheme="majorHAnsi"/>
        </w:rPr>
        <w:t>Ch.</w:t>
      </w:r>
      <w:r w:rsidR="0087545C">
        <w:rPr>
          <w:rFonts w:asciiTheme="majorHAnsi" w:hAnsiTheme="majorHAnsi"/>
        </w:rPr>
        <w:t xml:space="preserve"> </w:t>
      </w:r>
      <w:r w:rsidR="0087545C" w:rsidRPr="0013327C">
        <w:rPr>
          <w:rFonts w:asciiTheme="majorHAnsi" w:hAnsiTheme="majorHAnsi"/>
        </w:rPr>
        <w:t>3</w:t>
      </w:r>
      <w:r w:rsidRPr="0013327C">
        <w:rPr>
          <w:rFonts w:asciiTheme="majorHAnsi" w:hAnsiTheme="majorHAnsi"/>
        </w:rPr>
        <w:t xml:space="preserve">). This vector allows for the inducible expression of proteins under the </w:t>
      </w:r>
      <w:r w:rsidR="0087545C" w:rsidRPr="0013327C">
        <w:rPr>
          <w:rFonts w:asciiTheme="majorHAnsi" w:hAnsiTheme="majorHAnsi"/>
        </w:rPr>
        <w:t>meta</w:t>
      </w:r>
      <w:r w:rsidR="0087545C">
        <w:rPr>
          <w:rFonts w:asciiTheme="majorHAnsi" w:hAnsiTheme="majorHAnsi"/>
        </w:rPr>
        <w:t>l</w:t>
      </w:r>
      <w:r w:rsidR="0087545C" w:rsidRPr="0013327C">
        <w:rPr>
          <w:rFonts w:asciiTheme="majorHAnsi" w:hAnsiTheme="majorHAnsi"/>
        </w:rPr>
        <w:t>lothionein</w:t>
      </w:r>
      <w:r w:rsidRPr="0013327C">
        <w:rPr>
          <w:rFonts w:asciiTheme="majorHAnsi" w:hAnsiTheme="majorHAnsi"/>
        </w:rPr>
        <w:t xml:space="preserve"> (Mt) promoter and is selectable in </w:t>
      </w:r>
      <w:r w:rsidRPr="0013327C">
        <w:rPr>
          <w:rFonts w:asciiTheme="majorHAnsi" w:hAnsiTheme="majorHAnsi"/>
          <w:i/>
        </w:rPr>
        <w:t>D. melanogaster</w:t>
      </w:r>
      <w:r w:rsidRPr="0013327C">
        <w:rPr>
          <w:rFonts w:asciiTheme="majorHAnsi" w:hAnsiTheme="majorHAnsi"/>
        </w:rPr>
        <w:t xml:space="preserve"> by selection with hygromycin B. With the eGFP-PTS1 ORF cloned into the pMK33/pMtHy plasmid, it would be possible to have a population of cells ubiquitously expressing peroxisomal eGFP in medium containing Hygromycin B. It would then be possible to massively increase the number of transfected cells photographed and analysed in each image even while increasing magnification. This will increase the reliability of the screen by improving the statistical analysis with more cells analysed. Each probe will be better reported in terms of the number of cells knocked down and the degree to which this is apparent. </w:t>
      </w:r>
    </w:p>
    <w:p w:rsidR="00EA1925" w:rsidRPr="0013327C" w:rsidRDefault="00597427" w:rsidP="00AE0264">
      <w:pPr>
        <w:jc w:val="both"/>
        <w:rPr>
          <w:rFonts w:asciiTheme="majorHAnsi" w:hAnsiTheme="majorHAnsi"/>
        </w:rPr>
      </w:pPr>
      <w:r w:rsidRPr="0013327C">
        <w:rPr>
          <w:rFonts w:asciiTheme="majorHAnsi" w:hAnsiTheme="majorHAnsi"/>
        </w:rPr>
        <w:t>It was decided that the screen be repeated with a cell-line stably transfected with pMt-eGFP-PTS1.</w:t>
      </w: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Default="00597427" w:rsidP="00AE0264">
      <w:pPr>
        <w:jc w:val="both"/>
        <w:rPr>
          <w:rFonts w:asciiTheme="majorHAnsi" w:hAnsiTheme="majorHAnsi"/>
        </w:rPr>
      </w:pPr>
    </w:p>
    <w:p w:rsidR="00AB1884" w:rsidRDefault="00AB1884" w:rsidP="00AE0264">
      <w:pPr>
        <w:jc w:val="both"/>
        <w:rPr>
          <w:rFonts w:asciiTheme="majorHAnsi" w:hAnsiTheme="majorHAnsi"/>
        </w:rPr>
      </w:pPr>
    </w:p>
    <w:p w:rsidR="00AB1884" w:rsidRDefault="00AB1884" w:rsidP="00AE0264">
      <w:pPr>
        <w:jc w:val="both"/>
        <w:rPr>
          <w:rFonts w:asciiTheme="majorHAnsi" w:hAnsiTheme="majorHAnsi"/>
        </w:rPr>
      </w:pPr>
    </w:p>
    <w:p w:rsidR="00C3380A" w:rsidRPr="0013327C" w:rsidRDefault="00C3380A" w:rsidP="00AE0264">
      <w:pPr>
        <w:pStyle w:val="Heading1"/>
        <w:spacing w:line="276" w:lineRule="auto"/>
        <w:jc w:val="both"/>
      </w:pPr>
      <w:bookmarkStart w:id="107" w:name="_Toc348423359"/>
      <w:r w:rsidRPr="0013327C">
        <w:lastRenderedPageBreak/>
        <w:t xml:space="preserve">Second pan-genomic screen in </w:t>
      </w:r>
      <w:r w:rsidRPr="0013327C">
        <w:rPr>
          <w:i/>
        </w:rPr>
        <w:t>D. melanogaster</w:t>
      </w:r>
      <w:r w:rsidRPr="0013327C">
        <w:t xml:space="preserve"> for peroxins using stably transfected cells expressing eGFP-PTS1</w:t>
      </w:r>
      <w:bookmarkEnd w:id="107"/>
    </w:p>
    <w:p w:rsidR="00C3380A" w:rsidRPr="0013327C" w:rsidRDefault="00C3380A" w:rsidP="00AE0264">
      <w:pPr>
        <w:pStyle w:val="Heading2"/>
        <w:jc w:val="both"/>
      </w:pPr>
      <w:bookmarkStart w:id="108" w:name="_Toc348423360"/>
      <w:r w:rsidRPr="0013327C">
        <w:t>Introduction</w:t>
      </w:r>
      <w:bookmarkEnd w:id="108"/>
    </w:p>
    <w:p w:rsidR="00C3380A" w:rsidRPr="0013327C" w:rsidRDefault="00C3380A" w:rsidP="00AE0264">
      <w:pPr>
        <w:jc w:val="both"/>
        <w:rPr>
          <w:rFonts w:asciiTheme="majorHAnsi" w:hAnsiTheme="majorHAnsi"/>
        </w:rPr>
      </w:pPr>
      <w:r w:rsidRPr="0013327C">
        <w:rPr>
          <w:rFonts w:asciiTheme="majorHAnsi" w:hAnsiTheme="majorHAnsi"/>
        </w:rPr>
        <w:t xml:space="preserve">The first screen did not yield the number of candidate genes that were expected despite returning convincing evidence that a small number of genes were producing </w:t>
      </w:r>
      <w:r w:rsidR="000C26B2" w:rsidRPr="000C26B2">
        <w:rPr>
          <w:rFonts w:asciiTheme="majorHAnsi" w:hAnsiTheme="majorHAnsi"/>
          <w:i/>
        </w:rPr>
        <w:t>PEX</w:t>
      </w:r>
      <w:r w:rsidRPr="0013327C">
        <w:rPr>
          <w:rFonts w:asciiTheme="majorHAnsi" w:hAnsiTheme="majorHAnsi"/>
        </w:rPr>
        <w:t xml:space="preserve">-like phenotypes when knocked down. Before the statistical evaluation of the screen was finished it had been noticed that there were a large number of wells that contained very few transfected cells. From the database produced it was shown that 3716 wells contained less than 20 transfected cells (18.3%), of which 1358 contained less than 10 transfected cells (6.6%), 54 wells from the screen contained no transfected cells (0.3%). After accounting for lethal KDs and those that produce cell-cycle inhibition these statistics changed very little. There were also instances of sites within wells which when imaged were not properly focused and the entire site registered zeroes for all datafields. The low cell number in all of these wells meant that robust statistical analysis was compromised. Not only might phenotypes have been missed in these KDs, nearly a fifth of the screen, but that the numerical data (specifically standard deviations) of all other KDs would be affected. </w:t>
      </w:r>
    </w:p>
    <w:p w:rsidR="00C3380A" w:rsidRPr="0013327C" w:rsidRDefault="00C3380A" w:rsidP="00AE0264">
      <w:pPr>
        <w:jc w:val="both"/>
        <w:rPr>
          <w:rFonts w:asciiTheme="majorHAnsi" w:hAnsiTheme="majorHAnsi"/>
        </w:rPr>
      </w:pPr>
      <w:r w:rsidRPr="0013327C">
        <w:rPr>
          <w:rFonts w:asciiTheme="majorHAnsi" w:hAnsiTheme="majorHAnsi"/>
        </w:rPr>
        <w:t>A solution to this was to perform the assay again with a cell-line stably transfected with the conditionally expressed eGFP-PTS1 fluorescent, peroxisomal marker. This was made possible through the acquisition of the pMK33-pMt/Hy plasmid from the Whitworth lab in the Department of Biomedical Sciences, University of Sheffield. The plasmid contains a hygromycin B resistance cassette and expression of the reporter is under control of the inducible pMt promoter (see Figure 4.1.1) with CuSO</w:t>
      </w:r>
      <w:r w:rsidRPr="0013327C">
        <w:rPr>
          <w:rFonts w:asciiTheme="majorHAnsi" w:hAnsiTheme="majorHAnsi"/>
          <w:vertAlign w:val="subscript"/>
        </w:rPr>
        <w:t>4</w:t>
      </w:r>
      <w:r w:rsidRPr="0013327C">
        <w:rPr>
          <w:rFonts w:asciiTheme="majorHAnsi" w:hAnsiTheme="majorHAnsi"/>
        </w:rPr>
        <w:t>, as with the pMt plasmid. While this was the main change to the screen some editions to the protocols in the assay were required in order to optimise the screen for stably transfected cells. The details of these are included in the methods chapter but some are outlined here to emphasise the differences and benefits from using a stably transfected marker and for general clarity.</w:t>
      </w:r>
    </w:p>
    <w:p w:rsidR="00C3380A" w:rsidRPr="0013327C" w:rsidRDefault="00E749D9" w:rsidP="00AE0264">
      <w:pPr>
        <w:jc w:val="both"/>
        <w:rPr>
          <w:rFonts w:asciiTheme="majorHAnsi" w:hAnsiTheme="majorHAnsi"/>
        </w:rPr>
      </w:pPr>
      <w:r>
        <w:rPr>
          <w:rFonts w:asciiTheme="majorHAnsi" w:hAnsiTheme="majorHAnsi"/>
          <w:b/>
          <w:noProof/>
          <w:lang w:eastAsia="en-GB"/>
        </w:rPr>
        <w:lastRenderedPageBreak/>
        <w:drawing>
          <wp:inline distT="0" distB="0" distL="0" distR="0">
            <wp:extent cx="5265551" cy="3830129"/>
            <wp:effectExtent l="0" t="0" r="0" b="0"/>
            <wp:docPr id="2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srcRect/>
                    <a:stretch>
                      <a:fillRect/>
                    </a:stretch>
                  </pic:blipFill>
                  <pic:spPr bwMode="auto">
                    <a:xfrm>
                      <a:off x="0" y="0"/>
                      <a:ext cx="5268283" cy="3832116"/>
                    </a:xfrm>
                    <a:prstGeom prst="rect">
                      <a:avLst/>
                    </a:prstGeom>
                    <a:noFill/>
                  </pic:spPr>
                </pic:pic>
              </a:graphicData>
            </a:graphic>
          </wp:inline>
        </w:drawing>
      </w:r>
      <w:proofErr w:type="gramStart"/>
      <w:r w:rsidR="00AB1884">
        <w:rPr>
          <w:rFonts w:asciiTheme="majorHAnsi" w:hAnsiTheme="majorHAnsi"/>
          <w:b/>
        </w:rPr>
        <w:t>Figure 4</w:t>
      </w:r>
      <w:r w:rsidR="00AB1884" w:rsidRPr="00AB1884">
        <w:rPr>
          <w:rFonts w:asciiTheme="majorHAnsi" w:hAnsiTheme="majorHAnsi"/>
          <w:b/>
        </w:rPr>
        <w:t>.</w:t>
      </w:r>
      <w:r w:rsidR="00C3380A" w:rsidRPr="00AB1884">
        <w:rPr>
          <w:rFonts w:asciiTheme="majorHAnsi" w:hAnsiTheme="majorHAnsi"/>
          <w:b/>
        </w:rPr>
        <w:t>1.</w:t>
      </w:r>
      <w:proofErr w:type="gramEnd"/>
      <w:r w:rsidR="00C3380A" w:rsidRPr="00AB1884">
        <w:rPr>
          <w:rFonts w:asciiTheme="majorHAnsi" w:hAnsiTheme="majorHAnsi"/>
          <w:b/>
        </w:rPr>
        <w:t xml:space="preserve"> The pMK33/pMtHy plasmid as constructed by Michael Koelle (1989).</w:t>
      </w:r>
      <w:r w:rsidR="00C3380A" w:rsidRPr="0013327C">
        <w:rPr>
          <w:rFonts w:asciiTheme="majorHAnsi" w:hAnsiTheme="majorHAnsi"/>
        </w:rPr>
        <w:t xml:space="preserve"> Expression of eGFP-PTS1 is under controlled induction of pMt promoter. Hygromycin resistance is </w:t>
      </w:r>
      <w:r w:rsidR="0087545C" w:rsidRPr="0013327C">
        <w:rPr>
          <w:rFonts w:asciiTheme="majorHAnsi" w:hAnsiTheme="majorHAnsi"/>
        </w:rPr>
        <w:t>affected</w:t>
      </w:r>
      <w:r w:rsidR="00C3380A" w:rsidRPr="0013327C">
        <w:rPr>
          <w:rFonts w:asciiTheme="majorHAnsi" w:hAnsiTheme="majorHAnsi"/>
        </w:rPr>
        <w:t xml:space="preserve"> using a bacterial Hygromycin B phosphotransferase gene under expression of the constitutive Copia LTR promoter. </w:t>
      </w:r>
    </w:p>
    <w:p w:rsidR="00C3380A" w:rsidRPr="0013327C" w:rsidRDefault="00C3380A" w:rsidP="00AE0264">
      <w:pPr>
        <w:jc w:val="both"/>
        <w:rPr>
          <w:rFonts w:asciiTheme="majorHAnsi" w:hAnsiTheme="majorHAnsi"/>
        </w:rPr>
      </w:pPr>
    </w:p>
    <w:p w:rsidR="00C3380A" w:rsidRPr="0013327C" w:rsidRDefault="00C3380A" w:rsidP="00AE0264">
      <w:pPr>
        <w:pStyle w:val="Heading2"/>
        <w:jc w:val="both"/>
      </w:pPr>
      <w:bookmarkStart w:id="109" w:name="_Toc348423361"/>
      <w:r w:rsidRPr="0013327C">
        <w:t>Culturing stably transfected cells</w:t>
      </w:r>
      <w:bookmarkEnd w:id="109"/>
    </w:p>
    <w:p w:rsidR="00C3380A" w:rsidRPr="0013327C" w:rsidRDefault="00C3380A" w:rsidP="00AE0264">
      <w:pPr>
        <w:jc w:val="both"/>
        <w:rPr>
          <w:rFonts w:asciiTheme="majorHAnsi" w:hAnsiTheme="majorHAnsi"/>
        </w:rPr>
      </w:pPr>
      <w:r w:rsidRPr="0013327C">
        <w:rPr>
          <w:rFonts w:asciiTheme="majorHAnsi" w:hAnsiTheme="majorHAnsi"/>
        </w:rPr>
        <w:t xml:space="preserve">The pMK33 plasmid was generously supplied to us from the Whitworth lab in the Biomedical Science Department of Sheffield University. S2R+ cells were transfected normally and enriched by hygromycin B selection.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"author" : [ { "dropping-particle" : "", "family" : "Baum", "given" : "B.", "non-dropping-particle" : "", "parse-names" : false, "suffix" : "" }, { "dropping-particle" : "", "family" : "Cherbas", "given" : "L.", "non-dropping-particle" : "", "parse-names" : false, "suffix" : "" } ], "chapter-number" : "10", "container-title" : "Drosophila: Methods and Protocols", "editor" : [ { "dropping-particle" : "", "family" : "Dahman", "given" : "C.", "non-dropping-particle" : "", "parse-names" : false, "suffix" : "" } ], "id" : "ITEM-1", "issued" : { "date-parts" : [ [ "2008" ] ] }, "publisher" : "Humana Press, Totawa, NJ", "title" : "Drosophila cell lines as model systems and as an experimental tool.", "type" : "chapter" }, "uris" : [ "http://www.mendeley.com/documents/?uuid=942580e0-f1e3-48f2-87ea-bd881ad4d710" ] } ], "mendeley" : { "manualFormatting" : "Baum &amp; Cherbas (2008)", "previouslyFormattedCitation" : "(Baum &amp; Cherbas 2008)"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Baum &amp; Cherbas (2008)</w:t>
      </w:r>
      <w:r w:rsidR="009A1FEC" w:rsidRPr="0013327C">
        <w:rPr>
          <w:rFonts w:asciiTheme="majorHAnsi" w:hAnsiTheme="majorHAnsi"/>
        </w:rPr>
        <w:fldChar w:fldCharType="end"/>
      </w:r>
      <w:r w:rsidRPr="0013327C">
        <w:rPr>
          <w:rFonts w:asciiTheme="majorHAnsi" w:hAnsiTheme="majorHAnsi"/>
        </w:rPr>
        <w:t xml:space="preserve"> recommend using a range of 200-300µg.ml</w:t>
      </w:r>
      <w:r w:rsidRPr="0013327C">
        <w:rPr>
          <w:rFonts w:asciiTheme="majorHAnsi" w:hAnsiTheme="majorHAnsi"/>
          <w:vertAlign w:val="superscript"/>
        </w:rPr>
        <w:t>-1</w:t>
      </w:r>
      <w:r w:rsidRPr="0013327C">
        <w:rPr>
          <w:rFonts w:asciiTheme="majorHAnsi" w:hAnsiTheme="majorHAnsi"/>
        </w:rPr>
        <w:t xml:space="preserve"> in media with serum.</w:t>
      </w:r>
    </w:p>
    <w:p w:rsidR="00C3380A" w:rsidRPr="0013327C" w:rsidRDefault="00C3380A" w:rsidP="00AE0264">
      <w:pPr>
        <w:jc w:val="both"/>
        <w:rPr>
          <w:rFonts w:asciiTheme="majorHAnsi" w:hAnsiTheme="majorHAnsi"/>
        </w:rPr>
      </w:pPr>
      <w:r w:rsidRPr="0013327C">
        <w:rPr>
          <w:rFonts w:asciiTheme="majorHAnsi" w:hAnsiTheme="majorHAnsi"/>
        </w:rPr>
        <w:t>To explore the efficacy, toxicity and speed of the selection of the plasmid the transfected cells were split equally between three wells of a six-well plate and then induced selection at 150µg.ml</w:t>
      </w:r>
      <w:r w:rsidRPr="0013327C">
        <w:rPr>
          <w:rFonts w:asciiTheme="majorHAnsi" w:hAnsiTheme="majorHAnsi"/>
          <w:vertAlign w:val="superscript"/>
        </w:rPr>
        <w:t>-1</w:t>
      </w:r>
      <w:r w:rsidRPr="0013327C">
        <w:rPr>
          <w:rFonts w:asciiTheme="majorHAnsi" w:hAnsiTheme="majorHAnsi"/>
        </w:rPr>
        <w:t xml:space="preserve"> (½X selection medium), 300µg.ml</w:t>
      </w:r>
      <w:r w:rsidRPr="0013327C">
        <w:rPr>
          <w:rFonts w:asciiTheme="majorHAnsi" w:hAnsiTheme="majorHAnsi"/>
          <w:vertAlign w:val="superscript"/>
        </w:rPr>
        <w:t>-1</w:t>
      </w:r>
      <w:r w:rsidRPr="0013327C">
        <w:rPr>
          <w:rFonts w:asciiTheme="majorHAnsi" w:hAnsiTheme="majorHAnsi"/>
        </w:rPr>
        <w:t xml:space="preserve"> (1X selection medium) and 450µg.ml</w:t>
      </w:r>
      <w:r w:rsidRPr="0013327C">
        <w:rPr>
          <w:rFonts w:asciiTheme="majorHAnsi" w:hAnsiTheme="majorHAnsi"/>
          <w:vertAlign w:val="superscript"/>
        </w:rPr>
        <w:t>-1</w:t>
      </w:r>
      <w:r w:rsidRPr="0013327C">
        <w:rPr>
          <w:rFonts w:asciiTheme="majorHAnsi" w:hAnsiTheme="majorHAnsi"/>
        </w:rPr>
        <w:t xml:space="preserve"> (1½X selection medium) of hygromycin B. Samples were removed every other day and plasmid induction performed overnight at 100µM CuSO</w:t>
      </w:r>
      <w:r w:rsidRPr="0013327C">
        <w:rPr>
          <w:rFonts w:asciiTheme="majorHAnsi" w:hAnsiTheme="majorHAnsi"/>
          <w:vertAlign w:val="subscript"/>
        </w:rPr>
        <w:t>4</w:t>
      </w:r>
      <w:r w:rsidRPr="0013327C">
        <w:rPr>
          <w:rFonts w:asciiTheme="majorHAnsi" w:hAnsiTheme="majorHAnsi"/>
        </w:rPr>
        <w:t xml:space="preserve">. For the two lower hygromycin B concentrations, selection was slow and the 1X selection medium sample took six weeks of passaging before over 95% of cells were visibly displaying peroxisomal eGFP. The ½X selection medium was too slow to even make 50% cells express eGFP-PTS1 after 6 weeks of passaging. Conversely, </w:t>
      </w:r>
      <w:r w:rsidRPr="0013327C">
        <w:rPr>
          <w:rFonts w:asciiTheme="majorHAnsi" w:hAnsiTheme="majorHAnsi"/>
        </w:rPr>
        <w:lastRenderedPageBreak/>
        <w:t>transfected S2R+ cells in 1½X selection media died within 2 weeks. The recommended concentration of hygromycin B was used as selection medium at 300µg.ml</w:t>
      </w:r>
      <w:r w:rsidRPr="0013327C">
        <w:rPr>
          <w:rFonts w:asciiTheme="majorHAnsi" w:hAnsiTheme="majorHAnsi"/>
          <w:vertAlign w:val="superscript"/>
        </w:rPr>
        <w:t>-1</w:t>
      </w:r>
      <w:r w:rsidRPr="0013327C">
        <w:rPr>
          <w:rFonts w:asciiTheme="majorHAnsi" w:hAnsiTheme="majorHAnsi"/>
        </w:rPr>
        <w:t>.</w:t>
      </w:r>
    </w:p>
    <w:p w:rsidR="00C3380A" w:rsidRPr="0013327C" w:rsidRDefault="00C3380A" w:rsidP="00AE0264">
      <w:pPr>
        <w:pStyle w:val="Heading2"/>
        <w:jc w:val="both"/>
      </w:pPr>
      <w:bookmarkStart w:id="110" w:name="_Toc348423362"/>
      <w:r w:rsidRPr="0013327C">
        <w:t xml:space="preserve">Re-establishing seeding density for </w:t>
      </w:r>
      <w:r w:rsidR="0087545C" w:rsidRPr="0013327C">
        <w:t>stably</w:t>
      </w:r>
      <w:r w:rsidRPr="0013327C">
        <w:t xml:space="preserve"> transfected cells</w:t>
      </w:r>
      <w:bookmarkEnd w:id="110"/>
    </w:p>
    <w:p w:rsidR="00C3380A" w:rsidRPr="0013327C" w:rsidRDefault="00C3380A" w:rsidP="00AE0264">
      <w:pPr>
        <w:jc w:val="both"/>
        <w:rPr>
          <w:rFonts w:asciiTheme="majorHAnsi" w:hAnsiTheme="majorHAnsi"/>
        </w:rPr>
      </w:pPr>
      <w:r w:rsidRPr="0013327C">
        <w:rPr>
          <w:rFonts w:asciiTheme="majorHAnsi" w:hAnsiTheme="majorHAnsi"/>
        </w:rPr>
        <w:t xml:space="preserve">With almost ubiquitous expression of eGFP-PTS1 in S2R+ cells (a small proportion of cells expressed the reporter at a low level, detectable only with long exposures on a fluorescence microscope using the 40X high NA objective) the possibility of reducing the seeding density was investigated. </w:t>
      </w:r>
    </w:p>
    <w:p w:rsidR="00C3380A" w:rsidRPr="0013327C" w:rsidRDefault="00C3380A" w:rsidP="00AE0264">
      <w:pPr>
        <w:jc w:val="both"/>
        <w:rPr>
          <w:rFonts w:asciiTheme="majorHAnsi" w:hAnsiTheme="majorHAnsi"/>
        </w:rPr>
      </w:pPr>
      <w:r w:rsidRPr="0013327C">
        <w:rPr>
          <w:rFonts w:asciiTheme="majorHAnsi" w:hAnsiTheme="majorHAnsi"/>
        </w:rPr>
        <w:t>Using the Thermo Multidrop and a single blank plate it was possible to perform a serial seeding of the plate, 3 columns at a time at eight seeding densities ranging from 500 to 4,000 cells per well. This was achieved by adding cells in SFM medium at 100 cells per µl in 5 µl increments up to 40µl. All well were then made up to 50µl with 10% serum-containing medium. The cells allowed to grow for five days before 10µl of medium containing 10% serum and 600µM CuSO</w:t>
      </w:r>
      <w:r w:rsidRPr="0013327C">
        <w:rPr>
          <w:rFonts w:asciiTheme="majorHAnsi" w:hAnsiTheme="majorHAnsi"/>
          <w:vertAlign w:val="subscript"/>
        </w:rPr>
        <w:t>4</w:t>
      </w:r>
      <w:r w:rsidRPr="0013327C">
        <w:rPr>
          <w:rFonts w:asciiTheme="majorHAnsi" w:hAnsiTheme="majorHAnsi"/>
        </w:rPr>
        <w:t xml:space="preserve"> (final conc. 100µM) were added to induce them. While the cells weren’t being checked for induction, this mimicked screening conditions and thus removed errors that may be responsible for changing growth speed that would falsely report the </w:t>
      </w:r>
      <w:r w:rsidR="0087545C" w:rsidRPr="0013327C">
        <w:rPr>
          <w:rFonts w:asciiTheme="majorHAnsi" w:hAnsiTheme="majorHAnsi"/>
        </w:rPr>
        <w:t>optimum</w:t>
      </w:r>
      <w:r w:rsidRPr="0013327C">
        <w:rPr>
          <w:rFonts w:asciiTheme="majorHAnsi" w:hAnsiTheme="majorHAnsi"/>
        </w:rPr>
        <w:t xml:space="preserve"> seeding density. Cells were near-confluent at 2000 cells per well and approximately 40-50% confluent at 1000 cells per well, ranging from 60-70% confluence at 1500. Ideally the near-confluent wells would be used but there was enough variation between the wells that some had grown over-confluent. Conversely no wells in the 1500-cell wells were over-confluent. The wells were fixed and counted using the METAXpress apparatus and each site of each of the 1500-cell wells recorded &gt;100 cells with some sites containing &gt;200 cells at 20X magnification. At 40X magnification the sites were reporting on average 49 cells per site and over 400 cells per well with nine sites counting cells. These data are a significant improvement over that which was being recorded in the first screen and would provide more statistically significant data in the second screen.</w:t>
      </w:r>
    </w:p>
    <w:p w:rsidR="00C3380A" w:rsidRPr="0013327C" w:rsidRDefault="00C3380A" w:rsidP="00AE0264">
      <w:pPr>
        <w:jc w:val="both"/>
        <w:rPr>
          <w:rFonts w:asciiTheme="majorHAnsi" w:hAnsiTheme="majorHAnsi"/>
        </w:rPr>
      </w:pPr>
      <w:r w:rsidRPr="0013327C">
        <w:rPr>
          <w:rFonts w:asciiTheme="majorHAnsi" w:hAnsiTheme="majorHAnsi"/>
          <w:b/>
          <w:noProof/>
          <w:lang w:eastAsia="en-GB"/>
        </w:rPr>
        <w:lastRenderedPageBreak/>
        <w:drawing>
          <wp:inline distT="0" distB="0" distL="0" distR="0">
            <wp:extent cx="4819973" cy="3642102"/>
            <wp:effectExtent l="0" t="0" r="0" b="0"/>
            <wp:docPr id="176"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68953" cy="6120680"/>
                      <a:chOff x="179512" y="548680"/>
                      <a:chExt cx="8568953" cy="6120680"/>
                    </a:xfrm>
                  </a:grpSpPr>
                  <a:grpSp>
                    <a:nvGrpSpPr>
                      <a:cNvPr id="227" name="Group 226"/>
                      <a:cNvGrpSpPr/>
                    </a:nvGrpSpPr>
                    <a:grpSpPr>
                      <a:xfrm>
                        <a:off x="179512" y="548680"/>
                        <a:ext cx="8568953" cy="6120680"/>
                        <a:chOff x="179512" y="548680"/>
                        <a:chExt cx="8568953" cy="6120680"/>
                      </a:xfrm>
                    </a:grpSpPr>
                    <a:sp>
                      <a:nvSpPr>
                        <a:cNvPr id="4" name="Rectangle 3"/>
                        <a:cNvSpPr/>
                      </a:nvSpPr>
                      <a:spPr>
                        <a:xfrm>
                          <a:off x="1691680" y="5013176"/>
                          <a:ext cx="864096" cy="1656184"/>
                        </a:xfrm>
                        <a:prstGeom prst="rect">
                          <a:avLst/>
                        </a:prstGeom>
                        <a:solidFill>
                          <a:srgbClr val="9C1D0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2555776" y="5013176"/>
                          <a:ext cx="864096" cy="1656184"/>
                        </a:xfrm>
                        <a:prstGeom prst="rect">
                          <a:avLst/>
                        </a:prstGeom>
                        <a:solidFill>
                          <a:srgbClr val="AF2109"/>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3419872" y="5013176"/>
                          <a:ext cx="864096" cy="1656184"/>
                        </a:xfrm>
                        <a:prstGeom prst="rect">
                          <a:avLst/>
                        </a:prstGeom>
                        <a:solidFill>
                          <a:srgbClr val="CC260A"/>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6012160" y="5013176"/>
                          <a:ext cx="864096" cy="1656184"/>
                        </a:xfrm>
                        <a:prstGeom prst="rect">
                          <a:avLst/>
                        </a:prstGeom>
                        <a:solidFill>
                          <a:srgbClr val="F77A65"/>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ctangle 7"/>
                        <a:cNvSpPr/>
                      </a:nvSpPr>
                      <a:spPr>
                        <a:xfrm>
                          <a:off x="6876256" y="5013176"/>
                          <a:ext cx="864096" cy="1656184"/>
                        </a:xfrm>
                        <a:prstGeom prst="rect">
                          <a:avLst/>
                        </a:prstGeom>
                        <a:solidFill>
                          <a:srgbClr val="FAB4A8"/>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ctangle 8"/>
                        <a:cNvSpPr/>
                      </a:nvSpPr>
                      <a:spPr>
                        <a:xfrm>
                          <a:off x="7740352" y="5013176"/>
                          <a:ext cx="864096" cy="1656184"/>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02" name="TextBox 201"/>
                        <a:cNvSpPr txBox="1"/>
                      </a:nvSpPr>
                      <a:spPr>
                        <a:xfrm>
                          <a:off x="7236296" y="567844"/>
                          <a:ext cx="1440160" cy="73866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a:t>= </a:t>
                            </a:r>
                            <a:r>
                              <a:rPr lang="en-GB" sz="1400" dirty="0" smtClean="0"/>
                              <a:t>500 cells in 5 µl </a:t>
                            </a:r>
                            <a:r>
                              <a:rPr lang="en-GB" sz="1400" dirty="0" smtClean="0"/>
                              <a:t>SFM per </a:t>
                            </a:r>
                            <a:r>
                              <a:rPr lang="en-GB" sz="1400" dirty="0" smtClean="0"/>
                              <a:t>well in 3 columns</a:t>
                            </a:r>
                            <a:endParaRPr lang="en-GB" sz="1400" dirty="0"/>
                          </a:p>
                        </a:txBody>
                        <a:useSpRect/>
                      </a:txSp>
                    </a:sp>
                    <a:sp>
                      <a:nvSpPr>
                        <a:cNvPr id="204" name="TextBox 203"/>
                        <a:cNvSpPr txBox="1"/>
                      </a:nvSpPr>
                      <a:spPr>
                        <a:xfrm>
                          <a:off x="4933986" y="548680"/>
                          <a:ext cx="1438214" cy="73866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 </a:t>
                            </a:r>
                            <a:r>
                              <a:rPr lang="en-GB" sz="1400" dirty="0" smtClean="0"/>
                              <a:t>10 and 5 </a:t>
                            </a:r>
                            <a:r>
                              <a:rPr lang="en-GB" sz="1400" dirty="0"/>
                              <a:t>µl </a:t>
                            </a:r>
                            <a:r>
                              <a:rPr lang="en-GB" sz="1400" dirty="0" smtClean="0"/>
                              <a:t>SFM </a:t>
                            </a:r>
                            <a:r>
                              <a:rPr lang="en-GB" sz="1400" dirty="0" smtClean="0"/>
                              <a:t>per </a:t>
                            </a:r>
                            <a:r>
                              <a:rPr lang="en-GB" sz="1400" dirty="0" smtClean="0"/>
                              <a:t>well in 3 columns</a:t>
                            </a:r>
                            <a:endParaRPr lang="en-GB" sz="1400" dirty="0"/>
                          </a:p>
                        </a:txBody>
                        <a:useSpRect/>
                      </a:txSp>
                    </a:sp>
                    <a:sp>
                      <a:nvSpPr>
                        <a:cNvPr id="205" name="TextBox 204"/>
                        <a:cNvSpPr txBox="1"/>
                      </a:nvSpPr>
                      <a:spPr>
                        <a:xfrm>
                          <a:off x="1619672" y="4643843"/>
                          <a:ext cx="1296144"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1    2    3   4</a:t>
                            </a:r>
                            <a:endParaRPr lang="en-GB" dirty="0"/>
                          </a:p>
                        </a:txBody>
                        <a:useSpRect/>
                      </a:txSp>
                    </a:sp>
                    <a:sp>
                      <a:nvSpPr>
                        <a:cNvPr id="206" name="TextBox 205"/>
                        <a:cNvSpPr txBox="1"/>
                      </a:nvSpPr>
                      <a:spPr>
                        <a:xfrm>
                          <a:off x="2771800" y="4643843"/>
                          <a:ext cx="1296144"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 5   6    7   8</a:t>
                            </a:r>
                            <a:endParaRPr lang="en-GB" dirty="0"/>
                          </a:p>
                        </a:txBody>
                        <a:useSpRect/>
                      </a:txSp>
                    </a:sp>
                    <a:sp>
                      <a:nvSpPr>
                        <a:cNvPr id="207" name="TextBox 206"/>
                        <a:cNvSpPr txBox="1"/>
                      </a:nvSpPr>
                      <a:spPr>
                        <a:xfrm>
                          <a:off x="3779912" y="4643843"/>
                          <a:ext cx="151216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    9   10 11 12</a:t>
                            </a:r>
                            <a:endParaRPr lang="en-GB" dirty="0"/>
                          </a:p>
                        </a:txBody>
                        <a:useSpRect/>
                      </a:txSp>
                    </a:sp>
                    <a:sp>
                      <a:nvSpPr>
                        <a:cNvPr id="208" name="TextBox 207"/>
                        <a:cNvSpPr txBox="1"/>
                      </a:nvSpPr>
                      <a:spPr>
                        <a:xfrm>
                          <a:off x="4788024" y="4643844"/>
                          <a:ext cx="158417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      13 14 15 16</a:t>
                            </a:r>
                            <a:endParaRPr lang="en-GB" dirty="0"/>
                          </a:p>
                        </a:txBody>
                        <a:useSpRect/>
                      </a:txSp>
                    </a:sp>
                    <a:sp>
                      <a:nvSpPr>
                        <a:cNvPr id="209" name="TextBox 208"/>
                        <a:cNvSpPr txBox="1"/>
                      </a:nvSpPr>
                      <a:spPr>
                        <a:xfrm>
                          <a:off x="6228184" y="4643843"/>
                          <a:ext cx="136815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17 18  19 20</a:t>
                            </a:r>
                            <a:endParaRPr lang="en-GB" dirty="0"/>
                          </a:p>
                        </a:txBody>
                        <a:useSpRect/>
                      </a:txSp>
                    </a:sp>
                    <a:sp>
                      <a:nvSpPr>
                        <a:cNvPr id="210" name="TextBox 209"/>
                        <a:cNvSpPr txBox="1"/>
                      </a:nvSpPr>
                      <a:spPr>
                        <a:xfrm>
                          <a:off x="7380313" y="4643843"/>
                          <a:ext cx="136815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 21 22 23 24</a:t>
                            </a:r>
                            <a:endParaRPr lang="en-GB" dirty="0"/>
                          </a:p>
                        </a:txBody>
                        <a:useSpRect/>
                      </a:txSp>
                    </a:sp>
                    <a:sp>
                      <a:nvSpPr>
                        <a:cNvPr id="70" name="Rectangle 69"/>
                        <a:cNvSpPr/>
                      </a:nvSpPr>
                      <a:spPr>
                        <a:xfrm>
                          <a:off x="4283968" y="5013176"/>
                          <a:ext cx="864096" cy="1656184"/>
                        </a:xfrm>
                        <a:prstGeom prst="rect">
                          <a:avLst/>
                        </a:prstGeom>
                        <a:solidFill>
                          <a:srgbClr val="F3311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1" name="Rectangle 70"/>
                        <a:cNvSpPr/>
                      </a:nvSpPr>
                      <a:spPr>
                        <a:xfrm>
                          <a:off x="5148064" y="5013176"/>
                          <a:ext cx="864096" cy="1656184"/>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8" name="Rectangle 77"/>
                        <a:cNvSpPr/>
                      </a:nvSpPr>
                      <a:spPr>
                        <a:xfrm flipV="1">
                          <a:off x="1691680" y="4139787"/>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0" name="Rectangle 79"/>
                        <a:cNvSpPr/>
                      </a:nvSpPr>
                      <a:spPr>
                        <a:xfrm flipV="1">
                          <a:off x="1691680" y="442781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1" name="Rectangle 80"/>
                        <a:cNvSpPr/>
                      </a:nvSpPr>
                      <a:spPr>
                        <a:xfrm flipV="1">
                          <a:off x="1691680" y="4283803"/>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2" name="Rectangle 81"/>
                        <a:cNvSpPr/>
                      </a:nvSpPr>
                      <a:spPr>
                        <a:xfrm flipV="1">
                          <a:off x="1691680" y="3995771"/>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3" name="Rectangle 82"/>
                        <a:cNvSpPr/>
                      </a:nvSpPr>
                      <a:spPr>
                        <a:xfrm flipV="1">
                          <a:off x="1691680" y="3851755"/>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4" name="Rectangle 83"/>
                        <a:cNvSpPr/>
                      </a:nvSpPr>
                      <a:spPr>
                        <a:xfrm flipV="1">
                          <a:off x="1691680" y="370773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5" name="Rectangle 84"/>
                        <a:cNvSpPr/>
                      </a:nvSpPr>
                      <a:spPr>
                        <a:xfrm flipV="1">
                          <a:off x="1691680" y="3563723"/>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6" name="Rectangle 85"/>
                        <a:cNvSpPr/>
                      </a:nvSpPr>
                      <a:spPr>
                        <a:xfrm flipV="1">
                          <a:off x="1691680" y="3419707"/>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8" name="Rectangle 87"/>
                        <a:cNvSpPr/>
                      </a:nvSpPr>
                      <a:spPr>
                        <a:xfrm flipV="1">
                          <a:off x="2555776" y="4139787"/>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89" name="Rectangle 88"/>
                        <a:cNvSpPr/>
                      </a:nvSpPr>
                      <a:spPr>
                        <a:xfrm flipV="1">
                          <a:off x="2555776" y="442781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0" name="Rectangle 89"/>
                        <a:cNvSpPr/>
                      </a:nvSpPr>
                      <a:spPr>
                        <a:xfrm flipV="1">
                          <a:off x="2555776" y="4283803"/>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1" name="Rectangle 90"/>
                        <a:cNvSpPr/>
                      </a:nvSpPr>
                      <a:spPr>
                        <a:xfrm flipV="1">
                          <a:off x="2555776" y="3995771"/>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2" name="Rectangle 91"/>
                        <a:cNvSpPr/>
                      </a:nvSpPr>
                      <a:spPr>
                        <a:xfrm flipV="1">
                          <a:off x="2555776" y="3851755"/>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4" name="Rectangle 93"/>
                        <a:cNvSpPr/>
                      </a:nvSpPr>
                      <a:spPr>
                        <a:xfrm flipV="1">
                          <a:off x="2555776" y="370773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5" name="Rectangle 94"/>
                        <a:cNvSpPr/>
                      </a:nvSpPr>
                      <a:spPr>
                        <a:xfrm flipV="1">
                          <a:off x="2555776" y="3563723"/>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7" name="Rectangle 96"/>
                        <a:cNvSpPr/>
                      </a:nvSpPr>
                      <a:spPr>
                        <a:xfrm flipV="1">
                          <a:off x="3419872" y="4139787"/>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8" name="Rectangle 97"/>
                        <a:cNvSpPr/>
                      </a:nvSpPr>
                      <a:spPr>
                        <a:xfrm flipV="1">
                          <a:off x="3419872" y="442781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99" name="Rectangle 98"/>
                        <a:cNvSpPr/>
                      </a:nvSpPr>
                      <a:spPr>
                        <a:xfrm flipV="1">
                          <a:off x="3419872" y="4283803"/>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0" name="Rectangle 99"/>
                        <a:cNvSpPr/>
                      </a:nvSpPr>
                      <a:spPr>
                        <a:xfrm flipV="1">
                          <a:off x="3419872" y="3995771"/>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1" name="Rectangle 100"/>
                        <a:cNvSpPr/>
                      </a:nvSpPr>
                      <a:spPr>
                        <a:xfrm flipV="1">
                          <a:off x="3419872" y="3851755"/>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2" name="Rectangle 101"/>
                        <a:cNvSpPr/>
                      </a:nvSpPr>
                      <a:spPr>
                        <a:xfrm flipV="1">
                          <a:off x="3419872" y="370773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5" name="Rectangle 104"/>
                        <a:cNvSpPr/>
                      </a:nvSpPr>
                      <a:spPr>
                        <a:xfrm flipV="1">
                          <a:off x="4283968" y="4139787"/>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6" name="Rectangle 105"/>
                        <a:cNvSpPr/>
                      </a:nvSpPr>
                      <a:spPr>
                        <a:xfrm flipV="1">
                          <a:off x="4283968" y="442781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7" name="Rectangle 106"/>
                        <a:cNvSpPr/>
                      </a:nvSpPr>
                      <a:spPr>
                        <a:xfrm flipV="1">
                          <a:off x="4283968" y="4283803"/>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8" name="Rectangle 107"/>
                        <a:cNvSpPr/>
                      </a:nvSpPr>
                      <a:spPr>
                        <a:xfrm flipV="1">
                          <a:off x="4283968" y="3995771"/>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09" name="Rectangle 108"/>
                        <a:cNvSpPr/>
                      </a:nvSpPr>
                      <a:spPr>
                        <a:xfrm flipV="1">
                          <a:off x="4283968" y="3851755"/>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1" name="Rectangle 110"/>
                        <a:cNvSpPr/>
                      </a:nvSpPr>
                      <a:spPr>
                        <a:xfrm flipV="1">
                          <a:off x="5148064" y="4139787"/>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2" name="Rectangle 111"/>
                        <a:cNvSpPr/>
                      </a:nvSpPr>
                      <a:spPr>
                        <a:xfrm flipV="1">
                          <a:off x="5148064" y="442781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3" name="Rectangle 112"/>
                        <a:cNvSpPr/>
                      </a:nvSpPr>
                      <a:spPr>
                        <a:xfrm flipV="1">
                          <a:off x="5148064" y="4283803"/>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4" name="Rectangle 113"/>
                        <a:cNvSpPr/>
                      </a:nvSpPr>
                      <a:spPr>
                        <a:xfrm flipV="1">
                          <a:off x="5148064" y="3995771"/>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6" name="Rectangle 115"/>
                        <a:cNvSpPr/>
                      </a:nvSpPr>
                      <a:spPr>
                        <a:xfrm flipV="1">
                          <a:off x="6012160" y="4139787"/>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7" name="Rectangle 116"/>
                        <a:cNvSpPr/>
                      </a:nvSpPr>
                      <a:spPr>
                        <a:xfrm flipV="1">
                          <a:off x="6012160" y="442781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8" name="Rectangle 117"/>
                        <a:cNvSpPr/>
                      </a:nvSpPr>
                      <a:spPr>
                        <a:xfrm flipV="1">
                          <a:off x="6012160" y="4283803"/>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1" name="Rectangle 120"/>
                        <a:cNvSpPr/>
                      </a:nvSpPr>
                      <a:spPr>
                        <a:xfrm flipV="1">
                          <a:off x="6876256" y="442781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2" name="Rectangle 121"/>
                        <a:cNvSpPr/>
                      </a:nvSpPr>
                      <a:spPr>
                        <a:xfrm flipV="1">
                          <a:off x="6876256" y="4283803"/>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3" name="Rectangle 122"/>
                        <a:cNvSpPr/>
                      </a:nvSpPr>
                      <a:spPr>
                        <a:xfrm flipV="1">
                          <a:off x="7740352" y="4427819"/>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5" name="Rectangle 124"/>
                        <a:cNvSpPr/>
                      </a:nvSpPr>
                      <a:spPr>
                        <a:xfrm>
                          <a:off x="1691680" y="3131675"/>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6" name="Rectangle 125"/>
                        <a:cNvSpPr/>
                      </a:nvSpPr>
                      <a:spPr>
                        <a:xfrm>
                          <a:off x="2555776" y="3131675"/>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7" name="Rectangle 126"/>
                        <a:cNvSpPr/>
                      </a:nvSpPr>
                      <a:spPr>
                        <a:xfrm>
                          <a:off x="3419872" y="3131675"/>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8" name="Rectangle 127"/>
                        <a:cNvSpPr/>
                      </a:nvSpPr>
                      <a:spPr>
                        <a:xfrm>
                          <a:off x="6012160" y="3419707"/>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9" name="Rectangle 128"/>
                        <a:cNvSpPr/>
                      </a:nvSpPr>
                      <a:spPr>
                        <a:xfrm>
                          <a:off x="6876256" y="3419707"/>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0" name="Rectangle 129"/>
                        <a:cNvSpPr/>
                      </a:nvSpPr>
                      <a:spPr>
                        <a:xfrm>
                          <a:off x="7740352" y="3419707"/>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1" name="Rectangle 130"/>
                        <a:cNvSpPr/>
                      </a:nvSpPr>
                      <a:spPr>
                        <a:xfrm>
                          <a:off x="7740352" y="3131675"/>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2" name="Rectangle 131"/>
                        <a:cNvSpPr/>
                      </a:nvSpPr>
                      <a:spPr>
                        <a:xfrm>
                          <a:off x="6876256" y="3131675"/>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3" name="Rectangle 132"/>
                        <a:cNvSpPr/>
                      </a:nvSpPr>
                      <a:spPr>
                        <a:xfrm>
                          <a:off x="6012160" y="3131675"/>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4" name="Rectangle 133"/>
                        <a:cNvSpPr/>
                      </a:nvSpPr>
                      <a:spPr>
                        <a:xfrm>
                          <a:off x="5148064" y="3131675"/>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5" name="Rectangle 134"/>
                        <a:cNvSpPr/>
                      </a:nvSpPr>
                      <a:spPr>
                        <a:xfrm>
                          <a:off x="4283968" y="3131675"/>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6" name="Rectangle 135"/>
                        <a:cNvSpPr/>
                      </a:nvSpPr>
                      <a:spPr>
                        <a:xfrm>
                          <a:off x="3419872" y="3419707"/>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7" name="Rectangle 136"/>
                        <a:cNvSpPr/>
                      </a:nvSpPr>
                      <a:spPr>
                        <a:xfrm>
                          <a:off x="4283968" y="3419707"/>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8" name="Rectangle 137"/>
                        <a:cNvSpPr/>
                      </a:nvSpPr>
                      <a:spPr>
                        <a:xfrm>
                          <a:off x="5148064" y="3419707"/>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39" name="Rectangle 138"/>
                        <a:cNvSpPr/>
                      </a:nvSpPr>
                      <a:spPr>
                        <a:xfrm>
                          <a:off x="6876256" y="3995771"/>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0" name="Rectangle 139"/>
                        <a:cNvSpPr/>
                      </a:nvSpPr>
                      <a:spPr>
                        <a:xfrm>
                          <a:off x="5148064" y="3707739"/>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1" name="Rectangle 140"/>
                        <a:cNvSpPr/>
                      </a:nvSpPr>
                      <a:spPr>
                        <a:xfrm>
                          <a:off x="6012160" y="3707739"/>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2" name="Rectangle 141"/>
                        <a:cNvSpPr/>
                      </a:nvSpPr>
                      <a:spPr>
                        <a:xfrm>
                          <a:off x="6876256" y="3707739"/>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3" name="Rectangle 142"/>
                        <a:cNvSpPr/>
                      </a:nvSpPr>
                      <a:spPr>
                        <a:xfrm>
                          <a:off x="7740352" y="3707739"/>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5" name="Rectangle 144"/>
                        <a:cNvSpPr/>
                      </a:nvSpPr>
                      <a:spPr>
                        <a:xfrm>
                          <a:off x="7740352" y="4293095"/>
                          <a:ext cx="864096" cy="134723"/>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4" name="Rectangle 143"/>
                        <a:cNvSpPr/>
                      </a:nvSpPr>
                      <a:spPr>
                        <a:xfrm>
                          <a:off x="7740352" y="3995771"/>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48" name="Straight Connector 147"/>
                        <a:cNvCxnSpPr/>
                      </a:nvCxnSpPr>
                      <a:spPr>
                        <a:xfrm flipH="1">
                          <a:off x="1259632" y="3140968"/>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9" name="Straight Connector 148"/>
                        <a:cNvCxnSpPr/>
                      </a:nvCxnSpPr>
                      <a:spPr>
                        <a:xfrm flipH="1">
                          <a:off x="1259632" y="3429000"/>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0" name="Straight Connector 149"/>
                        <a:cNvCxnSpPr/>
                      </a:nvCxnSpPr>
                      <a:spPr>
                        <a:xfrm flipH="1">
                          <a:off x="1259632" y="3573016"/>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1" name="Straight Connector 150"/>
                        <a:cNvCxnSpPr/>
                      </a:nvCxnSpPr>
                      <a:spPr>
                        <a:xfrm flipH="1">
                          <a:off x="1259632" y="3861048"/>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2" name="Straight Connector 151"/>
                        <a:cNvCxnSpPr/>
                      </a:nvCxnSpPr>
                      <a:spPr>
                        <a:xfrm flipH="1">
                          <a:off x="1259632" y="3717032"/>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3" name="Straight Connector 152"/>
                        <a:cNvCxnSpPr/>
                      </a:nvCxnSpPr>
                      <a:spPr>
                        <a:xfrm flipH="1">
                          <a:off x="1259632" y="4005064"/>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4" name="Straight Connector 153"/>
                        <a:cNvCxnSpPr/>
                      </a:nvCxnSpPr>
                      <a:spPr>
                        <a:xfrm flipH="1">
                          <a:off x="1259632" y="4149080"/>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5" name="Straight Connector 154"/>
                        <a:cNvCxnSpPr/>
                      </a:nvCxnSpPr>
                      <a:spPr>
                        <a:xfrm flipH="1">
                          <a:off x="1259632" y="4293096"/>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6" name="Straight Connector 155"/>
                        <a:cNvCxnSpPr/>
                      </a:nvCxnSpPr>
                      <a:spPr>
                        <a:xfrm flipH="1">
                          <a:off x="1259632" y="4437112"/>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158" name="TextBox 157"/>
                        <a:cNvSpPr txBox="1"/>
                      </a:nvSpPr>
                      <a:spPr>
                        <a:xfrm>
                          <a:off x="755576" y="3007985"/>
                          <a:ext cx="72008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50 µl</a:t>
                            </a:r>
                            <a:endParaRPr lang="en-GB" dirty="0"/>
                          </a:p>
                        </a:txBody>
                        <a:useSpRect/>
                      </a:txSp>
                    </a:sp>
                    <a:sp>
                      <a:nvSpPr>
                        <a:cNvPr id="160" name="TextBox 159"/>
                        <a:cNvSpPr txBox="1"/>
                      </a:nvSpPr>
                      <a:spPr>
                        <a:xfrm>
                          <a:off x="395536" y="1988840"/>
                          <a:ext cx="792088" cy="83099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30</a:t>
                            </a:r>
                            <a:r>
                              <a:rPr lang="en-GB" sz="1200" dirty="0" smtClean="0"/>
                              <a:t> µl</a:t>
                            </a:r>
                          </a:p>
                          <a:p>
                            <a:r>
                              <a:rPr lang="en-GB" sz="1200" dirty="0" smtClean="0"/>
                              <a:t>a</a:t>
                            </a:r>
                            <a:r>
                              <a:rPr lang="en-GB" sz="1200" dirty="0" smtClean="0"/>
                              <a:t>spirated after 1</a:t>
                            </a:r>
                          </a:p>
                          <a:p>
                            <a:r>
                              <a:rPr lang="en-GB" sz="1200" dirty="0" smtClean="0"/>
                              <a:t>h</a:t>
                            </a:r>
                            <a:r>
                              <a:rPr lang="en-GB" sz="1200" dirty="0" smtClean="0"/>
                              <a:t>our.</a:t>
                            </a:r>
                            <a:endParaRPr lang="en-GB" dirty="0"/>
                          </a:p>
                        </a:txBody>
                        <a:useSpRect/>
                      </a:txSp>
                    </a:sp>
                    <a:sp>
                      <a:nvSpPr>
                        <a:cNvPr id="161" name="TextBox 160"/>
                        <a:cNvSpPr txBox="1"/>
                      </a:nvSpPr>
                      <a:spPr>
                        <a:xfrm>
                          <a:off x="755576" y="3440033"/>
                          <a:ext cx="72008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35 µl</a:t>
                            </a:r>
                            <a:endParaRPr lang="en-GB" dirty="0"/>
                          </a:p>
                        </a:txBody>
                        <a:useSpRect/>
                      </a:txSp>
                    </a:sp>
                    <a:sp>
                      <a:nvSpPr>
                        <a:cNvPr id="162" name="TextBox 161"/>
                        <a:cNvSpPr txBox="1"/>
                      </a:nvSpPr>
                      <a:spPr>
                        <a:xfrm>
                          <a:off x="755576" y="3584049"/>
                          <a:ext cx="72008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30 µl</a:t>
                            </a:r>
                            <a:endParaRPr lang="en-GB" dirty="0"/>
                          </a:p>
                        </a:txBody>
                        <a:useSpRect/>
                      </a:txSp>
                    </a:sp>
                    <a:sp>
                      <a:nvSpPr>
                        <a:cNvPr id="163" name="TextBox 162"/>
                        <a:cNvSpPr txBox="1"/>
                      </a:nvSpPr>
                      <a:spPr>
                        <a:xfrm>
                          <a:off x="755576" y="3728065"/>
                          <a:ext cx="72008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25 µl</a:t>
                            </a:r>
                            <a:endParaRPr lang="en-GB" dirty="0"/>
                          </a:p>
                        </a:txBody>
                        <a:useSpRect/>
                      </a:txSp>
                    </a:sp>
                    <a:sp>
                      <a:nvSpPr>
                        <a:cNvPr id="165" name="TextBox 164"/>
                        <a:cNvSpPr txBox="1"/>
                      </a:nvSpPr>
                      <a:spPr>
                        <a:xfrm>
                          <a:off x="755576" y="3861048"/>
                          <a:ext cx="72008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20 µl</a:t>
                            </a:r>
                            <a:endParaRPr lang="en-GB" dirty="0"/>
                          </a:p>
                        </a:txBody>
                        <a:useSpRect/>
                      </a:txSp>
                    </a:sp>
                    <a:sp>
                      <a:nvSpPr>
                        <a:cNvPr id="166" name="TextBox 165"/>
                        <a:cNvSpPr txBox="1"/>
                      </a:nvSpPr>
                      <a:spPr>
                        <a:xfrm>
                          <a:off x="755576" y="4005064"/>
                          <a:ext cx="72008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15 µl</a:t>
                            </a:r>
                            <a:endParaRPr lang="en-GB" dirty="0"/>
                          </a:p>
                        </a:txBody>
                        <a:useSpRect/>
                      </a:txSp>
                    </a:sp>
                    <a:sp>
                      <a:nvSpPr>
                        <a:cNvPr id="167" name="TextBox 166"/>
                        <a:cNvSpPr txBox="1"/>
                      </a:nvSpPr>
                      <a:spPr>
                        <a:xfrm>
                          <a:off x="755576" y="4149080"/>
                          <a:ext cx="72008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10 µl</a:t>
                            </a:r>
                            <a:endParaRPr lang="en-GB" dirty="0"/>
                          </a:p>
                        </a:txBody>
                        <a:useSpRect/>
                      </a:txSp>
                    </a:sp>
                    <a:sp>
                      <a:nvSpPr>
                        <a:cNvPr id="168" name="TextBox 167"/>
                        <a:cNvSpPr txBox="1"/>
                      </a:nvSpPr>
                      <a:spPr>
                        <a:xfrm>
                          <a:off x="755576" y="4293096"/>
                          <a:ext cx="72008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  5 µl</a:t>
                            </a:r>
                            <a:endParaRPr lang="en-GB" dirty="0"/>
                          </a:p>
                        </a:txBody>
                        <a:useSpRect/>
                      </a:txSp>
                    </a:sp>
                    <a:sp>
                      <a:nvSpPr>
                        <a:cNvPr id="169" name="Rectangle 168"/>
                        <a:cNvSpPr/>
                      </a:nvSpPr>
                      <a:spPr>
                        <a:xfrm>
                          <a:off x="1691680" y="639852"/>
                          <a:ext cx="864096" cy="288032"/>
                        </a:xfrm>
                        <a:prstGeom prst="rect">
                          <a:avLst/>
                        </a:prstGeom>
                        <a:solidFill>
                          <a:schemeClr val="bg1"/>
                        </a:solidFill>
                        <a:ln>
                          <a:solidFill>
                            <a:srgbClr val="9C1D08"/>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0" name="Rectangle 169"/>
                        <a:cNvSpPr/>
                      </a:nvSpPr>
                      <a:spPr>
                        <a:xfrm>
                          <a:off x="4067944" y="1062029"/>
                          <a:ext cx="864096" cy="134723"/>
                        </a:xfrm>
                        <a:prstGeom prst="rect">
                          <a:avLst/>
                        </a:prstGeom>
                        <a:solidFill>
                          <a:srgbClr val="F77A65"/>
                        </a:solidFill>
                        <a:ln>
                          <a:solidFill>
                            <a:srgbClr val="9C1D08"/>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1" name="Rectangle 170"/>
                        <a:cNvSpPr/>
                      </a:nvSpPr>
                      <a:spPr>
                        <a:xfrm flipV="1">
                          <a:off x="6372200" y="639852"/>
                          <a:ext cx="864096" cy="144016"/>
                        </a:xfrm>
                        <a:prstGeom prst="rect">
                          <a:avLst/>
                        </a:prstGeom>
                        <a:solidFill>
                          <a:srgbClr val="9C1D08"/>
                        </a:solidFill>
                        <a:ln w="19050">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2" name="TextBox 171"/>
                        <a:cNvSpPr txBox="1"/>
                      </a:nvSpPr>
                      <a:spPr>
                        <a:xfrm>
                          <a:off x="2557722" y="567844"/>
                          <a:ext cx="1529586" cy="738664"/>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 10 </a:t>
                            </a:r>
                            <a:r>
                              <a:rPr lang="en-GB" sz="1400" dirty="0"/>
                              <a:t>µl </a:t>
                            </a:r>
                            <a:r>
                              <a:rPr lang="en-GB" sz="1400" dirty="0" smtClean="0"/>
                              <a:t>2</a:t>
                            </a:r>
                            <a:r>
                              <a:rPr lang="en-GB" sz="1400" dirty="0" smtClean="0"/>
                              <a:t>0</a:t>
                            </a:r>
                            <a:r>
                              <a:rPr lang="en-GB" sz="1400" dirty="0" smtClean="0"/>
                              <a:t>% serum</a:t>
                            </a:r>
                          </a:p>
                          <a:p>
                            <a:r>
                              <a:rPr lang="en-GB" sz="1400" dirty="0" smtClean="0"/>
                              <a:t> medium per well</a:t>
                            </a:r>
                          </a:p>
                          <a:p>
                            <a:r>
                              <a:rPr lang="en-GB" sz="1400" dirty="0" smtClean="0"/>
                              <a:t> in 3 columns</a:t>
                            </a:r>
                            <a:endParaRPr lang="en-GB" sz="1400" dirty="0"/>
                          </a:p>
                        </a:txBody>
                        <a:useSpRect/>
                      </a:txSp>
                    </a:sp>
                    <a:sp>
                      <a:nvSpPr>
                        <a:cNvPr id="174" name="TextBox 173"/>
                        <a:cNvSpPr txBox="1"/>
                      </a:nvSpPr>
                      <a:spPr>
                        <a:xfrm>
                          <a:off x="323528" y="5445224"/>
                          <a:ext cx="1296144"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Total no. of </a:t>
                            </a:r>
                            <a:r>
                              <a:rPr lang="en-GB" dirty="0" err="1" smtClean="0"/>
                              <a:t>cells.well</a:t>
                            </a:r>
                            <a:r>
                              <a:rPr lang="en-GB" baseline="30000" dirty="0" smtClean="0"/>
                              <a:t>-1</a:t>
                            </a:r>
                            <a:endParaRPr lang="en-GB" dirty="0"/>
                          </a:p>
                        </a:txBody>
                        <a:useSpRect/>
                      </a:txSp>
                    </a:sp>
                    <a:sp>
                      <a:nvSpPr>
                        <a:cNvPr id="179" name="TextBox 178"/>
                        <a:cNvSpPr txBox="1"/>
                      </a:nvSpPr>
                      <a:spPr>
                        <a:xfrm>
                          <a:off x="1691680" y="5517232"/>
                          <a:ext cx="86409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b="1" dirty="0" smtClean="0">
                                <a:solidFill>
                                  <a:schemeClr val="bg1"/>
                                </a:solidFill>
                                <a:effectLst>
                                  <a:glow rad="101600">
                                    <a:schemeClr val="accent2">
                                      <a:satMod val="175000"/>
                                      <a:alpha val="40000"/>
                                    </a:schemeClr>
                                  </a:glow>
                                </a:effectLst>
                              </a:rPr>
                              <a:t>4,000</a:t>
                            </a:r>
                            <a:endParaRPr lang="en-GB" b="1" dirty="0">
                              <a:solidFill>
                                <a:schemeClr val="bg1"/>
                              </a:solidFill>
                              <a:effectLst>
                                <a:glow rad="101600">
                                  <a:schemeClr val="accent2">
                                    <a:satMod val="175000"/>
                                    <a:alpha val="40000"/>
                                  </a:schemeClr>
                                </a:glow>
                              </a:effectLst>
                            </a:endParaRPr>
                          </a:p>
                        </a:txBody>
                        <a:useSpRect/>
                      </a:txSp>
                    </a:sp>
                    <a:sp>
                      <a:nvSpPr>
                        <a:cNvPr id="180" name="TextBox 179"/>
                        <a:cNvSpPr txBox="1"/>
                      </a:nvSpPr>
                      <a:spPr>
                        <a:xfrm>
                          <a:off x="2555776" y="5517232"/>
                          <a:ext cx="86409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b="1" dirty="0" smtClean="0">
                                <a:solidFill>
                                  <a:schemeClr val="bg1"/>
                                </a:solidFill>
                                <a:effectLst>
                                  <a:glow rad="101600">
                                    <a:schemeClr val="accent2">
                                      <a:satMod val="175000"/>
                                      <a:alpha val="40000"/>
                                    </a:schemeClr>
                                  </a:glow>
                                </a:effectLst>
                              </a:rPr>
                              <a:t>3,500</a:t>
                            </a:r>
                            <a:endParaRPr lang="en-GB" b="1" dirty="0">
                              <a:solidFill>
                                <a:schemeClr val="bg1"/>
                              </a:solidFill>
                              <a:effectLst>
                                <a:glow rad="101600">
                                  <a:schemeClr val="accent2">
                                    <a:satMod val="175000"/>
                                    <a:alpha val="40000"/>
                                  </a:schemeClr>
                                </a:glow>
                              </a:effectLst>
                            </a:endParaRPr>
                          </a:p>
                        </a:txBody>
                        <a:useSpRect/>
                      </a:txSp>
                    </a:sp>
                    <a:sp>
                      <a:nvSpPr>
                        <a:cNvPr id="181" name="TextBox 180"/>
                        <a:cNvSpPr txBox="1"/>
                      </a:nvSpPr>
                      <a:spPr>
                        <a:xfrm>
                          <a:off x="3419872" y="5517232"/>
                          <a:ext cx="86409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b="1" dirty="0" smtClean="0">
                                <a:solidFill>
                                  <a:schemeClr val="bg1"/>
                                </a:solidFill>
                                <a:effectLst>
                                  <a:glow rad="101600">
                                    <a:schemeClr val="accent2">
                                      <a:satMod val="175000"/>
                                      <a:alpha val="40000"/>
                                    </a:schemeClr>
                                  </a:glow>
                                </a:effectLst>
                              </a:rPr>
                              <a:t>3,000</a:t>
                            </a:r>
                            <a:endParaRPr lang="en-GB" b="1" dirty="0">
                              <a:solidFill>
                                <a:schemeClr val="bg1"/>
                              </a:solidFill>
                              <a:effectLst>
                                <a:glow rad="101600">
                                  <a:schemeClr val="accent2">
                                    <a:satMod val="175000"/>
                                    <a:alpha val="40000"/>
                                  </a:schemeClr>
                                </a:glow>
                              </a:effectLst>
                            </a:endParaRPr>
                          </a:p>
                        </a:txBody>
                        <a:useSpRect/>
                      </a:txSp>
                    </a:sp>
                    <a:sp>
                      <a:nvSpPr>
                        <a:cNvPr id="182" name="TextBox 181"/>
                        <a:cNvSpPr txBox="1"/>
                      </a:nvSpPr>
                      <a:spPr>
                        <a:xfrm>
                          <a:off x="4283968" y="5517232"/>
                          <a:ext cx="86409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b="1" dirty="0" smtClean="0">
                                <a:solidFill>
                                  <a:schemeClr val="bg1"/>
                                </a:solidFill>
                                <a:effectLst>
                                  <a:glow rad="101600">
                                    <a:schemeClr val="accent2">
                                      <a:satMod val="175000"/>
                                      <a:alpha val="40000"/>
                                    </a:schemeClr>
                                  </a:glow>
                                </a:effectLst>
                              </a:rPr>
                              <a:t>2,500</a:t>
                            </a:r>
                            <a:endParaRPr lang="en-GB" b="1" dirty="0">
                              <a:solidFill>
                                <a:schemeClr val="bg1"/>
                              </a:solidFill>
                              <a:effectLst>
                                <a:glow rad="101600">
                                  <a:schemeClr val="accent2">
                                    <a:satMod val="175000"/>
                                    <a:alpha val="40000"/>
                                  </a:schemeClr>
                                </a:glow>
                              </a:effectLst>
                            </a:endParaRPr>
                          </a:p>
                        </a:txBody>
                        <a:useSpRect/>
                      </a:txSp>
                    </a:sp>
                    <a:sp>
                      <a:nvSpPr>
                        <a:cNvPr id="184" name="TextBox 183"/>
                        <a:cNvSpPr txBox="1"/>
                      </a:nvSpPr>
                      <a:spPr>
                        <a:xfrm>
                          <a:off x="5148064" y="5517232"/>
                          <a:ext cx="86409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b="1" dirty="0" smtClean="0">
                                <a:solidFill>
                                  <a:schemeClr val="bg1"/>
                                </a:solidFill>
                                <a:effectLst>
                                  <a:glow rad="101600">
                                    <a:schemeClr val="accent2">
                                      <a:satMod val="175000"/>
                                      <a:alpha val="40000"/>
                                    </a:schemeClr>
                                  </a:glow>
                                </a:effectLst>
                              </a:rPr>
                              <a:t>2,000</a:t>
                            </a:r>
                            <a:endParaRPr lang="en-GB" b="1" dirty="0">
                              <a:solidFill>
                                <a:schemeClr val="bg1"/>
                              </a:solidFill>
                              <a:effectLst>
                                <a:glow rad="101600">
                                  <a:schemeClr val="accent2">
                                    <a:satMod val="175000"/>
                                    <a:alpha val="40000"/>
                                  </a:schemeClr>
                                </a:glow>
                              </a:effectLst>
                            </a:endParaRPr>
                          </a:p>
                        </a:txBody>
                        <a:useSpRect/>
                      </a:txSp>
                    </a:sp>
                    <a:sp>
                      <a:nvSpPr>
                        <a:cNvPr id="186" name="TextBox 185"/>
                        <a:cNvSpPr txBox="1"/>
                      </a:nvSpPr>
                      <a:spPr>
                        <a:xfrm>
                          <a:off x="6012160" y="5517232"/>
                          <a:ext cx="86409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b="1" dirty="0" smtClean="0">
                                <a:solidFill>
                                  <a:schemeClr val="bg1"/>
                                </a:solidFill>
                                <a:effectLst>
                                  <a:glow rad="101600">
                                    <a:schemeClr val="accent2">
                                      <a:satMod val="175000"/>
                                      <a:alpha val="40000"/>
                                    </a:schemeClr>
                                  </a:glow>
                                </a:effectLst>
                              </a:rPr>
                              <a:t>1,500</a:t>
                            </a:r>
                            <a:endParaRPr lang="en-GB" b="1" dirty="0">
                              <a:solidFill>
                                <a:schemeClr val="bg1"/>
                              </a:solidFill>
                              <a:effectLst>
                                <a:glow rad="101600">
                                  <a:schemeClr val="accent2">
                                    <a:satMod val="175000"/>
                                    <a:alpha val="40000"/>
                                  </a:schemeClr>
                                </a:glow>
                              </a:effectLst>
                            </a:endParaRPr>
                          </a:p>
                        </a:txBody>
                        <a:useSpRect/>
                      </a:txSp>
                    </a:sp>
                    <a:sp>
                      <a:nvSpPr>
                        <a:cNvPr id="187" name="TextBox 186"/>
                        <a:cNvSpPr txBox="1"/>
                      </a:nvSpPr>
                      <a:spPr>
                        <a:xfrm>
                          <a:off x="6876256" y="5517232"/>
                          <a:ext cx="86409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b="1" dirty="0" smtClean="0">
                                <a:solidFill>
                                  <a:schemeClr val="bg1"/>
                                </a:solidFill>
                                <a:effectLst>
                                  <a:glow rad="139700">
                                    <a:schemeClr val="accent2">
                                      <a:satMod val="175000"/>
                                      <a:alpha val="40000"/>
                                    </a:schemeClr>
                                  </a:glow>
                                </a:effectLst>
                              </a:rPr>
                              <a:t>1,000</a:t>
                            </a:r>
                            <a:endParaRPr lang="en-GB" b="1" dirty="0">
                              <a:solidFill>
                                <a:schemeClr val="bg1"/>
                              </a:solidFill>
                              <a:effectLst>
                                <a:glow rad="139700">
                                  <a:schemeClr val="accent2">
                                    <a:satMod val="175000"/>
                                    <a:alpha val="40000"/>
                                  </a:schemeClr>
                                </a:glow>
                              </a:effectLst>
                            </a:endParaRPr>
                          </a:p>
                        </a:txBody>
                        <a:useSpRect/>
                      </a:txSp>
                    </a:sp>
                    <a:sp>
                      <a:nvSpPr>
                        <a:cNvPr id="189" name="TextBox 188"/>
                        <a:cNvSpPr txBox="1"/>
                      </a:nvSpPr>
                      <a:spPr>
                        <a:xfrm>
                          <a:off x="7740352" y="5517232"/>
                          <a:ext cx="86409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b="1" dirty="0" smtClean="0">
                                <a:solidFill>
                                  <a:srgbClr val="6E1506"/>
                                </a:solidFill>
                                <a:effectLst/>
                              </a:rPr>
                              <a:t>500</a:t>
                            </a:r>
                            <a:endParaRPr lang="en-GB" b="1" dirty="0">
                              <a:solidFill>
                                <a:srgbClr val="6E1506"/>
                              </a:solidFill>
                              <a:effectLst/>
                            </a:endParaRPr>
                          </a:p>
                        </a:txBody>
                        <a:useSpRect/>
                      </a:txSp>
                    </a:sp>
                    <a:sp>
                      <a:nvSpPr>
                        <a:cNvPr id="244" name="TextBox 243"/>
                        <a:cNvSpPr txBox="1"/>
                      </a:nvSpPr>
                      <a:spPr>
                        <a:xfrm>
                          <a:off x="179512" y="4653136"/>
                          <a:ext cx="1547664"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Plate column no.:</a:t>
                            </a:r>
                            <a:endParaRPr lang="en-GB" dirty="0"/>
                          </a:p>
                        </a:txBody>
                        <a:useSpRect/>
                      </a:txSp>
                    </a:sp>
                    <a:sp>
                      <a:nvSpPr>
                        <a:cNvPr id="110" name="Rectangle 109"/>
                        <a:cNvSpPr/>
                      </a:nvSpPr>
                      <a:spPr>
                        <a:xfrm>
                          <a:off x="2555776" y="3429000"/>
                          <a:ext cx="864096" cy="144925"/>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5" name="Rectangle 114"/>
                        <a:cNvSpPr/>
                      </a:nvSpPr>
                      <a:spPr>
                        <a:xfrm>
                          <a:off x="5148064" y="3717032"/>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19" name="Rectangle 118"/>
                        <a:cNvSpPr/>
                      </a:nvSpPr>
                      <a:spPr>
                        <a:xfrm>
                          <a:off x="4283968" y="3716123"/>
                          <a:ext cx="864096" cy="144925"/>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0" name="Rectangle 119"/>
                        <a:cNvSpPr/>
                      </a:nvSpPr>
                      <a:spPr>
                        <a:xfrm>
                          <a:off x="6876256" y="4005064"/>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24" name="Rectangle 123"/>
                        <a:cNvSpPr/>
                      </a:nvSpPr>
                      <a:spPr>
                        <a:xfrm>
                          <a:off x="6012160" y="4004155"/>
                          <a:ext cx="864096" cy="144925"/>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6" name="Rectangle 145"/>
                        <a:cNvSpPr/>
                      </a:nvSpPr>
                      <a:spPr>
                        <a:xfrm>
                          <a:off x="7740352" y="4005064"/>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47" name="Rectangle 146"/>
                        <a:cNvSpPr/>
                      </a:nvSpPr>
                      <a:spPr>
                        <a:xfrm>
                          <a:off x="7740352" y="4293096"/>
                          <a:ext cx="864096" cy="144925"/>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57" name="Rectangle 156"/>
                        <a:cNvSpPr/>
                      </a:nvSpPr>
                      <a:spPr>
                        <a:xfrm>
                          <a:off x="4283968" y="3429000"/>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59" name="Rectangle 158"/>
                        <a:cNvSpPr/>
                      </a:nvSpPr>
                      <a:spPr>
                        <a:xfrm>
                          <a:off x="5148064" y="3429000"/>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64" name="Rectangle 163"/>
                        <a:cNvSpPr/>
                      </a:nvSpPr>
                      <a:spPr>
                        <a:xfrm>
                          <a:off x="6012160" y="3429000"/>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3" name="Rectangle 172"/>
                        <a:cNvSpPr/>
                      </a:nvSpPr>
                      <a:spPr>
                        <a:xfrm>
                          <a:off x="6876256" y="3429000"/>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5" name="Rectangle 174"/>
                        <a:cNvSpPr/>
                      </a:nvSpPr>
                      <a:spPr>
                        <a:xfrm>
                          <a:off x="7740352" y="3429000"/>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6" name="Rectangle 175"/>
                        <a:cNvSpPr/>
                      </a:nvSpPr>
                      <a:spPr>
                        <a:xfrm>
                          <a:off x="6012160" y="3717032"/>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7" name="Rectangle 176"/>
                        <a:cNvSpPr/>
                      </a:nvSpPr>
                      <a:spPr>
                        <a:xfrm>
                          <a:off x="6876256" y="3717032"/>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78" name="Rectangle 177"/>
                        <a:cNvSpPr/>
                      </a:nvSpPr>
                      <a:spPr>
                        <a:xfrm>
                          <a:off x="7740352" y="3717032"/>
                          <a:ext cx="864096" cy="288032"/>
                        </a:xfrm>
                        <a:prstGeom prst="rect">
                          <a:avLst/>
                        </a:prstGeom>
                        <a:solidFill>
                          <a:srgbClr val="F55237"/>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83" name="Rectangle 182"/>
                        <a:cNvSpPr/>
                      </a:nvSpPr>
                      <a:spPr>
                        <a:xfrm>
                          <a:off x="1691680" y="1988840"/>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85" name="Rectangle 184"/>
                        <a:cNvSpPr/>
                      </a:nvSpPr>
                      <a:spPr>
                        <a:xfrm>
                          <a:off x="2555776" y="1988840"/>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88" name="Rectangle 187"/>
                        <a:cNvSpPr/>
                      </a:nvSpPr>
                      <a:spPr>
                        <a:xfrm>
                          <a:off x="3419872" y="1988840"/>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1" name="Rectangle 190"/>
                        <a:cNvSpPr/>
                      </a:nvSpPr>
                      <a:spPr>
                        <a:xfrm>
                          <a:off x="7740352" y="1988840"/>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2" name="Rectangle 191"/>
                        <a:cNvSpPr/>
                      </a:nvSpPr>
                      <a:spPr>
                        <a:xfrm>
                          <a:off x="6876256" y="1988840"/>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3" name="Rectangle 192"/>
                        <a:cNvSpPr/>
                      </a:nvSpPr>
                      <a:spPr>
                        <a:xfrm>
                          <a:off x="6012160" y="1988840"/>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4" name="Rectangle 193"/>
                        <a:cNvSpPr/>
                      </a:nvSpPr>
                      <a:spPr>
                        <a:xfrm>
                          <a:off x="5148064" y="1988840"/>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5" name="Rectangle 194"/>
                        <a:cNvSpPr/>
                      </a:nvSpPr>
                      <a:spPr>
                        <a:xfrm>
                          <a:off x="4283968" y="1988840"/>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6" name="Rectangle 195"/>
                        <a:cNvSpPr/>
                      </a:nvSpPr>
                      <a:spPr>
                        <a:xfrm>
                          <a:off x="1691680" y="2276872"/>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7" name="Rectangle 196"/>
                        <a:cNvSpPr/>
                      </a:nvSpPr>
                      <a:spPr>
                        <a:xfrm>
                          <a:off x="2555776" y="2276872"/>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8" name="Rectangle 197"/>
                        <a:cNvSpPr/>
                      </a:nvSpPr>
                      <a:spPr>
                        <a:xfrm>
                          <a:off x="3419872" y="2276872"/>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199" name="Rectangle 198"/>
                        <a:cNvSpPr/>
                      </a:nvSpPr>
                      <a:spPr>
                        <a:xfrm>
                          <a:off x="7740352" y="2276872"/>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00" name="Rectangle 199"/>
                        <a:cNvSpPr/>
                      </a:nvSpPr>
                      <a:spPr>
                        <a:xfrm>
                          <a:off x="6876256" y="2276872"/>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01" name="Rectangle 200"/>
                        <a:cNvSpPr/>
                      </a:nvSpPr>
                      <a:spPr>
                        <a:xfrm>
                          <a:off x="6012160" y="2276872"/>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03" name="Rectangle 202"/>
                        <a:cNvSpPr/>
                      </a:nvSpPr>
                      <a:spPr>
                        <a:xfrm>
                          <a:off x="5148064" y="2276872"/>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1" name="Rectangle 210"/>
                        <a:cNvSpPr/>
                      </a:nvSpPr>
                      <a:spPr>
                        <a:xfrm>
                          <a:off x="4283968" y="2276872"/>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2" name="Rectangle 211"/>
                        <a:cNvSpPr/>
                      </a:nvSpPr>
                      <a:spPr>
                        <a:xfrm>
                          <a:off x="1691680" y="2564904"/>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3" name="Rectangle 212"/>
                        <a:cNvSpPr/>
                      </a:nvSpPr>
                      <a:spPr>
                        <a:xfrm>
                          <a:off x="2555776" y="2564904"/>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4" name="Rectangle 213"/>
                        <a:cNvSpPr/>
                      </a:nvSpPr>
                      <a:spPr>
                        <a:xfrm>
                          <a:off x="3419872" y="2564904"/>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5" name="Rectangle 214"/>
                        <a:cNvSpPr/>
                      </a:nvSpPr>
                      <a:spPr>
                        <a:xfrm>
                          <a:off x="7740352" y="2564904"/>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6" name="Rectangle 215"/>
                        <a:cNvSpPr/>
                      </a:nvSpPr>
                      <a:spPr>
                        <a:xfrm>
                          <a:off x="6876256" y="2564904"/>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7" name="Rectangle 216"/>
                        <a:cNvSpPr/>
                      </a:nvSpPr>
                      <a:spPr>
                        <a:xfrm>
                          <a:off x="6012160" y="2564904"/>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8" name="Rectangle 217"/>
                        <a:cNvSpPr/>
                      </a:nvSpPr>
                      <a:spPr>
                        <a:xfrm>
                          <a:off x="5148064" y="2564904"/>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219" name="Rectangle 218"/>
                        <a:cNvSpPr/>
                      </a:nvSpPr>
                      <a:spPr>
                        <a:xfrm>
                          <a:off x="4283968" y="2564904"/>
                          <a:ext cx="864096" cy="288032"/>
                        </a:xfrm>
                        <a:prstGeom prst="rect">
                          <a:avLst/>
                        </a:prstGeom>
                        <a:solidFill>
                          <a:schemeClr val="bg1"/>
                        </a:solidFill>
                        <a:ln>
                          <a:solidFill>
                            <a:srgbClr val="6E150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20" name="Straight Connector 219"/>
                        <a:cNvCxnSpPr/>
                      </a:nvCxnSpPr>
                      <a:spPr>
                        <a:xfrm flipH="1">
                          <a:off x="1259632" y="2852936"/>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1" name="Straight Connector 220"/>
                        <a:cNvCxnSpPr/>
                      </a:nvCxnSpPr>
                      <a:spPr>
                        <a:xfrm flipH="1">
                          <a:off x="1259632" y="1988840"/>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2" name="Straight Connector 221"/>
                        <a:cNvCxnSpPr/>
                      </a:nvCxnSpPr>
                      <a:spPr>
                        <a:xfrm flipV="1">
                          <a:off x="1259632" y="1988840"/>
                          <a:ext cx="0" cy="864096"/>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4" name="Straight Connector 223"/>
                        <a:cNvCxnSpPr/>
                      </a:nvCxnSpPr>
                      <a:spPr>
                        <a:xfrm flipH="1">
                          <a:off x="971600" y="2420888"/>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225" name="TextBox 224"/>
                        <a:cNvSpPr txBox="1"/>
                      </a:nvSpPr>
                      <a:spPr>
                        <a:xfrm>
                          <a:off x="907976" y="3160385"/>
                          <a:ext cx="72008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50 µl</a:t>
                            </a:r>
                            <a:endParaRPr lang="en-GB" dirty="0"/>
                          </a:p>
                        </a:txBody>
                        <a:useSpRect/>
                      </a:txSp>
                    </a:sp>
                    <a:sp>
                      <a:nvSpPr>
                        <a:cNvPr id="226" name="Rectangle 225"/>
                        <a:cNvSpPr/>
                      </a:nvSpPr>
                      <a:spPr>
                        <a:xfrm>
                          <a:off x="4067944" y="620688"/>
                          <a:ext cx="864096" cy="288032"/>
                        </a:xfrm>
                        <a:prstGeom prst="rect">
                          <a:avLst/>
                        </a:prstGeom>
                        <a:solidFill>
                          <a:srgbClr val="F77A65"/>
                        </a:solidFill>
                        <a:ln>
                          <a:solidFill>
                            <a:srgbClr val="9C1D08"/>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roofErr w:type="gramStart"/>
      <w:r w:rsidRPr="00F66F5A">
        <w:rPr>
          <w:rFonts w:asciiTheme="majorHAnsi" w:hAnsiTheme="majorHAnsi"/>
          <w:b/>
        </w:rPr>
        <w:t>Figure 4.</w:t>
      </w:r>
      <w:r w:rsidR="00F66F5A" w:rsidRPr="00F66F5A">
        <w:rPr>
          <w:rFonts w:asciiTheme="majorHAnsi" w:hAnsiTheme="majorHAnsi"/>
          <w:b/>
        </w:rPr>
        <w:t>2</w:t>
      </w:r>
      <w:r w:rsidRPr="00F66F5A">
        <w:rPr>
          <w:rFonts w:asciiTheme="majorHAnsi" w:hAnsiTheme="majorHAnsi"/>
          <w:b/>
        </w:rPr>
        <w:t>.</w:t>
      </w:r>
      <w:proofErr w:type="gramEnd"/>
      <w:r w:rsidRPr="00F66F5A">
        <w:rPr>
          <w:rFonts w:asciiTheme="majorHAnsi" w:hAnsiTheme="majorHAnsi"/>
          <w:b/>
        </w:rPr>
        <w:t xml:space="preserve"> </w:t>
      </w:r>
      <w:proofErr w:type="gramStart"/>
      <w:r w:rsidRPr="00F66F5A">
        <w:rPr>
          <w:rFonts w:asciiTheme="majorHAnsi" w:hAnsiTheme="majorHAnsi"/>
          <w:b/>
        </w:rPr>
        <w:t>A schematic of serial dilution of stably transfected S2R+ cells.</w:t>
      </w:r>
      <w:proofErr w:type="gramEnd"/>
      <w:r w:rsidRPr="0013327C">
        <w:rPr>
          <w:rFonts w:asciiTheme="majorHAnsi" w:hAnsiTheme="majorHAnsi"/>
        </w:rPr>
        <w:t xml:space="preserve"> Three columns of an assay plate (48 wells) per cell density were filled in 5µl increments </w:t>
      </w:r>
      <w:proofErr w:type="gramStart"/>
      <w:r w:rsidRPr="0013327C">
        <w:rPr>
          <w:rFonts w:asciiTheme="majorHAnsi" w:hAnsiTheme="majorHAnsi"/>
        </w:rPr>
        <w:t>of 10</w:t>
      </w:r>
      <w:r w:rsidRPr="0013327C">
        <w:rPr>
          <w:rFonts w:asciiTheme="majorHAnsi" w:hAnsiTheme="majorHAnsi"/>
          <w:vertAlign w:val="superscript"/>
        </w:rPr>
        <w:t>5</w:t>
      </w:r>
      <w:r w:rsidRPr="0013327C">
        <w:rPr>
          <w:rFonts w:asciiTheme="majorHAnsi" w:hAnsiTheme="majorHAnsi"/>
        </w:rPr>
        <w:t xml:space="preserve"> cells.ml</w:t>
      </w:r>
      <w:r w:rsidRPr="0013327C">
        <w:rPr>
          <w:rFonts w:asciiTheme="majorHAnsi" w:hAnsiTheme="majorHAnsi"/>
          <w:vertAlign w:val="superscript"/>
        </w:rPr>
        <w:t>-1</w:t>
      </w:r>
      <w:r w:rsidRPr="0013327C">
        <w:rPr>
          <w:rFonts w:asciiTheme="majorHAnsi" w:hAnsiTheme="majorHAnsi"/>
        </w:rPr>
        <w:t xml:space="preserve"> (500 cells per 5 µl) in SFM</w:t>
      </w:r>
      <w:proofErr w:type="gramEnd"/>
      <w:r w:rsidRPr="0013327C">
        <w:rPr>
          <w:rFonts w:asciiTheme="majorHAnsi" w:hAnsiTheme="majorHAnsi"/>
        </w:rPr>
        <w:t xml:space="preserve"> and made up to 40µl with SFM. 40µl 20% serum-containing medium containing no cells was added to make 10% serum-containing medium in total. After an hour the cells settled and 30µl was aspirated.</w:t>
      </w:r>
    </w:p>
    <w:p w:rsidR="00C3380A" w:rsidRPr="0013327C" w:rsidRDefault="00C3380A" w:rsidP="00AE0264">
      <w:pPr>
        <w:pStyle w:val="Heading2"/>
        <w:jc w:val="both"/>
      </w:pPr>
      <w:bookmarkStart w:id="111" w:name="_Toc348423363"/>
      <w:r w:rsidRPr="0013327C">
        <w:t xml:space="preserve">Reduction of </w:t>
      </w:r>
      <w:r w:rsidR="00F66F5A">
        <w:t>CuSO</w:t>
      </w:r>
      <w:r w:rsidR="00F66F5A">
        <w:rPr>
          <w:vertAlign w:val="subscript"/>
        </w:rPr>
        <w:t>4</w:t>
      </w:r>
      <w:r w:rsidRPr="0013327C">
        <w:t xml:space="preserve"> concentration </w:t>
      </w:r>
      <w:r w:rsidR="00E25F9C">
        <w:t>to induce expression of</w:t>
      </w:r>
      <w:r w:rsidRPr="0013327C">
        <w:t xml:space="preserve"> </w:t>
      </w:r>
      <w:r w:rsidR="00E25F9C">
        <w:t>s</w:t>
      </w:r>
      <w:r w:rsidRPr="0013327C">
        <w:t>tably transfected cells</w:t>
      </w:r>
      <w:bookmarkEnd w:id="111"/>
    </w:p>
    <w:p w:rsidR="00C3380A" w:rsidRPr="0013327C" w:rsidRDefault="00C3380A" w:rsidP="00AE0264">
      <w:pPr>
        <w:jc w:val="both"/>
        <w:rPr>
          <w:rFonts w:asciiTheme="majorHAnsi" w:hAnsiTheme="majorHAnsi"/>
        </w:rPr>
      </w:pPr>
      <w:r w:rsidRPr="0013327C">
        <w:rPr>
          <w:rFonts w:asciiTheme="majorHAnsi" w:hAnsiTheme="majorHAnsi"/>
        </w:rPr>
        <w:t xml:space="preserve">The use of selectable plasmids in cell lines causes the formation of “transgene arrays”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"10.1002/cm.20124", "abstract" : "In this study we describe a novel Drosophila protein Jupiter, which shares properties with several structural microtubule-associated proteins (MAPs) including TAU, MAP2, MAP4. Jupiter is a soluble unfolded molecule with the high net positive charge, rich in Glycine. It possesses two degenerated repeats around the sequence PPGG, separated by a Serine-rich region. Jupiter associates with microtubules in vitro and, fused with the green fluorescent protein (GFP), is an excellent marker to follow microtubule dynamics in vivo. In a jupiter transgenic Drosophila strain generated by the \"protein-trap\" technique, Jupiter:GFP fusion protein localizes to the microtubule network through the cell cycle at the different stages of development. We found particularly high Jupiter:GFP concentrations in the young embryo, larval nervous system, precursors of eye photoreceptors and adult ovary. Moreover, from jupiter:gfp embryos we have established two permanent cell lines presenting strongly fluorescent microtubules during the whole cell cycle. In these cells, the distribution of the Jupiter:GFP fusion protein reproduces microtubule behavior upon treatment by the drugs colchicine and taxol. The jupiter cell lines and fly strain should be of wide interest for biologists interested in in vivo analysis of microtubule dynamics.", "author" : [ { "dropping-particle" : "", "family" : "Karpova", "given" : "Nina", "non-dropping-particle" : "", "parse-names" : false, "suffix" : "" }, { "dropping-particle" : "", "family" : "Bobinnec", "given" : "Yves", "non-dropping-particle" : "", "parse-names" : false, "suffix" : "" }, { "dropping-particle" : "", "family" : "Fouix", "given" : "Sylvaine", "non-dropping-particle" : "", "parse-names" : false, "suffix" : "" }, { "dropping-particle" : "", "family" : "Huitorel", "given" : "Philippe", "non-dropping-particle" : "", "parse-names" : false, "suffix" : "" }, { "dropping-particle" : "", "family" : "Debec", "given" : "Alain", "non-dropping-particle" : "", "parse-names" : false, "suffix" : "" } ], "container-title" : "Cell motility and the cytoskeleton", "id" : "ITEM-1", "issue" : "5", "issued" : { "date-parts" : [ [ "2006", "5" ] ] }, "page" : "301-12", "title" : "Jupiter, a new Drosophila protein associated with microtubules.", "type" : "article-journal", "volume" : "63" }, "uris" : [ "http://www.mendeley.com/documents/?uuid=5d6c39d8-f618-47a9-a5fd-dc50124293be" ] } ], "mendeley" : { "previouslyFormattedCitation" : "(Karpova et al. 2006)"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(Karpova </w:t>
      </w:r>
      <w:r w:rsidR="00466108" w:rsidRPr="00466108">
        <w:rPr>
          <w:rFonts w:asciiTheme="majorHAnsi" w:hAnsiTheme="majorHAnsi"/>
          <w:i/>
          <w:noProof/>
        </w:rPr>
        <w:t>et al</w:t>
      </w:r>
      <w:r w:rsidRPr="0013327C">
        <w:rPr>
          <w:rFonts w:asciiTheme="majorHAnsi" w:hAnsiTheme="majorHAnsi"/>
          <w:noProof/>
        </w:rPr>
        <w:t>. 2006)</w:t>
      </w:r>
      <w:r w:rsidR="009A1FEC" w:rsidRPr="0013327C">
        <w:rPr>
          <w:rFonts w:asciiTheme="majorHAnsi" w:hAnsiTheme="majorHAnsi"/>
        </w:rPr>
        <w:fldChar w:fldCharType="end"/>
      </w:r>
      <w:r w:rsidRPr="0013327C">
        <w:rPr>
          <w:rFonts w:asciiTheme="majorHAnsi" w:hAnsiTheme="majorHAnsi"/>
        </w:rPr>
        <w:t xml:space="preserve"> and is the main cause of high heterogeneity in transgene expression. </w:t>
      </w:r>
      <w:r w:rsidR="00B84C3F">
        <w:rPr>
          <w:rFonts w:asciiTheme="majorHAnsi" w:hAnsiTheme="majorHAnsi"/>
        </w:rPr>
        <w:t xml:space="preserve">In short this is the uneven number of copies of the selectable plasmid that are </w:t>
      </w:r>
      <w:r w:rsidR="00B427CD">
        <w:rPr>
          <w:rFonts w:asciiTheme="majorHAnsi" w:hAnsiTheme="majorHAnsi"/>
        </w:rPr>
        <w:t xml:space="preserve">multiplied in high quantity within each cell. After transcription takes place this amplifies the uneven levels of transcript from which the marker protein can be translated. </w:t>
      </w:r>
      <w:r w:rsidRPr="0013327C">
        <w:rPr>
          <w:rFonts w:asciiTheme="majorHAnsi" w:hAnsiTheme="majorHAnsi"/>
        </w:rPr>
        <w:t xml:space="preserve">The result for the current assay was that many cells had excessively bright peroxisomes at 100µM induction concentration, much brighter than required for segmentation. A significant presence of the marker accumulated in the cytosol of WT cells. </w:t>
      </w:r>
    </w:p>
    <w:p w:rsidR="00C3380A" w:rsidRPr="0013327C" w:rsidRDefault="00C3380A" w:rsidP="00AE0264">
      <w:pPr>
        <w:jc w:val="both"/>
        <w:rPr>
          <w:rFonts w:asciiTheme="majorHAnsi" w:hAnsiTheme="majorHAnsi"/>
        </w:rPr>
      </w:pPr>
      <w:r w:rsidRPr="0013327C">
        <w:rPr>
          <w:rFonts w:asciiTheme="majorHAnsi" w:hAnsiTheme="majorHAnsi"/>
        </w:rPr>
        <w:t>To increase the contrast between the peroxisomal and the cytosolic eGFP signal it was investigated to see if the pMt promoter was able to be variably induced by using a range of different CuSO</w:t>
      </w:r>
      <w:r w:rsidRPr="0013327C">
        <w:rPr>
          <w:rFonts w:asciiTheme="majorHAnsi" w:hAnsiTheme="majorHAnsi"/>
          <w:vertAlign w:val="subscript"/>
        </w:rPr>
        <w:t>4</w:t>
      </w:r>
      <w:r w:rsidRPr="0013327C">
        <w:rPr>
          <w:rFonts w:asciiTheme="majorHAnsi" w:hAnsiTheme="majorHAnsi"/>
        </w:rPr>
        <w:t xml:space="preserve"> concentrations, thus </w:t>
      </w:r>
      <w:proofErr w:type="gramStart"/>
      <w:r w:rsidRPr="0013327C">
        <w:rPr>
          <w:rFonts w:asciiTheme="majorHAnsi" w:hAnsiTheme="majorHAnsi"/>
        </w:rPr>
        <w:t>titrating</w:t>
      </w:r>
      <w:proofErr w:type="gramEnd"/>
      <w:r w:rsidRPr="0013327C">
        <w:rPr>
          <w:rFonts w:asciiTheme="majorHAnsi" w:hAnsiTheme="majorHAnsi"/>
        </w:rPr>
        <w:t xml:space="preserve"> the optimum induction concentration. Cells transfected stably with selectable eGFP-PTS1 were grown on </w:t>
      </w:r>
      <w:r w:rsidRPr="0013327C">
        <w:rPr>
          <w:rFonts w:asciiTheme="majorHAnsi" w:hAnsiTheme="majorHAnsi"/>
        </w:rPr>
        <w:lastRenderedPageBreak/>
        <w:t>coverslips in 6-well plates, seeded at 1x10</w:t>
      </w:r>
      <w:r w:rsidRPr="0013327C">
        <w:rPr>
          <w:rFonts w:asciiTheme="majorHAnsi" w:hAnsiTheme="majorHAnsi"/>
          <w:vertAlign w:val="superscript"/>
        </w:rPr>
        <w:t>6</w:t>
      </w:r>
      <w:r w:rsidRPr="0013327C">
        <w:rPr>
          <w:rFonts w:asciiTheme="majorHAnsi" w:hAnsiTheme="majorHAnsi"/>
        </w:rPr>
        <w:t xml:space="preserve"> per well. They were immediately induced with copper sulphate at 100µM, 50µM, 20µM, 10µM, 5µM, 2µM and </w:t>
      </w:r>
      <w:r w:rsidR="00E25F9C">
        <w:rPr>
          <w:rFonts w:asciiTheme="majorHAnsi" w:hAnsiTheme="majorHAnsi"/>
        </w:rPr>
        <w:t>compared with WT.</w:t>
      </w:r>
      <w:r w:rsidRPr="0013327C">
        <w:rPr>
          <w:rFonts w:asciiTheme="majorHAnsi" w:hAnsiTheme="majorHAnsi"/>
        </w:rPr>
        <w:t xml:space="preserve"> </w:t>
      </w:r>
      <w:r w:rsidR="00E25F9C">
        <w:rPr>
          <w:rFonts w:asciiTheme="majorHAnsi" w:hAnsiTheme="majorHAnsi"/>
        </w:rPr>
        <w:t>A</w:t>
      </w:r>
      <w:r w:rsidRPr="0013327C">
        <w:rPr>
          <w:rFonts w:asciiTheme="majorHAnsi" w:hAnsiTheme="majorHAnsi"/>
        </w:rPr>
        <w:t xml:space="preserve">fter 16 hours </w:t>
      </w:r>
      <w:r w:rsidR="00E25F9C">
        <w:rPr>
          <w:rFonts w:asciiTheme="majorHAnsi" w:hAnsiTheme="majorHAnsi"/>
        </w:rPr>
        <w:t>m</w:t>
      </w:r>
      <w:r w:rsidRPr="0013327C">
        <w:rPr>
          <w:rFonts w:asciiTheme="majorHAnsi" w:hAnsiTheme="majorHAnsi"/>
        </w:rPr>
        <w:t>ore than half of the cells induced at 100µM CuSO</w:t>
      </w:r>
      <w:r w:rsidRPr="0013327C">
        <w:rPr>
          <w:rFonts w:asciiTheme="majorHAnsi" w:hAnsiTheme="majorHAnsi"/>
          <w:vertAlign w:val="subscript"/>
        </w:rPr>
        <w:t>4</w:t>
      </w:r>
      <w:r w:rsidRPr="0013327C">
        <w:rPr>
          <w:rFonts w:asciiTheme="majorHAnsi" w:hAnsiTheme="majorHAnsi"/>
        </w:rPr>
        <w:t xml:space="preserve"> had varying levels of cytosolic eGFP and many had extremely bright peroxisomes. This is the concentration that had been used since re-developing the assay for the new plasmid had begun. Those with the brightest cytosol obscured the presence of puncta and would have appeared as a KD phenotype in the screen had these conditions been used. The 50µM and 20µM CuSO4 showed virtually no cytosolic eGFP. Visually the 50µM cells had the highest contrast with the cytosol compared with 100µM and 20µM. The 10 µM, 5 µM and 2 µM cells showed decreasing brightness of puncta against an apparently empty cytosol, the 5 µM and 2 µM tests were barely visible. In uninduced cells a barely visible punctate pattern was also observed, comparable to those of 5mM and 2mM. This indicates that the pMt promoter on the pMK33-pMt/Hy plasmid is not completely quiescent when not induced.</w:t>
      </w:r>
    </w:p>
    <w:p w:rsidR="00C3380A" w:rsidRPr="0013327C" w:rsidRDefault="00C3380A" w:rsidP="00AE0264">
      <w:pPr>
        <w:jc w:val="both"/>
        <w:rPr>
          <w:rFonts w:asciiTheme="majorHAnsi" w:hAnsiTheme="majorHAnsi"/>
        </w:rPr>
      </w:pPr>
      <w:r w:rsidRPr="0013327C">
        <w:rPr>
          <w:rFonts w:asciiTheme="majorHAnsi" w:hAnsiTheme="majorHAnsi"/>
          <w:b/>
          <w:noProof/>
          <w:lang w:eastAsia="en-GB"/>
        </w:rPr>
        <w:drawing>
          <wp:inline distT="0" distB="0" distL="0" distR="0">
            <wp:extent cx="5126387" cy="1534332"/>
            <wp:effectExtent l="19050" t="0" r="0" b="0"/>
            <wp:docPr id="177"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0960" cy="2601580"/>
                      <a:chOff x="251520" y="2128210"/>
                      <a:chExt cx="8640960" cy="2601580"/>
                    </a:xfrm>
                  </a:grpSpPr>
                  <a:grpSp>
                    <a:nvGrpSpPr>
                      <a:cNvPr id="15" name="Group 14"/>
                      <a:cNvGrpSpPr/>
                    </a:nvGrpSpPr>
                    <a:grpSpPr>
                      <a:xfrm>
                        <a:off x="251520" y="2128210"/>
                        <a:ext cx="8640960" cy="2601580"/>
                        <a:chOff x="251520" y="2128210"/>
                        <a:chExt cx="8640960" cy="2601580"/>
                      </a:xfrm>
                    </a:grpSpPr>
                    <a:pic>
                      <a:nvPicPr>
                        <a:cNvPr id="4" name="Picture 3"/>
                        <a:cNvPicPr>
                          <a:picLocks noChangeAspect="1" noChangeArrowheads="1"/>
                        </a:cNvPicPr>
                      </a:nvPicPr>
                      <a:blipFill>
                        <a:blip r:embed="rId72"/>
                        <a:srcRect/>
                        <a:stretch>
                          <a:fillRect/>
                        </a:stretch>
                      </a:blipFill>
                      <a:spPr bwMode="auto">
                        <a:xfrm>
                          <a:off x="270635" y="2128211"/>
                          <a:ext cx="2860486" cy="2160239"/>
                        </a:xfrm>
                        <a:prstGeom prst="rect">
                          <a:avLst/>
                        </a:prstGeom>
                        <a:noFill/>
                        <a:ln w="9525">
                          <a:noFill/>
                          <a:miter lim="800000"/>
                          <a:headEnd/>
                          <a:tailEnd/>
                        </a:ln>
                        <a:effectLst/>
                      </a:spPr>
                    </a:pic>
                    <a:pic>
                      <a:nvPicPr>
                        <a:cNvPr id="5" name="Picture 4"/>
                        <a:cNvPicPr>
                          <a:picLocks noChangeAspect="1" noChangeArrowheads="1"/>
                        </a:cNvPicPr>
                      </a:nvPicPr>
                      <a:blipFill>
                        <a:blip r:embed="rId73"/>
                        <a:srcRect/>
                        <a:stretch>
                          <a:fillRect/>
                        </a:stretch>
                      </a:blipFill>
                      <a:spPr bwMode="auto">
                        <a:xfrm>
                          <a:off x="3154756" y="2128210"/>
                          <a:ext cx="2857404" cy="2157912"/>
                        </a:xfrm>
                        <a:prstGeom prst="rect">
                          <a:avLst/>
                        </a:prstGeom>
                        <a:noFill/>
                        <a:ln w="9525">
                          <a:noFill/>
                          <a:miter lim="800000"/>
                          <a:headEnd/>
                          <a:tailEnd/>
                        </a:ln>
                        <a:effectLst/>
                      </a:spPr>
                    </a:pic>
                    <a:pic>
                      <a:nvPicPr>
                        <a:cNvPr id="6" name="Picture 5"/>
                        <a:cNvPicPr>
                          <a:picLocks noChangeAspect="1" noChangeArrowheads="1"/>
                        </a:cNvPicPr>
                      </a:nvPicPr>
                      <a:blipFill>
                        <a:blip r:embed="rId74"/>
                        <a:srcRect/>
                        <a:stretch>
                          <a:fillRect/>
                        </a:stretch>
                      </a:blipFill>
                      <a:spPr bwMode="auto">
                        <a:xfrm>
                          <a:off x="6048398" y="2128210"/>
                          <a:ext cx="2844082" cy="2147851"/>
                        </a:xfrm>
                        <a:prstGeom prst="rect">
                          <a:avLst/>
                        </a:prstGeom>
                        <a:noFill/>
                        <a:ln w="9525">
                          <a:noFill/>
                          <a:miter lim="800000"/>
                          <a:headEnd/>
                          <a:tailEnd/>
                        </a:ln>
                        <a:effectLst/>
                      </a:spPr>
                    </a:pic>
                    <a:sp>
                      <a:nvSpPr>
                        <a:cNvPr id="7" name="TextBox 7"/>
                        <a:cNvSpPr txBox="1"/>
                      </a:nvSpPr>
                      <a:spPr>
                        <a:xfrm>
                          <a:off x="251520" y="4360458"/>
                          <a:ext cx="288032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a:t>100µM</a:t>
                            </a:r>
                          </a:p>
                        </a:txBody>
                        <a:useSpRect/>
                      </a:txSp>
                    </a:sp>
                    <a:sp>
                      <a:nvSpPr>
                        <a:cNvPr id="8" name="TextBox 8"/>
                        <a:cNvSpPr txBox="1"/>
                      </a:nvSpPr>
                      <a:spPr>
                        <a:xfrm>
                          <a:off x="3131840" y="4360458"/>
                          <a:ext cx="288032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a:t>5</a:t>
                            </a:r>
                            <a:r>
                              <a:rPr lang="en-GB" dirty="0" smtClean="0"/>
                              <a:t>0µM</a:t>
                            </a:r>
                            <a:endParaRPr lang="en-GB" dirty="0"/>
                          </a:p>
                        </a:txBody>
                        <a:useSpRect/>
                      </a:txSp>
                    </a:sp>
                    <a:sp>
                      <a:nvSpPr>
                        <a:cNvPr id="9" name="TextBox 10"/>
                        <a:cNvSpPr txBox="1"/>
                      </a:nvSpPr>
                      <a:spPr>
                        <a:xfrm>
                          <a:off x="6012160" y="4360458"/>
                          <a:ext cx="288032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20µM</a:t>
                            </a:r>
                            <a:endParaRPr lang="en-GB" dirty="0"/>
                          </a:p>
                        </a:txBody>
                        <a:useSpRect/>
                      </a:txSp>
                    </a:sp>
                    <a:cxnSp>
                      <a:nvCxnSpPr>
                        <a:cNvPr id="11" name="Straight Connector 10"/>
                        <a:cNvCxnSpPr/>
                      </a:nvCxnSpPr>
                      <a:spPr>
                        <a:xfrm>
                          <a:off x="467544" y="4149080"/>
                          <a:ext cx="288032"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3" name="Straight Connector 12"/>
                        <a:cNvCxnSpPr/>
                      </a:nvCxnSpPr>
                      <a:spPr>
                        <a:xfrm>
                          <a:off x="6300192" y="4149080"/>
                          <a:ext cx="288032"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4" name="Straight Connector 13"/>
                        <a:cNvCxnSpPr/>
                      </a:nvCxnSpPr>
                      <a:spPr>
                        <a:xfrm>
                          <a:off x="3347864" y="4149080"/>
                          <a:ext cx="288032"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roofErr w:type="gramStart"/>
      <w:r w:rsidRPr="00F66F5A">
        <w:rPr>
          <w:rFonts w:asciiTheme="majorHAnsi" w:hAnsiTheme="majorHAnsi"/>
          <w:b/>
        </w:rPr>
        <w:t xml:space="preserve">Figure </w:t>
      </w:r>
      <w:r w:rsidR="00F66F5A">
        <w:rPr>
          <w:rFonts w:asciiTheme="majorHAnsi" w:hAnsiTheme="majorHAnsi"/>
          <w:b/>
        </w:rPr>
        <w:t>4.3</w:t>
      </w:r>
      <w:r w:rsidRPr="00F66F5A">
        <w:rPr>
          <w:rFonts w:asciiTheme="majorHAnsi" w:hAnsiTheme="majorHAnsi"/>
          <w:b/>
        </w:rPr>
        <w:t>.</w:t>
      </w:r>
      <w:proofErr w:type="gramEnd"/>
      <w:r w:rsidRPr="00F66F5A">
        <w:rPr>
          <w:rFonts w:asciiTheme="majorHAnsi" w:hAnsiTheme="majorHAnsi"/>
          <w:b/>
        </w:rPr>
        <w:t xml:space="preserve"> </w:t>
      </w:r>
      <w:proofErr w:type="gramStart"/>
      <w:r w:rsidR="00F66F5A" w:rsidRPr="00F66F5A">
        <w:rPr>
          <w:rFonts w:asciiTheme="majorHAnsi" w:hAnsiTheme="majorHAnsi"/>
          <w:b/>
        </w:rPr>
        <w:t>Titration of pMt promoter.</w:t>
      </w:r>
      <w:proofErr w:type="gramEnd"/>
      <w:r w:rsidR="00F66F5A">
        <w:rPr>
          <w:rFonts w:asciiTheme="majorHAnsi" w:hAnsiTheme="majorHAnsi"/>
        </w:rPr>
        <w:t xml:space="preserve"> </w:t>
      </w:r>
      <w:r w:rsidRPr="0013327C">
        <w:rPr>
          <w:rFonts w:asciiTheme="majorHAnsi" w:hAnsiTheme="majorHAnsi"/>
        </w:rPr>
        <w:t>The optimal concentration of CuSO</w:t>
      </w:r>
      <w:r w:rsidRPr="0013327C">
        <w:rPr>
          <w:rFonts w:asciiTheme="majorHAnsi" w:hAnsiTheme="majorHAnsi"/>
          <w:vertAlign w:val="subscript"/>
        </w:rPr>
        <w:t>4</w:t>
      </w:r>
      <w:r w:rsidRPr="0013327C">
        <w:rPr>
          <w:rFonts w:asciiTheme="majorHAnsi" w:hAnsiTheme="majorHAnsi"/>
        </w:rPr>
        <w:t xml:space="preserve"> was titrated and found at 50µM at which distinct puncta could be viewed. 100µM shows a strong cytosolic presence of peroxisomal eGFP with bright puncta. 20µM shows dim puncta, one cell with brighter puncta shows the heterogeneous nature of transgene expression. </w:t>
      </w:r>
      <w:proofErr w:type="gramStart"/>
      <w:r w:rsidRPr="0013327C">
        <w:rPr>
          <w:rFonts w:asciiTheme="majorHAnsi" w:hAnsiTheme="majorHAnsi"/>
        </w:rPr>
        <w:t>Images at 40X magnification.</w:t>
      </w:r>
      <w:proofErr w:type="gramEnd"/>
      <w:r w:rsidRPr="0013327C">
        <w:rPr>
          <w:rFonts w:asciiTheme="majorHAnsi" w:hAnsiTheme="majorHAnsi"/>
        </w:rPr>
        <w:t xml:space="preserve"> Bar = 10µm.</w:t>
      </w:r>
    </w:p>
    <w:p w:rsidR="00C3380A" w:rsidRPr="0013327C" w:rsidRDefault="00C3380A" w:rsidP="00AE0264">
      <w:pPr>
        <w:pStyle w:val="Heading2"/>
        <w:jc w:val="both"/>
      </w:pPr>
      <w:bookmarkStart w:id="112" w:name="_Toc348423364"/>
      <w:r w:rsidRPr="0013327C">
        <w:t>Adjustment of microscope settings</w:t>
      </w:r>
      <w:bookmarkEnd w:id="112"/>
    </w:p>
    <w:p w:rsidR="00C3380A" w:rsidRPr="0013327C" w:rsidRDefault="00C3380A" w:rsidP="00AE0264">
      <w:pPr>
        <w:jc w:val="both"/>
        <w:rPr>
          <w:rFonts w:asciiTheme="majorHAnsi" w:hAnsiTheme="majorHAnsi"/>
        </w:rPr>
      </w:pPr>
      <w:r w:rsidRPr="0013327C">
        <w:rPr>
          <w:rFonts w:asciiTheme="majorHAnsi" w:hAnsiTheme="majorHAnsi"/>
        </w:rPr>
        <w:t xml:space="preserve">To increase the accuracy of the Transfluor application at counting the peroxisomes the microscope objective was increased in magnification from 20X to 40X. This is made possible by the even seeding of cells ubiquitously expressing eGFP. </w:t>
      </w:r>
      <w:proofErr w:type="gramStart"/>
      <w:r w:rsidRPr="0013327C">
        <w:rPr>
          <w:rFonts w:asciiTheme="majorHAnsi" w:hAnsiTheme="majorHAnsi"/>
        </w:rPr>
        <w:t>The  smaller</w:t>
      </w:r>
      <w:proofErr w:type="gramEnd"/>
      <w:r w:rsidRPr="0013327C">
        <w:rPr>
          <w:rFonts w:asciiTheme="majorHAnsi" w:hAnsiTheme="majorHAnsi"/>
        </w:rPr>
        <w:t xml:space="preserve"> area of the 40X image is still able to capture enough cells to make statistical analyses. The change was made in the Plate Acquisition Setup menu. </w:t>
      </w:r>
    </w:p>
    <w:p w:rsidR="00C3380A" w:rsidRPr="0013327C" w:rsidRDefault="00C3380A" w:rsidP="00AE0264">
      <w:pPr>
        <w:jc w:val="both"/>
        <w:rPr>
          <w:rFonts w:asciiTheme="majorHAnsi" w:hAnsiTheme="majorHAnsi"/>
        </w:rPr>
      </w:pPr>
      <w:r w:rsidRPr="0013327C">
        <w:rPr>
          <w:rFonts w:asciiTheme="majorHAnsi" w:hAnsiTheme="majorHAnsi"/>
        </w:rPr>
        <w:t>It is worth comparing the proportion of the well that is photographed with that of the previous screen. The area of a 20X site is approximately 1.11556mm</w:t>
      </w:r>
      <w:r w:rsidRPr="0013327C">
        <w:rPr>
          <w:rFonts w:asciiTheme="majorHAnsi" w:hAnsiTheme="majorHAnsi"/>
          <w:vertAlign w:val="superscript"/>
        </w:rPr>
        <w:t>2</w:t>
      </w:r>
      <w:r w:rsidRPr="0013327C">
        <w:rPr>
          <w:rFonts w:asciiTheme="majorHAnsi" w:hAnsiTheme="majorHAnsi"/>
        </w:rPr>
        <w:t xml:space="preserve"> (334µm</w:t>
      </w:r>
      <w:proofErr w:type="gramStart"/>
      <w:r w:rsidRPr="0013327C">
        <w:rPr>
          <w:rFonts w:asciiTheme="majorHAnsi" w:hAnsiTheme="majorHAnsi"/>
        </w:rPr>
        <w:t>)</w:t>
      </w:r>
      <w:r w:rsidRPr="0013327C">
        <w:rPr>
          <w:rFonts w:asciiTheme="majorHAnsi" w:hAnsiTheme="majorHAnsi"/>
          <w:vertAlign w:val="superscript"/>
        </w:rPr>
        <w:t>2</w:t>
      </w:r>
      <w:proofErr w:type="gramEnd"/>
      <w:r w:rsidRPr="0013327C">
        <w:rPr>
          <w:rFonts w:asciiTheme="majorHAnsi" w:hAnsiTheme="majorHAnsi"/>
        </w:rPr>
        <w:t>. The 40X site is approximately 0.27889mm</w:t>
      </w:r>
      <w:r w:rsidRPr="0013327C">
        <w:rPr>
          <w:rFonts w:asciiTheme="majorHAnsi" w:hAnsiTheme="majorHAnsi"/>
          <w:vertAlign w:val="superscript"/>
        </w:rPr>
        <w:t>2</w:t>
      </w:r>
      <w:r w:rsidRPr="0013327C">
        <w:rPr>
          <w:rFonts w:asciiTheme="majorHAnsi" w:hAnsiTheme="majorHAnsi"/>
        </w:rPr>
        <w:t xml:space="preserve"> (167µm</w:t>
      </w:r>
      <w:proofErr w:type="gramStart"/>
      <w:r w:rsidRPr="0013327C">
        <w:rPr>
          <w:rFonts w:asciiTheme="majorHAnsi" w:hAnsiTheme="majorHAnsi"/>
        </w:rPr>
        <w:t>)</w:t>
      </w:r>
      <w:r w:rsidRPr="0013327C">
        <w:rPr>
          <w:rFonts w:asciiTheme="majorHAnsi" w:hAnsiTheme="majorHAnsi"/>
          <w:vertAlign w:val="superscript"/>
        </w:rPr>
        <w:t>2</w:t>
      </w:r>
      <w:proofErr w:type="gramEnd"/>
      <w:r w:rsidRPr="0013327C">
        <w:rPr>
          <w:rFonts w:asciiTheme="majorHAnsi" w:hAnsiTheme="majorHAnsi"/>
        </w:rPr>
        <w:t xml:space="preserve">, exactly ¼ the area. The number of </w:t>
      </w:r>
      <w:r w:rsidRPr="0013327C">
        <w:rPr>
          <w:rFonts w:asciiTheme="majorHAnsi" w:hAnsiTheme="majorHAnsi"/>
        </w:rPr>
        <w:lastRenderedPageBreak/>
        <w:t>sites photographed is unchanged so the area of the well photographed (2.51001mm</w:t>
      </w:r>
      <w:r w:rsidRPr="0013327C">
        <w:rPr>
          <w:rFonts w:asciiTheme="majorHAnsi" w:hAnsiTheme="majorHAnsi"/>
          <w:vertAlign w:val="superscript"/>
        </w:rPr>
        <w:t>2</w:t>
      </w:r>
      <w:r w:rsidRPr="0013327C">
        <w:rPr>
          <w:rFonts w:asciiTheme="majorHAnsi" w:hAnsiTheme="majorHAnsi"/>
        </w:rPr>
        <w:t>) is also ¼ of the original (10.04004mm</w:t>
      </w:r>
      <w:r w:rsidRPr="0013327C">
        <w:rPr>
          <w:rFonts w:asciiTheme="majorHAnsi" w:hAnsiTheme="majorHAnsi"/>
          <w:vertAlign w:val="superscript"/>
        </w:rPr>
        <w:t>2</w:t>
      </w:r>
      <w:r w:rsidRPr="0013327C">
        <w:rPr>
          <w:rFonts w:asciiTheme="majorHAnsi" w:hAnsiTheme="majorHAnsi"/>
        </w:rPr>
        <w:t xml:space="preserve">). A visual representation is given in </w:t>
      </w:r>
      <w:r w:rsidRPr="003A433D">
        <w:rPr>
          <w:rFonts w:asciiTheme="majorHAnsi" w:hAnsiTheme="majorHAnsi"/>
        </w:rPr>
        <w:t xml:space="preserve">Methods </w:t>
      </w:r>
      <w:r w:rsidR="003A433D">
        <w:rPr>
          <w:rFonts w:asciiTheme="majorHAnsi" w:hAnsiTheme="majorHAnsi"/>
        </w:rPr>
        <w:t>Figure 2.19.</w:t>
      </w:r>
      <w:r w:rsidRPr="0013327C">
        <w:rPr>
          <w:rFonts w:asciiTheme="majorHAnsi" w:hAnsiTheme="majorHAnsi"/>
        </w:rPr>
        <w:t xml:space="preserve"> Despite the drastic reduction in area of the well bottom photographed the increases in the number of cells imaged and the accuracy of peroxisome counting will produce a more reliable screen.</w:t>
      </w:r>
    </w:p>
    <w:p w:rsidR="00C3380A" w:rsidRPr="0013327C" w:rsidRDefault="00C3380A" w:rsidP="00AE0264">
      <w:pPr>
        <w:jc w:val="both"/>
        <w:rPr>
          <w:rFonts w:asciiTheme="majorHAnsi" w:hAnsiTheme="majorHAnsi"/>
        </w:rPr>
      </w:pPr>
      <w:r w:rsidRPr="0013327C">
        <w:rPr>
          <w:rFonts w:asciiTheme="majorHAnsi" w:hAnsiTheme="majorHAnsi"/>
        </w:rPr>
        <w:t>The 40X objective has a thinner z-plane of focus than the 20X objective so the focusing offset needed fine-tuning for achieving the image with the optimal display of peroxisomes. The GFP channel was set to 4µm above the growth surface, the DAPI channel 0.5µm below that of the GFP channel.</w:t>
      </w:r>
    </w:p>
    <w:p w:rsidR="00C3380A" w:rsidRPr="0013327C" w:rsidRDefault="00C3380A" w:rsidP="00AE0264">
      <w:pPr>
        <w:pStyle w:val="Heading2"/>
        <w:jc w:val="both"/>
      </w:pPr>
      <w:bookmarkStart w:id="113" w:name="_Toc348423365"/>
      <w:r w:rsidRPr="0013327C">
        <w:t>Optimising the Transfluor application and assay plate testing</w:t>
      </w:r>
      <w:bookmarkEnd w:id="113"/>
    </w:p>
    <w:p w:rsidR="00C3380A" w:rsidRPr="0013327C" w:rsidRDefault="00C3380A" w:rsidP="00AE0264">
      <w:pPr>
        <w:jc w:val="both"/>
        <w:rPr>
          <w:rFonts w:asciiTheme="majorHAnsi" w:hAnsiTheme="majorHAnsi"/>
        </w:rPr>
      </w:pPr>
      <w:r w:rsidRPr="0013327C">
        <w:rPr>
          <w:rFonts w:asciiTheme="majorHAnsi" w:hAnsiTheme="majorHAnsi"/>
        </w:rPr>
        <w:t>As the cells transfected with the stable peroxisomal marker were almost ubiquitously expressing peroxisomal eGFP under hygromycin B selection it was decided that it would not be necessary to use the Multi Wavelength Cell Sorting application in tandem with the Transfluor application. This reduced computer processing time greatly from 19 seconds per site to just 6 which theoretically meant that the overall processing time for the screen went from approximately 40 computer-days to just 12.5. With up to four computers processing the images the duration of analysis could potentially be reduced to less than 4 days. The use of a 40X magnification meant greater accuracy could be used in segmenting the peroxisomes and nuclei.</w:t>
      </w:r>
    </w:p>
    <w:p w:rsidR="00C3380A" w:rsidRPr="0013327C" w:rsidRDefault="00C3380A" w:rsidP="00AE0264">
      <w:pPr>
        <w:jc w:val="both"/>
        <w:rPr>
          <w:rFonts w:asciiTheme="majorHAnsi" w:hAnsiTheme="majorHAnsi"/>
        </w:rPr>
      </w:pPr>
      <w:r w:rsidRPr="0013327C">
        <w:rPr>
          <w:rFonts w:asciiTheme="majorHAnsi" w:hAnsiTheme="majorHAnsi"/>
          <w:b/>
          <w:noProof/>
          <w:lang w:eastAsia="en-GB"/>
        </w:rPr>
        <w:lastRenderedPageBreak/>
        <w:drawing>
          <wp:inline distT="0" distB="0" distL="0" distR="0">
            <wp:extent cx="5126387" cy="3363188"/>
            <wp:effectExtent l="19050" t="0" r="0" b="0"/>
            <wp:docPr id="1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srcRect/>
                    <a:stretch>
                      <a:fillRect/>
                    </a:stretch>
                  </pic:blipFill>
                  <pic:spPr bwMode="auto">
                    <a:xfrm>
                      <a:off x="0" y="0"/>
                      <a:ext cx="5125435" cy="3362564"/>
                    </a:xfrm>
                    <a:prstGeom prst="rect">
                      <a:avLst/>
                    </a:prstGeom>
                    <a:noFill/>
                  </pic:spPr>
                </pic:pic>
              </a:graphicData>
            </a:graphic>
          </wp:inline>
        </w:drawing>
      </w:r>
      <w:proofErr w:type="gramStart"/>
      <w:r w:rsidRPr="0013327C">
        <w:rPr>
          <w:rFonts w:asciiTheme="majorHAnsi" w:hAnsiTheme="majorHAnsi"/>
          <w:b/>
        </w:rPr>
        <w:t>Figure 4.</w:t>
      </w:r>
      <w:r w:rsidR="003A433D">
        <w:rPr>
          <w:rFonts w:asciiTheme="majorHAnsi" w:hAnsiTheme="majorHAnsi"/>
          <w:b/>
        </w:rPr>
        <w:t>4</w:t>
      </w:r>
      <w:r w:rsidRPr="0013327C">
        <w:rPr>
          <w:rFonts w:asciiTheme="majorHAnsi" w:hAnsiTheme="majorHAnsi"/>
          <w:b/>
        </w:rPr>
        <w:t>.</w:t>
      </w:r>
      <w:proofErr w:type="gramEnd"/>
      <w:r w:rsidRPr="0013327C">
        <w:rPr>
          <w:rFonts w:asciiTheme="majorHAnsi" w:hAnsiTheme="majorHAnsi"/>
        </w:rPr>
        <w:t xml:space="preserve"> </w:t>
      </w:r>
      <w:proofErr w:type="gramStart"/>
      <w:r w:rsidRPr="003A433D">
        <w:rPr>
          <w:rFonts w:asciiTheme="majorHAnsi" w:hAnsiTheme="majorHAnsi"/>
          <w:b/>
        </w:rPr>
        <w:t>The Transfluor settings and Data Log parameter selection</w:t>
      </w:r>
      <w:r w:rsidRPr="0013327C">
        <w:rPr>
          <w:rFonts w:asciiTheme="majorHAnsi" w:hAnsiTheme="majorHAnsi"/>
        </w:rPr>
        <w:t>.</w:t>
      </w:r>
      <w:proofErr w:type="gramEnd"/>
      <w:r w:rsidRPr="0013327C">
        <w:rPr>
          <w:rFonts w:asciiTheme="majorHAnsi" w:hAnsiTheme="majorHAnsi"/>
        </w:rPr>
        <w:t xml:space="preserve"> Transfluor can now be more precise in segmenting both nuclei (DAPI) and peroxisomes (GFP).</w:t>
      </w:r>
    </w:p>
    <w:p w:rsidR="00C3380A" w:rsidRDefault="00C3380A" w:rsidP="00AE0264">
      <w:pPr>
        <w:jc w:val="both"/>
        <w:rPr>
          <w:rFonts w:asciiTheme="majorHAnsi" w:hAnsiTheme="majorHAnsi"/>
        </w:rPr>
      </w:pPr>
      <w:r w:rsidRPr="0013327C">
        <w:rPr>
          <w:rFonts w:asciiTheme="majorHAnsi" w:hAnsiTheme="majorHAnsi"/>
        </w:rPr>
        <w:t xml:space="preserve">The segmentation of both WT and </w:t>
      </w:r>
      <w:r w:rsidR="000C26B2" w:rsidRPr="000C26B2">
        <w:rPr>
          <w:rFonts w:asciiTheme="majorHAnsi" w:hAnsiTheme="majorHAnsi"/>
          <w:i/>
        </w:rPr>
        <w:t>PEX</w:t>
      </w:r>
      <w:r w:rsidRPr="0013327C">
        <w:rPr>
          <w:rFonts w:asciiTheme="majorHAnsi" w:hAnsiTheme="majorHAnsi"/>
        </w:rPr>
        <w:t xml:space="preserve">5 images can now be </w:t>
      </w:r>
      <w:r w:rsidR="0087545C" w:rsidRPr="0013327C">
        <w:rPr>
          <w:rFonts w:asciiTheme="majorHAnsi" w:hAnsiTheme="majorHAnsi"/>
        </w:rPr>
        <w:t>executed</w:t>
      </w:r>
      <w:r w:rsidRPr="0013327C">
        <w:rPr>
          <w:rFonts w:asciiTheme="majorHAnsi" w:hAnsiTheme="majorHAnsi"/>
        </w:rPr>
        <w:t xml:space="preserve"> by Transfluor.</w:t>
      </w:r>
    </w:p>
    <w:p w:rsidR="00F0664D" w:rsidRDefault="00F0664D" w:rsidP="00AE0264">
      <w:pPr>
        <w:jc w:val="both"/>
        <w:rPr>
          <w:rFonts w:asciiTheme="majorHAnsi" w:hAnsiTheme="majorHAnsi"/>
        </w:rPr>
      </w:pPr>
    </w:p>
    <w:p w:rsidR="00F0664D" w:rsidRDefault="00F0664D" w:rsidP="00AE0264">
      <w:pPr>
        <w:jc w:val="both"/>
        <w:rPr>
          <w:rFonts w:asciiTheme="majorHAnsi" w:hAnsiTheme="majorHAnsi"/>
        </w:rPr>
      </w:pPr>
    </w:p>
    <w:p w:rsidR="00F0664D" w:rsidRPr="0013327C" w:rsidRDefault="00F0664D" w:rsidP="00AE0264">
      <w:pPr>
        <w:jc w:val="both"/>
        <w:rPr>
          <w:rFonts w:asciiTheme="majorHAnsi" w:hAnsiTheme="majorHAnsi"/>
        </w:rPr>
      </w:pPr>
    </w:p>
    <w:p w:rsidR="00C3380A" w:rsidRPr="0013327C" w:rsidRDefault="00C3380A" w:rsidP="00AE0264">
      <w:pPr>
        <w:jc w:val="both"/>
        <w:rPr>
          <w:rFonts w:asciiTheme="majorHAnsi" w:hAnsiTheme="majorHAnsi"/>
        </w:rPr>
      </w:pPr>
      <w:r w:rsidRPr="0013327C">
        <w:rPr>
          <w:rFonts w:asciiTheme="majorHAnsi" w:hAnsiTheme="majorHAnsi"/>
          <w:b/>
          <w:noProof/>
          <w:lang w:eastAsia="en-GB"/>
        </w:rPr>
        <w:lastRenderedPageBreak/>
        <w:drawing>
          <wp:inline distT="0" distB="0" distL="0" distR="0">
            <wp:extent cx="5145437" cy="3518115"/>
            <wp:effectExtent l="0" t="0" r="0" b="0"/>
            <wp:docPr id="179"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688632" cy="3514772"/>
                      <a:chOff x="1403648" y="908720"/>
                      <a:chExt cx="5688632" cy="3514772"/>
                    </a:xfrm>
                  </a:grpSpPr>
                  <a:grpSp>
                    <a:nvGrpSpPr>
                      <a:cNvPr id="12" name="Group 11"/>
                      <a:cNvGrpSpPr/>
                    </a:nvGrpSpPr>
                    <a:grpSpPr>
                      <a:xfrm>
                        <a:off x="1403648" y="908720"/>
                        <a:ext cx="5688632" cy="3514772"/>
                        <a:chOff x="1403648" y="908720"/>
                        <a:chExt cx="5688632" cy="3514772"/>
                      </a:xfrm>
                    </a:grpSpPr>
                    <a:pic>
                      <a:nvPicPr>
                        <a:cNvPr id="4" name="Picture 3"/>
                        <a:cNvPicPr/>
                      </a:nvPicPr>
                      <a:blipFill>
                        <a:blip r:embed="rId76" cstate="print"/>
                        <a:srcRect r="11031" b="50000"/>
                        <a:stretch>
                          <a:fillRect/>
                        </a:stretch>
                      </a:blipFill>
                      <a:spPr bwMode="auto">
                        <a:xfrm>
                          <a:off x="1800225" y="908720"/>
                          <a:ext cx="4932015" cy="1714572"/>
                        </a:xfrm>
                        <a:prstGeom prst="rect">
                          <a:avLst/>
                        </a:prstGeom>
                        <a:noFill/>
                      </a:spPr>
                    </a:pic>
                    <a:pic>
                      <a:nvPicPr>
                        <a:cNvPr id="5" name="Picture 4"/>
                        <a:cNvPicPr/>
                      </a:nvPicPr>
                      <a:blipFill>
                        <a:blip r:embed="rId76" cstate="print"/>
                        <a:srcRect t="50000" r="11031"/>
                        <a:stretch>
                          <a:fillRect/>
                        </a:stretch>
                      </a:blipFill>
                      <a:spPr bwMode="auto">
                        <a:xfrm>
                          <a:off x="1800225" y="2708920"/>
                          <a:ext cx="4932015" cy="1714572"/>
                        </a:xfrm>
                        <a:prstGeom prst="rect">
                          <a:avLst/>
                        </a:prstGeom>
                        <a:noFill/>
                      </a:spPr>
                    </a:pic>
                    <a:sp>
                      <a:nvSpPr>
                        <a:cNvPr id="7" name="TextBox 6"/>
                        <a:cNvSpPr txBox="1"/>
                      </a:nvSpPr>
                      <a:spPr>
                        <a:xfrm>
                          <a:off x="1403648" y="1412776"/>
                          <a:ext cx="432048"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800" b="1" dirty="0" smtClean="0"/>
                              <a:t>A</a:t>
                            </a:r>
                            <a:endParaRPr lang="en-GB" sz="2800" b="1" dirty="0"/>
                          </a:p>
                        </a:txBody>
                        <a:useSpRect/>
                      </a:txSp>
                    </a:sp>
                    <a:sp>
                      <a:nvSpPr>
                        <a:cNvPr id="9" name="TextBox 8"/>
                        <a:cNvSpPr txBox="1"/>
                      </a:nvSpPr>
                      <a:spPr>
                        <a:xfrm>
                          <a:off x="1403648" y="3284984"/>
                          <a:ext cx="432048"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800" b="1" dirty="0" smtClean="0"/>
                              <a:t>C</a:t>
                            </a:r>
                            <a:endParaRPr lang="en-GB" sz="2800" b="1" dirty="0"/>
                          </a:p>
                        </a:txBody>
                        <a:useSpRect/>
                      </a:txSp>
                    </a:sp>
                    <a:sp>
                      <a:nvSpPr>
                        <a:cNvPr id="10" name="TextBox 9"/>
                        <a:cNvSpPr txBox="1"/>
                      </a:nvSpPr>
                      <a:spPr>
                        <a:xfrm>
                          <a:off x="6660232" y="1484784"/>
                          <a:ext cx="432048"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800" b="1" dirty="0" smtClean="0"/>
                              <a:t>B</a:t>
                            </a:r>
                            <a:endParaRPr lang="en-GB" sz="2800" b="1" dirty="0"/>
                          </a:p>
                        </a:txBody>
                        <a:useSpRect/>
                      </a:txSp>
                    </a:sp>
                    <a:sp>
                      <a:nvSpPr>
                        <a:cNvPr id="11" name="TextBox 10"/>
                        <a:cNvSpPr txBox="1"/>
                      </a:nvSpPr>
                      <a:spPr>
                        <a:xfrm>
                          <a:off x="6660232" y="3284984"/>
                          <a:ext cx="432048"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800" b="1" dirty="0" smtClean="0"/>
                              <a:t>D</a:t>
                            </a:r>
                            <a:endParaRPr lang="en-GB" sz="2800" b="1" dirty="0"/>
                          </a:p>
                        </a:txBody>
                        <a:useSpRect/>
                      </a:txSp>
                    </a:sp>
                  </a:grpSp>
                </lc:lockedCanvas>
              </a:graphicData>
            </a:graphic>
          </wp:inline>
        </w:drawing>
      </w:r>
      <w:proofErr w:type="gramStart"/>
      <w:r w:rsidRPr="00633497">
        <w:rPr>
          <w:rFonts w:asciiTheme="majorHAnsi" w:hAnsiTheme="majorHAnsi"/>
          <w:b/>
        </w:rPr>
        <w:t>Figure</w:t>
      </w:r>
      <w:r w:rsidR="00633497" w:rsidRPr="00633497">
        <w:rPr>
          <w:rFonts w:asciiTheme="majorHAnsi" w:hAnsiTheme="majorHAnsi"/>
          <w:b/>
        </w:rPr>
        <w:t xml:space="preserve"> 4.5</w:t>
      </w:r>
      <w:r w:rsidRPr="00633497">
        <w:rPr>
          <w:rFonts w:asciiTheme="majorHAnsi" w:hAnsiTheme="majorHAnsi"/>
          <w:b/>
        </w:rPr>
        <w:t>.</w:t>
      </w:r>
      <w:proofErr w:type="gramEnd"/>
      <w:r w:rsidRPr="00633497">
        <w:rPr>
          <w:rFonts w:asciiTheme="majorHAnsi" w:hAnsiTheme="majorHAnsi"/>
          <w:b/>
        </w:rPr>
        <w:t xml:space="preserve"> Transfluor segmentation of </w:t>
      </w:r>
      <w:r w:rsidR="00633497" w:rsidRPr="00633497">
        <w:rPr>
          <w:rFonts w:asciiTheme="majorHAnsi" w:hAnsiTheme="majorHAnsi"/>
          <w:b/>
        </w:rPr>
        <w:t>WT cells in Screen 2</w:t>
      </w:r>
      <w:r w:rsidR="00633497">
        <w:rPr>
          <w:rFonts w:asciiTheme="majorHAnsi" w:hAnsiTheme="majorHAnsi"/>
        </w:rPr>
        <w:t xml:space="preserve">. </w:t>
      </w:r>
      <w:r w:rsidRPr="0013327C">
        <w:rPr>
          <w:rFonts w:asciiTheme="majorHAnsi" w:hAnsiTheme="majorHAnsi"/>
        </w:rPr>
        <w:t>40X images taken of fixed and Hoechst nuclear-stained WT S2R+ cells stably transfected with pMt-eGFP-PTS1 and induced with 50µM CuSO</w:t>
      </w:r>
      <w:r w:rsidRPr="0013327C">
        <w:rPr>
          <w:rFonts w:asciiTheme="majorHAnsi" w:hAnsiTheme="majorHAnsi"/>
          <w:vertAlign w:val="subscript"/>
        </w:rPr>
        <w:t>4</w:t>
      </w:r>
      <w:r w:rsidRPr="0013327C">
        <w:rPr>
          <w:rFonts w:asciiTheme="majorHAnsi" w:hAnsiTheme="majorHAnsi"/>
        </w:rPr>
        <w:t xml:space="preserve"> for 24 hours after 5 days of growth. The images were analysed with the new Transfluor settings. The raw DAPI channel (top left) is segmented into nuclei (top right), the raw GFP channel (bottom left) is segmented into puncta and superimposed onto the segmented nuclei (bottom right).</w:t>
      </w:r>
    </w:p>
    <w:p w:rsidR="00C3380A" w:rsidRDefault="00C3380A" w:rsidP="00AE0264">
      <w:pPr>
        <w:jc w:val="both"/>
        <w:rPr>
          <w:rFonts w:asciiTheme="majorHAnsi" w:hAnsiTheme="majorHAnsi"/>
        </w:rPr>
      </w:pPr>
      <w:r w:rsidRPr="0013327C">
        <w:rPr>
          <w:rFonts w:asciiTheme="majorHAnsi" w:hAnsiTheme="majorHAnsi"/>
          <w:b/>
          <w:noProof/>
          <w:lang w:eastAsia="en-GB"/>
        </w:rPr>
        <w:lastRenderedPageBreak/>
        <w:drawing>
          <wp:inline distT="0" distB="0" distL="0" distR="0">
            <wp:extent cx="5126387" cy="4618495"/>
            <wp:effectExtent l="19050" t="0" r="0" b="0"/>
            <wp:docPr id="180"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63841" cy="6264696"/>
                      <a:chOff x="179512" y="188640"/>
                      <a:chExt cx="7163841" cy="6264696"/>
                    </a:xfrm>
                  </a:grpSpPr>
                  <a:grpSp>
                    <a:nvGrpSpPr>
                      <a:cNvPr id="12" name="Group 11"/>
                      <a:cNvGrpSpPr/>
                    </a:nvGrpSpPr>
                    <a:grpSpPr>
                      <a:xfrm>
                        <a:off x="179512" y="188640"/>
                        <a:ext cx="7163841" cy="6264696"/>
                        <a:chOff x="179512" y="188640"/>
                        <a:chExt cx="7163841" cy="6264696"/>
                      </a:xfrm>
                    </a:grpSpPr>
                    <a:grpSp>
                      <a:nvGrpSpPr>
                        <a:cNvPr id="3" name="Group 8"/>
                        <a:cNvGrpSpPr/>
                      </a:nvGrpSpPr>
                      <a:grpSpPr>
                        <a:xfrm>
                          <a:off x="179512" y="188640"/>
                          <a:ext cx="7163841" cy="5976664"/>
                          <a:chOff x="144463" y="188640"/>
                          <a:chExt cx="7163841" cy="5976664"/>
                        </a:xfrm>
                      </a:grpSpPr>
                      <a:pic>
                        <a:nvPicPr>
                          <a:cNvPr id="1027" name="Picture 3"/>
                          <a:cNvPicPr>
                            <a:picLocks noChangeAspect="1" noChangeArrowheads="1"/>
                          </a:cNvPicPr>
                        </a:nvPicPr>
                        <a:blipFill>
                          <a:blip r:embed="rId77" cstate="print"/>
                          <a:srcRect/>
                          <a:stretch>
                            <a:fillRect/>
                          </a:stretch>
                        </a:blipFill>
                        <a:spPr bwMode="auto">
                          <a:xfrm>
                            <a:off x="179512" y="188640"/>
                            <a:ext cx="3563441" cy="2783815"/>
                          </a:xfrm>
                          <a:prstGeom prst="rect">
                            <a:avLst/>
                          </a:prstGeom>
                          <a:noFill/>
                          <a:ln w="9525">
                            <a:noFill/>
                            <a:miter lim="800000"/>
                            <a:headEnd/>
                            <a:tailEnd/>
                          </a:ln>
                          <a:effectLst/>
                        </a:spPr>
                      </a:pic>
                      <a:pic>
                        <a:nvPicPr>
                          <a:cNvPr id="1028" name="Picture 4"/>
                          <a:cNvPicPr>
                            <a:picLocks noChangeAspect="1" noChangeArrowheads="1"/>
                          </a:cNvPicPr>
                        </a:nvPicPr>
                        <a:blipFill>
                          <a:blip r:embed="rId78" cstate="print"/>
                          <a:srcRect/>
                          <a:stretch>
                            <a:fillRect/>
                          </a:stretch>
                        </a:blipFill>
                        <a:spPr bwMode="auto">
                          <a:xfrm>
                            <a:off x="3779912" y="188640"/>
                            <a:ext cx="3563441" cy="2783815"/>
                          </a:xfrm>
                          <a:prstGeom prst="rect">
                            <a:avLst/>
                          </a:prstGeom>
                          <a:noFill/>
                          <a:ln w="9525">
                            <a:noFill/>
                            <a:miter lim="800000"/>
                            <a:headEnd/>
                            <a:tailEnd/>
                          </a:ln>
                          <a:effectLst/>
                        </a:spPr>
                      </a:pic>
                      <a:pic>
                        <a:nvPicPr>
                          <a:cNvPr id="1029" name="Picture 5"/>
                          <a:cNvPicPr>
                            <a:picLocks noChangeAspect="1" noChangeArrowheads="1"/>
                          </a:cNvPicPr>
                        </a:nvPicPr>
                        <a:blipFill>
                          <a:blip r:embed="rId79" cstate="print"/>
                          <a:srcRect/>
                          <a:stretch>
                            <a:fillRect/>
                          </a:stretch>
                        </a:blipFill>
                        <a:spPr bwMode="auto">
                          <a:xfrm>
                            <a:off x="179512" y="3381489"/>
                            <a:ext cx="3563441" cy="2783815"/>
                          </a:xfrm>
                          <a:prstGeom prst="rect">
                            <a:avLst/>
                          </a:prstGeom>
                          <a:noFill/>
                          <a:ln w="9525">
                            <a:noFill/>
                            <a:miter lim="800000"/>
                            <a:headEnd/>
                            <a:tailEnd/>
                          </a:ln>
                          <a:effectLst/>
                        </a:spPr>
                      </a:pic>
                      <a:pic>
                        <a:nvPicPr>
                          <a:cNvPr id="1030" name="Picture 6"/>
                          <a:cNvPicPr>
                            <a:picLocks noChangeAspect="1" noChangeArrowheads="1"/>
                          </a:cNvPicPr>
                        </a:nvPicPr>
                        <a:blipFill>
                          <a:blip r:embed="rId80" cstate="print"/>
                          <a:srcRect/>
                          <a:stretch>
                            <a:fillRect/>
                          </a:stretch>
                        </a:blipFill>
                        <a:spPr bwMode="auto">
                          <a:xfrm>
                            <a:off x="3779912" y="3381489"/>
                            <a:ext cx="3563441" cy="2783815"/>
                          </a:xfrm>
                          <a:prstGeom prst="rect">
                            <a:avLst/>
                          </a:prstGeom>
                          <a:noFill/>
                          <a:ln w="9525">
                            <a:noFill/>
                            <a:miter lim="800000"/>
                            <a:headEnd/>
                            <a:tailEnd/>
                          </a:ln>
                          <a:effectLst/>
                        </a:spPr>
                      </a:pic>
                    </a:grpSp>
                    <a:sp>
                      <a:nvSpPr>
                        <a:cNvPr id="7" name="TextBox 6"/>
                        <a:cNvSpPr txBox="1"/>
                      </a:nvSpPr>
                      <a:spPr>
                        <a:xfrm>
                          <a:off x="179512" y="2924944"/>
                          <a:ext cx="352839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Raw DAPI</a:t>
                            </a:r>
                            <a:endParaRPr lang="en-GB" dirty="0"/>
                          </a:p>
                        </a:txBody>
                        <a:useSpRect/>
                      </a:txSp>
                    </a:sp>
                    <a:sp>
                      <a:nvSpPr>
                        <a:cNvPr id="8" name="TextBox 7"/>
                        <a:cNvSpPr txBox="1"/>
                      </a:nvSpPr>
                      <a:spPr>
                        <a:xfrm>
                          <a:off x="3779912" y="2924944"/>
                          <a:ext cx="352839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Raw GFP</a:t>
                            </a:r>
                            <a:endParaRPr lang="en-GB" dirty="0"/>
                          </a:p>
                        </a:txBody>
                        <a:useSpRect/>
                      </a:txSp>
                    </a:sp>
                    <a:sp>
                      <a:nvSpPr>
                        <a:cNvPr id="10" name="TextBox 9"/>
                        <a:cNvSpPr txBox="1"/>
                      </a:nvSpPr>
                      <a:spPr>
                        <a:xfrm>
                          <a:off x="179512" y="6084004"/>
                          <a:ext cx="352839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Superimposed segmentation</a:t>
                            </a:r>
                            <a:endParaRPr lang="en-GB" dirty="0"/>
                          </a:p>
                        </a:txBody>
                        <a:useSpRect/>
                      </a:txSp>
                    </a:sp>
                    <a:sp>
                      <a:nvSpPr>
                        <a:cNvPr id="11" name="TextBox 10"/>
                        <a:cNvSpPr txBox="1"/>
                      </a:nvSpPr>
                      <a:spPr>
                        <a:xfrm>
                          <a:off x="3779912" y="6084004"/>
                          <a:ext cx="352839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Segmentation overlaid on GFP</a:t>
                            </a:r>
                            <a:endParaRPr lang="en-GB" dirty="0"/>
                          </a:p>
                        </a:txBody>
                        <a:useSpRect/>
                      </a:txSp>
                    </a:sp>
                  </a:grpSp>
                </lc:lockedCanvas>
              </a:graphicData>
            </a:graphic>
          </wp:inline>
        </w:drawing>
      </w:r>
      <w:proofErr w:type="gramStart"/>
      <w:r w:rsidRPr="00633497">
        <w:rPr>
          <w:rFonts w:asciiTheme="majorHAnsi" w:hAnsiTheme="majorHAnsi"/>
          <w:b/>
        </w:rPr>
        <w:t xml:space="preserve">Figure </w:t>
      </w:r>
      <w:r w:rsidR="00633497" w:rsidRPr="00633497">
        <w:rPr>
          <w:rFonts w:asciiTheme="majorHAnsi" w:hAnsiTheme="majorHAnsi"/>
          <w:b/>
        </w:rPr>
        <w:t>4.6</w:t>
      </w:r>
      <w:r w:rsidRPr="00633497">
        <w:rPr>
          <w:rFonts w:asciiTheme="majorHAnsi" w:hAnsiTheme="majorHAnsi"/>
          <w:b/>
        </w:rPr>
        <w:t>.</w:t>
      </w:r>
      <w:proofErr w:type="gramEnd"/>
      <w:r w:rsidRPr="00633497">
        <w:rPr>
          <w:rFonts w:asciiTheme="majorHAnsi" w:hAnsiTheme="majorHAnsi"/>
          <w:b/>
        </w:rPr>
        <w:t xml:space="preserve"> Transfluor segmentation of </w:t>
      </w:r>
      <w:r w:rsidR="000C26B2" w:rsidRPr="000C26B2">
        <w:rPr>
          <w:rFonts w:asciiTheme="majorHAnsi" w:hAnsiTheme="majorHAnsi"/>
          <w:b/>
          <w:i/>
        </w:rPr>
        <w:t>PEX</w:t>
      </w:r>
      <w:r w:rsidR="00633497" w:rsidRPr="00633497">
        <w:rPr>
          <w:rFonts w:asciiTheme="majorHAnsi" w:hAnsiTheme="majorHAnsi"/>
          <w:b/>
        </w:rPr>
        <w:t xml:space="preserve">5 controls in </w:t>
      </w:r>
      <w:r w:rsidR="0087545C" w:rsidRPr="00633497">
        <w:rPr>
          <w:rFonts w:asciiTheme="majorHAnsi" w:hAnsiTheme="majorHAnsi"/>
          <w:b/>
        </w:rPr>
        <w:t>Screen</w:t>
      </w:r>
      <w:r w:rsidR="0087545C">
        <w:rPr>
          <w:rFonts w:asciiTheme="majorHAnsi" w:hAnsiTheme="majorHAnsi"/>
          <w:b/>
        </w:rPr>
        <w:t xml:space="preserve"> </w:t>
      </w:r>
      <w:r w:rsidR="0087545C" w:rsidRPr="00633497">
        <w:rPr>
          <w:rFonts w:asciiTheme="majorHAnsi" w:hAnsiTheme="majorHAnsi"/>
          <w:b/>
        </w:rPr>
        <w:t>2</w:t>
      </w:r>
      <w:r w:rsidR="00633497" w:rsidRPr="00633497">
        <w:rPr>
          <w:rFonts w:asciiTheme="majorHAnsi" w:hAnsiTheme="majorHAnsi"/>
          <w:b/>
        </w:rPr>
        <w:t>.</w:t>
      </w:r>
      <w:r w:rsidR="00633497">
        <w:rPr>
          <w:rFonts w:asciiTheme="majorHAnsi" w:hAnsiTheme="majorHAnsi"/>
        </w:rPr>
        <w:t xml:space="preserve"> C</w:t>
      </w:r>
      <w:r w:rsidRPr="0013327C">
        <w:rPr>
          <w:rFonts w:asciiTheme="majorHAnsi" w:hAnsiTheme="majorHAnsi"/>
        </w:rPr>
        <w:t xml:space="preserve">ropped 40X images taken of fixed and Hoechst nuclear-stained S2R+ cells stably transfected with pMt-eGFP-PTS1, knocked down with </w:t>
      </w:r>
      <w:r w:rsidR="000C26B2" w:rsidRPr="000C26B2">
        <w:rPr>
          <w:rFonts w:asciiTheme="majorHAnsi" w:hAnsiTheme="majorHAnsi"/>
          <w:i/>
        </w:rPr>
        <w:t>PEX</w:t>
      </w:r>
      <w:r w:rsidRPr="0013327C">
        <w:rPr>
          <w:rFonts w:asciiTheme="majorHAnsi" w:hAnsiTheme="majorHAnsi"/>
        </w:rPr>
        <w:t>5 dsRNA and induced with 50µM CuSO</w:t>
      </w:r>
      <w:r w:rsidRPr="0013327C">
        <w:rPr>
          <w:rFonts w:asciiTheme="majorHAnsi" w:hAnsiTheme="majorHAnsi"/>
          <w:vertAlign w:val="subscript"/>
        </w:rPr>
        <w:t>4</w:t>
      </w:r>
      <w:r w:rsidRPr="0013327C">
        <w:rPr>
          <w:rFonts w:asciiTheme="majorHAnsi" w:hAnsiTheme="majorHAnsi"/>
        </w:rPr>
        <w:t xml:space="preserve"> for 24 hours after 5 days of growth. The images were analysed with the new Transfluor settings</w:t>
      </w:r>
      <w:r w:rsidR="00E749D9">
        <w:rPr>
          <w:rFonts w:asciiTheme="majorHAnsi" w:hAnsiTheme="majorHAnsi"/>
        </w:rPr>
        <w:t>.</w:t>
      </w:r>
      <w:r w:rsidRPr="0013327C">
        <w:rPr>
          <w:rFonts w:asciiTheme="majorHAnsi" w:hAnsiTheme="majorHAnsi"/>
        </w:rPr>
        <w:t xml:space="preserve"> The raw DAPI channel (top left) is segmented into nuclei (not shown), the raw GFP channel (top right) is segmented into puncta and superimposed onto the segmented nuclei (bottom left). The superimposed </w:t>
      </w:r>
      <w:r w:rsidR="0087545C" w:rsidRPr="0013327C">
        <w:rPr>
          <w:rFonts w:asciiTheme="majorHAnsi" w:hAnsiTheme="majorHAnsi"/>
        </w:rPr>
        <w:t>segmentations</w:t>
      </w:r>
      <w:r w:rsidRPr="0013327C">
        <w:rPr>
          <w:rFonts w:asciiTheme="majorHAnsi" w:hAnsiTheme="majorHAnsi"/>
        </w:rPr>
        <w:t xml:space="preserve"> are overlaid onto the raw DAPI image (bottom right) for comparison. Bar = 20µm.</w:t>
      </w:r>
    </w:p>
    <w:p w:rsidR="00E749D9" w:rsidRDefault="00E749D9" w:rsidP="00AE0264">
      <w:pPr>
        <w:jc w:val="both"/>
        <w:rPr>
          <w:rFonts w:asciiTheme="majorHAnsi" w:hAnsiTheme="majorHAnsi"/>
        </w:rPr>
      </w:pPr>
    </w:p>
    <w:p w:rsidR="00F0664D" w:rsidRDefault="00F0664D" w:rsidP="00AE0264">
      <w:pPr>
        <w:jc w:val="both"/>
        <w:rPr>
          <w:rFonts w:asciiTheme="majorHAnsi" w:hAnsiTheme="majorHAnsi"/>
        </w:rPr>
      </w:pPr>
    </w:p>
    <w:p w:rsidR="00E749D9" w:rsidRPr="0013327C" w:rsidRDefault="00E749D9" w:rsidP="00AE0264">
      <w:pPr>
        <w:jc w:val="both"/>
        <w:rPr>
          <w:rFonts w:asciiTheme="majorHAnsi" w:hAnsiTheme="majorHAnsi"/>
        </w:rPr>
      </w:pPr>
    </w:p>
    <w:p w:rsidR="00C3380A" w:rsidRPr="0013327C" w:rsidRDefault="00C3380A" w:rsidP="00AE0264">
      <w:pPr>
        <w:jc w:val="both"/>
        <w:rPr>
          <w:rFonts w:asciiTheme="majorHAnsi" w:hAnsiTheme="majorHAnsi"/>
          <w:b/>
        </w:rPr>
      </w:pPr>
      <w:r w:rsidRPr="0013327C">
        <w:rPr>
          <w:rFonts w:asciiTheme="majorHAnsi" w:hAnsiTheme="majorHAnsi"/>
          <w:b/>
          <w:noProof/>
          <w:lang w:eastAsia="en-GB"/>
        </w:rPr>
        <w:lastRenderedPageBreak/>
        <w:drawing>
          <wp:inline distT="0" distB="0" distL="0" distR="0">
            <wp:extent cx="4901565" cy="1139825"/>
            <wp:effectExtent l="0" t="0" r="0" b="0"/>
            <wp:docPr id="1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4901565" cy="1139825"/>
                    </a:xfrm>
                    <a:prstGeom prst="rect">
                      <a:avLst/>
                    </a:prstGeom>
                    <a:noFill/>
                  </pic:spPr>
                </pic:pic>
              </a:graphicData>
            </a:graphic>
          </wp:inline>
        </w:drawing>
      </w:r>
    </w:p>
    <w:p w:rsidR="00C3380A" w:rsidRPr="0013327C" w:rsidRDefault="007F49F1" w:rsidP="00AE0264">
      <w:pPr>
        <w:jc w:val="both"/>
        <w:rPr>
          <w:rFonts w:asciiTheme="majorHAnsi" w:hAnsiTheme="majorHAnsi"/>
        </w:rPr>
      </w:pPr>
      <w:proofErr w:type="gramStart"/>
      <w:r>
        <w:rPr>
          <w:rFonts w:asciiTheme="majorHAnsi" w:hAnsiTheme="majorHAnsi"/>
          <w:b/>
        </w:rPr>
        <w:t>Table 4.1</w:t>
      </w:r>
      <w:r w:rsidR="00C3380A" w:rsidRPr="00B93132">
        <w:rPr>
          <w:rFonts w:asciiTheme="majorHAnsi" w:hAnsiTheme="majorHAnsi"/>
          <w:b/>
        </w:rPr>
        <w:t>.</w:t>
      </w:r>
      <w:proofErr w:type="gramEnd"/>
      <w:r w:rsidR="00C3380A" w:rsidRPr="00B93132">
        <w:rPr>
          <w:rFonts w:asciiTheme="majorHAnsi" w:hAnsiTheme="majorHAnsi"/>
          <w:b/>
        </w:rPr>
        <w:t xml:space="preserve"> </w:t>
      </w:r>
      <w:r w:rsidR="00B93132" w:rsidRPr="00B93132">
        <w:rPr>
          <w:rFonts w:asciiTheme="majorHAnsi" w:hAnsiTheme="majorHAnsi"/>
          <w:b/>
        </w:rPr>
        <w:t>A comparison of Transfluor data from both screen</w:t>
      </w:r>
      <w:r w:rsidR="008D0320">
        <w:rPr>
          <w:rFonts w:asciiTheme="majorHAnsi" w:hAnsiTheme="majorHAnsi"/>
          <w:b/>
        </w:rPr>
        <w:t>s’</w:t>
      </w:r>
      <w:r w:rsidR="00B93132" w:rsidRPr="00B93132">
        <w:rPr>
          <w:rFonts w:asciiTheme="majorHAnsi" w:hAnsiTheme="majorHAnsi"/>
          <w:b/>
        </w:rPr>
        <w:t xml:space="preserve"> </w:t>
      </w:r>
      <w:r w:rsidR="000C26B2" w:rsidRPr="000C26B2">
        <w:rPr>
          <w:rFonts w:asciiTheme="majorHAnsi" w:hAnsiTheme="majorHAnsi"/>
          <w:b/>
          <w:i/>
        </w:rPr>
        <w:t>PEX</w:t>
      </w:r>
      <w:r w:rsidR="00B93132" w:rsidRPr="00B93132">
        <w:rPr>
          <w:rFonts w:asciiTheme="majorHAnsi" w:hAnsiTheme="majorHAnsi"/>
          <w:b/>
        </w:rPr>
        <w:t>5 controls.</w:t>
      </w:r>
      <w:r w:rsidR="0087545C">
        <w:rPr>
          <w:rFonts w:asciiTheme="majorHAnsi" w:hAnsiTheme="majorHAnsi"/>
          <w:b/>
        </w:rPr>
        <w:t xml:space="preserve"> </w:t>
      </w:r>
      <w:proofErr w:type="gramStart"/>
      <w:r w:rsidR="00C3380A" w:rsidRPr="0013327C">
        <w:rPr>
          <w:rFonts w:asciiTheme="majorHAnsi" w:hAnsiTheme="majorHAnsi"/>
        </w:rPr>
        <w:t>A data table giving a comparison of logged data from assay plates using Transfluor settings from the old assay (Screen 1) and the new (Screen 2).</w:t>
      </w:r>
      <w:proofErr w:type="gramEnd"/>
      <w:r w:rsidR="00C3380A" w:rsidRPr="0013327C">
        <w:rPr>
          <w:rFonts w:asciiTheme="majorHAnsi" w:hAnsiTheme="majorHAnsi"/>
        </w:rPr>
        <w:t xml:space="preserve"> </w:t>
      </w:r>
    </w:p>
    <w:p w:rsidR="00C3380A" w:rsidRPr="0013327C" w:rsidRDefault="00C3380A" w:rsidP="00AE0264">
      <w:pPr>
        <w:jc w:val="both"/>
        <w:rPr>
          <w:rFonts w:asciiTheme="majorHAnsi" w:hAnsiTheme="majorHAnsi"/>
        </w:rPr>
      </w:pPr>
      <w:r w:rsidRPr="0013327C">
        <w:rPr>
          <w:rFonts w:asciiTheme="majorHAnsi" w:hAnsiTheme="majorHAnsi"/>
        </w:rPr>
        <w:t xml:space="preserve">The data table in Figure 3.2.6.4 shows typical values for WT and </w:t>
      </w:r>
      <w:r w:rsidR="000C26B2" w:rsidRPr="000C26B2">
        <w:rPr>
          <w:rFonts w:asciiTheme="majorHAnsi" w:hAnsiTheme="majorHAnsi"/>
          <w:i/>
        </w:rPr>
        <w:t>PEX</w:t>
      </w:r>
      <w:r w:rsidRPr="0013327C">
        <w:rPr>
          <w:rFonts w:asciiTheme="majorHAnsi" w:hAnsiTheme="majorHAnsi"/>
        </w:rPr>
        <w:t xml:space="preserve">5-treated cells in assay plates. WT and </w:t>
      </w:r>
      <w:r w:rsidR="000C26B2" w:rsidRPr="000C26B2">
        <w:rPr>
          <w:rFonts w:asciiTheme="majorHAnsi" w:hAnsiTheme="majorHAnsi"/>
          <w:i/>
        </w:rPr>
        <w:t>PEX</w:t>
      </w:r>
      <w:r w:rsidRPr="0013327C">
        <w:rPr>
          <w:rFonts w:asciiTheme="majorHAnsi" w:hAnsiTheme="majorHAnsi"/>
        </w:rPr>
        <w:t xml:space="preserve">5 treatments are still easily distinguishable. The increased sensitivity of the Transfluor application in the second assay is reflected in displaying an increased peroxisome (Pit) count per cell in </w:t>
      </w:r>
      <w:r w:rsidR="000C26B2" w:rsidRPr="000C26B2">
        <w:rPr>
          <w:rFonts w:asciiTheme="majorHAnsi" w:hAnsiTheme="majorHAnsi"/>
          <w:i/>
        </w:rPr>
        <w:t>PEX</w:t>
      </w:r>
      <w:r w:rsidRPr="0013327C">
        <w:rPr>
          <w:rFonts w:asciiTheme="majorHAnsi" w:hAnsiTheme="majorHAnsi"/>
        </w:rPr>
        <w:t xml:space="preserve">5 cells over that of the 20X images. The settings may be too sensitive as it records a small number of Pits in areas where no peroxisomes are apparent. This is unfortunately unavoidable as it is this sensitivity to contrast in grey levels (Fig. 3.2.6.1) which allows the dim peroxisomes in the WT cells to be distinguished (see Fig. 3.2.6.2). These settings were altered and tested with high repetition to determine where the best compromise could be found in making an accurate determination of the differences between WT cells and KDs of </w:t>
      </w:r>
      <w:r w:rsidR="000C26B2" w:rsidRPr="000C26B2">
        <w:rPr>
          <w:rFonts w:asciiTheme="majorHAnsi" w:hAnsiTheme="majorHAnsi"/>
          <w:i/>
        </w:rPr>
        <w:t>PEX</w:t>
      </w:r>
      <w:r w:rsidRPr="0013327C">
        <w:rPr>
          <w:rFonts w:asciiTheme="majorHAnsi" w:hAnsiTheme="majorHAnsi"/>
        </w:rPr>
        <w:t xml:space="preserve">1,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16, NMD and Tango11. Pit count was the most important data field for differences to be distinguished. No adjustments were deemed necessary to distinguish the two tests in peroxisome average intensity or area (cross-sectional) per cell.</w:t>
      </w:r>
    </w:p>
    <w:p w:rsidR="00C3380A" w:rsidRPr="0013327C" w:rsidRDefault="00C3380A" w:rsidP="00AE0264">
      <w:pPr>
        <w:jc w:val="both"/>
        <w:rPr>
          <w:rFonts w:asciiTheme="majorHAnsi" w:hAnsiTheme="majorHAnsi"/>
        </w:rPr>
      </w:pPr>
      <w:r w:rsidRPr="0013327C">
        <w:rPr>
          <w:rFonts w:asciiTheme="majorHAnsi" w:hAnsiTheme="majorHAnsi"/>
        </w:rPr>
        <w:t xml:space="preserve">Once the parameter settings had been optimised and tested repeatedly on sample wells from an assay plate, three assay plates were then tested using only the Transfluor application, without a journal governing it. The controls used were (descending in column 9) </w:t>
      </w:r>
      <w:r w:rsidR="000C26B2" w:rsidRPr="000C26B2">
        <w:rPr>
          <w:rFonts w:asciiTheme="majorHAnsi" w:hAnsiTheme="majorHAnsi"/>
          <w:i/>
        </w:rPr>
        <w:t>PEX</w:t>
      </w:r>
      <w:r w:rsidRPr="0013327C">
        <w:rPr>
          <w:rFonts w:asciiTheme="majorHAnsi" w:hAnsiTheme="majorHAnsi"/>
        </w:rPr>
        <w:t xml:space="preserve">1, </w:t>
      </w:r>
      <w:r w:rsidR="000C26B2" w:rsidRPr="000C26B2">
        <w:rPr>
          <w:rFonts w:asciiTheme="majorHAnsi" w:hAnsiTheme="majorHAnsi"/>
          <w:i/>
        </w:rPr>
        <w:t>PEX</w:t>
      </w:r>
      <w:r w:rsidRPr="0013327C">
        <w:rPr>
          <w:rFonts w:asciiTheme="majorHAnsi" w:hAnsiTheme="majorHAnsi"/>
        </w:rPr>
        <w:t xml:space="preserve">3, </w:t>
      </w:r>
      <w:proofErr w:type="gramStart"/>
      <w:r w:rsidR="000C26B2" w:rsidRPr="000C26B2">
        <w:rPr>
          <w:rFonts w:asciiTheme="majorHAnsi" w:hAnsiTheme="majorHAnsi"/>
          <w:i/>
        </w:rPr>
        <w:t>PEX</w:t>
      </w:r>
      <w:r w:rsidRPr="0013327C">
        <w:rPr>
          <w:rFonts w:asciiTheme="majorHAnsi" w:hAnsiTheme="majorHAnsi"/>
        </w:rPr>
        <w:t>5</w:t>
      </w:r>
      <w:proofErr w:type="gramEnd"/>
      <w:r w:rsidRPr="0013327C">
        <w:rPr>
          <w:rFonts w:asciiTheme="majorHAnsi" w:hAnsiTheme="majorHAnsi"/>
        </w:rPr>
        <w:t xml:space="preserve">, </w:t>
      </w:r>
      <w:r w:rsidR="000C26B2" w:rsidRPr="000C26B2">
        <w:rPr>
          <w:rFonts w:asciiTheme="majorHAnsi" w:hAnsiTheme="majorHAnsi"/>
          <w:i/>
        </w:rPr>
        <w:t>PEX</w:t>
      </w:r>
      <w:r w:rsidRPr="0013327C">
        <w:rPr>
          <w:rFonts w:asciiTheme="majorHAnsi" w:hAnsiTheme="majorHAnsi"/>
        </w:rPr>
        <w:t xml:space="preserve">16, </w:t>
      </w:r>
      <w:r w:rsidR="000C26B2" w:rsidRPr="000C26B2">
        <w:rPr>
          <w:rFonts w:asciiTheme="majorHAnsi" w:hAnsiTheme="majorHAnsi"/>
          <w:i/>
        </w:rPr>
        <w:t>PEX</w:t>
      </w:r>
      <w:r w:rsidRPr="0013327C">
        <w:rPr>
          <w:rFonts w:asciiTheme="majorHAnsi" w:hAnsiTheme="majorHAnsi"/>
        </w:rPr>
        <w:t xml:space="preserve">19, Ints12, Drp1 and nmd. For this triplicate of tests Drp1 was substituted in for Tango11. An E-RNAi-derived Drp1 dsRNA had proven effective in lab tests and was more effective in producing a non-WT phenotype than the Tango11 probe. Ints12 was a KD which scored low in the first screen but there were a small number of colonies among the images which showed a drastic reduction in peroxisomes and a strong presence of eGFP-PTS1 mislocalised to the cytosol. In lab tests the E-RNAi derived probe proved ineffectual at producing a non-WT phenotype. It was included as a negative control for the screen though the library probe </w:t>
      </w:r>
      <w:proofErr w:type="gramStart"/>
      <w:r w:rsidRPr="0013327C">
        <w:rPr>
          <w:rFonts w:asciiTheme="majorHAnsi" w:hAnsiTheme="majorHAnsi"/>
        </w:rPr>
        <w:t>targeting .</w:t>
      </w:r>
      <w:proofErr w:type="gramEnd"/>
    </w:p>
    <w:p w:rsidR="00C3380A" w:rsidRPr="0013327C" w:rsidRDefault="00C3380A" w:rsidP="00AE0264">
      <w:pPr>
        <w:jc w:val="both"/>
        <w:rPr>
          <w:rFonts w:asciiTheme="majorHAnsi" w:hAnsiTheme="majorHAnsi"/>
        </w:rPr>
      </w:pPr>
      <w:r w:rsidRPr="0013327C">
        <w:rPr>
          <w:rFonts w:asciiTheme="majorHAnsi" w:hAnsiTheme="majorHAnsi"/>
        </w:rPr>
        <w:lastRenderedPageBreak/>
        <w:t xml:space="preserve">The assay plates that were tested showed clear differences between positive and negative controls for peroxisome count: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 xml:space="preserve">16, Drp1 and NMD showed reduced numbers of peroxisomes per cell (11, 15, 5, 10 and 4 respectively, average of 6-wells, σ = -2.5, -1.75, -4.25, -3 and -4.5). The negative control Ints12 giving an average peroxisome count of 23, σ = 0.25. </w:t>
      </w:r>
      <w:r w:rsidR="000C26B2" w:rsidRPr="000C26B2">
        <w:rPr>
          <w:rFonts w:asciiTheme="majorHAnsi" w:hAnsiTheme="majorHAnsi"/>
          <w:i/>
        </w:rPr>
        <w:t>PEX</w:t>
      </w:r>
      <w:r w:rsidRPr="0013327C">
        <w:rPr>
          <w:rFonts w:asciiTheme="majorHAnsi" w:hAnsiTheme="majorHAnsi"/>
        </w:rPr>
        <w:t xml:space="preserve">19 only gave an average of 18 peroxisomes per cell (σ = -1). The </w:t>
      </w:r>
      <w:r w:rsidR="000C26B2" w:rsidRPr="000C26B2">
        <w:rPr>
          <w:rFonts w:asciiTheme="majorHAnsi" w:hAnsiTheme="majorHAnsi"/>
          <w:i/>
        </w:rPr>
        <w:t>PEX</w:t>
      </w:r>
      <w:r w:rsidRPr="0013327C">
        <w:rPr>
          <w:rFonts w:asciiTheme="majorHAnsi" w:hAnsiTheme="majorHAnsi"/>
        </w:rPr>
        <w:t xml:space="preserve">1 dsRNA failed to cause a significant effect, registering σ = 1. While not intentional the failure of the </w:t>
      </w:r>
      <w:r w:rsidR="000C26B2" w:rsidRPr="000C26B2">
        <w:rPr>
          <w:rFonts w:asciiTheme="majorHAnsi" w:hAnsiTheme="majorHAnsi"/>
          <w:i/>
        </w:rPr>
        <w:t>PEX</w:t>
      </w:r>
      <w:r w:rsidRPr="0013327C">
        <w:rPr>
          <w:rFonts w:asciiTheme="majorHAnsi" w:hAnsiTheme="majorHAnsi"/>
        </w:rPr>
        <w:t>1 probe to produce an effective KD meant that an additional negative control could be screened.</w:t>
      </w:r>
    </w:p>
    <w:p w:rsidR="00C3380A" w:rsidRPr="0013327C" w:rsidRDefault="00C3380A" w:rsidP="00AE0264">
      <w:pPr>
        <w:jc w:val="both"/>
        <w:rPr>
          <w:rFonts w:asciiTheme="majorHAnsi" w:hAnsiTheme="majorHAnsi"/>
        </w:rPr>
      </w:pPr>
      <w:r w:rsidRPr="0013327C">
        <w:rPr>
          <w:rFonts w:asciiTheme="majorHAnsi" w:hAnsiTheme="majorHAnsi"/>
          <w:b/>
          <w:noProof/>
          <w:lang w:eastAsia="en-GB"/>
        </w:rPr>
        <w:drawing>
          <wp:inline distT="0" distB="0" distL="0" distR="0">
            <wp:extent cx="5019861" cy="3081308"/>
            <wp:effectExtent l="0" t="0" r="0" b="0"/>
            <wp:docPr id="1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5027020" cy="3085702"/>
                    </a:xfrm>
                    <a:prstGeom prst="rect">
                      <a:avLst/>
                    </a:prstGeom>
                    <a:noFill/>
                  </pic:spPr>
                </pic:pic>
              </a:graphicData>
            </a:graphic>
          </wp:inline>
        </w:drawing>
      </w:r>
      <w:proofErr w:type="gramStart"/>
      <w:r w:rsidRPr="0013327C">
        <w:rPr>
          <w:rFonts w:asciiTheme="majorHAnsi" w:hAnsiTheme="majorHAnsi"/>
          <w:b/>
        </w:rPr>
        <w:t xml:space="preserve">Figure </w:t>
      </w:r>
      <w:r w:rsidR="00B93132">
        <w:rPr>
          <w:rFonts w:asciiTheme="majorHAnsi" w:hAnsiTheme="majorHAnsi"/>
          <w:b/>
        </w:rPr>
        <w:t>4.</w:t>
      </w:r>
      <w:r w:rsidR="004771C0">
        <w:rPr>
          <w:rFonts w:asciiTheme="majorHAnsi" w:hAnsiTheme="majorHAnsi"/>
          <w:b/>
        </w:rPr>
        <w:t>7</w:t>
      </w:r>
      <w:r w:rsidR="00B93132">
        <w:rPr>
          <w:rFonts w:asciiTheme="majorHAnsi" w:hAnsiTheme="majorHAnsi"/>
          <w:b/>
        </w:rPr>
        <w:t>.</w:t>
      </w:r>
      <w:proofErr w:type="gramEnd"/>
      <w:r w:rsidR="00D506CC">
        <w:rPr>
          <w:rFonts w:asciiTheme="majorHAnsi" w:hAnsiTheme="majorHAnsi"/>
          <w:b/>
        </w:rPr>
        <w:t xml:space="preserve"> </w:t>
      </w:r>
      <w:r w:rsidR="00B93132">
        <w:rPr>
          <w:rFonts w:asciiTheme="majorHAnsi" w:hAnsiTheme="majorHAnsi"/>
          <w:b/>
        </w:rPr>
        <w:t xml:space="preserve"> </w:t>
      </w:r>
      <w:proofErr w:type="gramStart"/>
      <w:r w:rsidR="00B93132">
        <w:rPr>
          <w:rFonts w:asciiTheme="majorHAnsi" w:hAnsiTheme="majorHAnsi"/>
          <w:b/>
        </w:rPr>
        <w:t>A heat-map of a Screen 2 Assay plate.</w:t>
      </w:r>
      <w:proofErr w:type="gramEnd"/>
      <w:r w:rsidR="00B93132">
        <w:rPr>
          <w:rFonts w:asciiTheme="majorHAnsi" w:hAnsiTheme="majorHAnsi"/>
          <w:b/>
        </w:rPr>
        <w:t xml:space="preserve"> </w:t>
      </w:r>
      <w:r w:rsidRPr="0013327C">
        <w:rPr>
          <w:rFonts w:asciiTheme="majorHAnsi" w:hAnsiTheme="majorHAnsi"/>
          <w:b/>
        </w:rPr>
        <w:t xml:space="preserve"> </w:t>
      </w:r>
      <w:r w:rsidRPr="0013327C">
        <w:rPr>
          <w:rFonts w:asciiTheme="majorHAnsi" w:hAnsiTheme="majorHAnsi"/>
        </w:rPr>
        <w:t>An Excel-derived heat-map of the mean average of the three plates used to test WT and control peroxisome per cell numbers for the assay. Each number is rounded to 0 d.p</w:t>
      </w:r>
      <w:proofErr w:type="gramStart"/>
      <w:r w:rsidRPr="0013327C">
        <w:rPr>
          <w:rFonts w:asciiTheme="majorHAnsi" w:hAnsiTheme="majorHAnsi"/>
        </w:rPr>
        <w:t>..</w:t>
      </w:r>
      <w:proofErr w:type="gramEnd"/>
      <w:r w:rsidRPr="0013327C">
        <w:rPr>
          <w:rFonts w:asciiTheme="majorHAnsi" w:hAnsiTheme="majorHAnsi"/>
        </w:rPr>
        <w:t xml:space="preserve"> Positive controls are in red borders (column 9 descending and column 17 ascending) </w:t>
      </w:r>
      <w:r w:rsidR="000C26B2" w:rsidRPr="000C26B2">
        <w:rPr>
          <w:rFonts w:asciiTheme="majorHAnsi" w:hAnsiTheme="majorHAnsi"/>
          <w:i/>
        </w:rPr>
        <w:t>PEX</w:t>
      </w:r>
      <w:r w:rsidRPr="0013327C">
        <w:rPr>
          <w:rFonts w:asciiTheme="majorHAnsi" w:hAnsiTheme="majorHAnsi"/>
        </w:rPr>
        <w:t xml:space="preserve">1,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16, Pex19, Ints12, Tango11 and nmd.</w:t>
      </w:r>
    </w:p>
    <w:p w:rsidR="00C3380A" w:rsidRPr="0013327C" w:rsidRDefault="00C3380A" w:rsidP="00AE0264">
      <w:pPr>
        <w:pStyle w:val="Heading2"/>
        <w:jc w:val="both"/>
      </w:pPr>
      <w:bookmarkStart w:id="114" w:name="_Toc348423366"/>
      <w:r w:rsidRPr="0013327C">
        <w:t>Normalisation procedures</w:t>
      </w:r>
      <w:bookmarkEnd w:id="114"/>
    </w:p>
    <w:p w:rsidR="00C3380A" w:rsidRPr="0013327C" w:rsidRDefault="00C3380A" w:rsidP="00AE0264">
      <w:pPr>
        <w:jc w:val="both"/>
        <w:rPr>
          <w:rFonts w:asciiTheme="majorHAnsi" w:hAnsiTheme="majorHAnsi"/>
        </w:rPr>
      </w:pPr>
      <w:r w:rsidRPr="0013327C">
        <w:rPr>
          <w:rFonts w:asciiTheme="majorHAnsi" w:hAnsiTheme="majorHAnsi"/>
        </w:rPr>
        <w:t xml:space="preserve">The previous chapter and its relevant sections on data analysis are of interpretation of raw data. The main datafield analysed was peroxisome count per cell and the numbers returned were converted to z-scores. These data were not quantile-normalised. </w:t>
      </w:r>
    </w:p>
    <w:p w:rsidR="00C3380A" w:rsidRPr="0013327C" w:rsidRDefault="00C3380A" w:rsidP="00AE0264">
      <w:pPr>
        <w:jc w:val="both"/>
        <w:rPr>
          <w:rFonts w:asciiTheme="majorHAnsi" w:hAnsiTheme="majorHAnsi"/>
        </w:rPr>
      </w:pPr>
      <w:r w:rsidRPr="0013327C">
        <w:rPr>
          <w:rFonts w:asciiTheme="majorHAnsi" w:hAnsiTheme="majorHAnsi"/>
        </w:rPr>
        <w:t xml:space="preserve">The process of quantile normalisation is important for this assay as certain assumptions are made of the way the data are produced with reference to the methods involved in carrying out the screen. All 20,352 wells of the 53 plates are seeded with same batch of transfected S2R+ cells collated from 3 different T75 flasks (the flasks were each seeded from a T25 flask, all three of which were seeded with 1/3 of a single </w:t>
      </w:r>
      <w:r w:rsidRPr="0013327C">
        <w:rPr>
          <w:rFonts w:asciiTheme="majorHAnsi" w:hAnsiTheme="majorHAnsi"/>
        </w:rPr>
        <w:lastRenderedPageBreak/>
        <w:t xml:space="preserve">T25). Theoretically they should each be treated as equal wells in a high through-put experiment but the fact that they exist in arrays of 384 per plate means that certain biases with inevitably manifest in the course of the experiment. A simple example of this would be that the plates are stacked </w:t>
      </w:r>
      <w:r w:rsidR="00D506CC" w:rsidRPr="0013327C">
        <w:rPr>
          <w:rFonts w:asciiTheme="majorHAnsi" w:hAnsiTheme="majorHAnsi"/>
        </w:rPr>
        <w:t>on</w:t>
      </w:r>
      <w:r w:rsidRPr="0013327C">
        <w:rPr>
          <w:rFonts w:asciiTheme="majorHAnsi" w:hAnsiTheme="majorHAnsi"/>
        </w:rPr>
        <w:t xml:space="preserve"> top of each other in 5 columns 11 or 10 plates high in the incubator. Each well has its own proximity to its nearest two sides of the plate and its own height within the stack. </w:t>
      </w:r>
      <w:proofErr w:type="gramStart"/>
      <w:r w:rsidRPr="0013327C">
        <w:rPr>
          <w:rFonts w:asciiTheme="majorHAnsi" w:hAnsiTheme="majorHAnsi"/>
        </w:rPr>
        <w:t>All three of which determine the wells’ distances from the air and the walls in the incubator and would therefore have an effect on the movement of thermal energy from the 25°C environment.</w:t>
      </w:r>
      <w:proofErr w:type="gramEnd"/>
      <w:r w:rsidRPr="0013327C">
        <w:rPr>
          <w:rFonts w:asciiTheme="majorHAnsi" w:hAnsiTheme="majorHAnsi"/>
        </w:rPr>
        <w:t xml:space="preserve"> This theoretically could affect the rate of growth of the cells, the rate of kinetics of the RNAi reactions and subsequently the severity of the knock-down. Not only would each well be affected individually but also each plate as well.</w:t>
      </w:r>
    </w:p>
    <w:p w:rsidR="00C3380A" w:rsidRPr="0013327C" w:rsidRDefault="00C3380A" w:rsidP="00AE0264">
      <w:pPr>
        <w:jc w:val="both"/>
        <w:rPr>
          <w:rFonts w:asciiTheme="majorHAnsi" w:hAnsiTheme="majorHAnsi"/>
        </w:rPr>
      </w:pPr>
      <w:r w:rsidRPr="0013327C">
        <w:rPr>
          <w:rFonts w:asciiTheme="majorHAnsi" w:hAnsiTheme="majorHAnsi"/>
        </w:rPr>
        <w:t>While there is no way to normalise the wells according to their geography within the well, there is a way to normalise the wells within each plate according solely to their values and then each plate normalised across the entire screen. This process makes several assumptions:</w:t>
      </w:r>
    </w:p>
    <w:p w:rsidR="00C3380A" w:rsidRPr="0013327C" w:rsidRDefault="00C3380A" w:rsidP="00AE0264">
      <w:pPr>
        <w:pStyle w:val="ListParagraph"/>
        <w:numPr>
          <w:ilvl w:val="0"/>
          <w:numId w:val="21"/>
        </w:numPr>
        <w:spacing w:line="276" w:lineRule="auto"/>
        <w:jc w:val="both"/>
        <w:rPr>
          <w:rFonts w:asciiTheme="majorHAnsi" w:hAnsiTheme="majorHAnsi"/>
        </w:rPr>
      </w:pPr>
      <w:r w:rsidRPr="0013327C">
        <w:rPr>
          <w:rFonts w:asciiTheme="majorHAnsi" w:hAnsiTheme="majorHAnsi"/>
        </w:rPr>
        <w:t>Each plate equally represents a cross-section of all the dsRNAs in the screen, from the highest scoring gene KDs through to the lowest.</w:t>
      </w:r>
    </w:p>
    <w:p w:rsidR="00C3380A" w:rsidRPr="0013327C" w:rsidRDefault="00C3380A" w:rsidP="00AE0264">
      <w:pPr>
        <w:pStyle w:val="ListParagraph"/>
        <w:numPr>
          <w:ilvl w:val="0"/>
          <w:numId w:val="21"/>
        </w:numPr>
        <w:spacing w:line="276" w:lineRule="auto"/>
        <w:jc w:val="both"/>
        <w:rPr>
          <w:rFonts w:asciiTheme="majorHAnsi" w:hAnsiTheme="majorHAnsi"/>
        </w:rPr>
      </w:pPr>
      <w:r w:rsidRPr="0013327C">
        <w:rPr>
          <w:rFonts w:asciiTheme="majorHAnsi" w:hAnsiTheme="majorHAnsi"/>
        </w:rPr>
        <w:t>Any differences experienced between plates are experienced equally between all the wells in each plate.</w:t>
      </w:r>
    </w:p>
    <w:p w:rsidR="00C3380A" w:rsidRPr="0013327C" w:rsidRDefault="00C3380A" w:rsidP="00AE0264">
      <w:pPr>
        <w:jc w:val="both"/>
        <w:rPr>
          <w:rFonts w:asciiTheme="majorHAnsi" w:hAnsiTheme="majorHAnsi"/>
        </w:rPr>
      </w:pPr>
      <w:r w:rsidRPr="0013327C">
        <w:rPr>
          <w:rFonts w:asciiTheme="majorHAnsi" w:hAnsiTheme="majorHAnsi"/>
        </w:rPr>
        <w:t xml:space="preserve">A formula can then be applied to the datafields, first to each well/gene across each plate. This requires performing the quantile normalisation calculations one plate at a time for all of its constituent genes, each raw value is converted from v to v’ </w:t>
      </w:r>
      <w:r w:rsidRPr="00B93132">
        <w:rPr>
          <w:rFonts w:asciiTheme="majorHAnsi" w:hAnsiTheme="majorHAnsi"/>
        </w:rPr>
        <w:t xml:space="preserve">(see figure </w:t>
      </w:r>
      <w:r w:rsidR="00B93132">
        <w:rPr>
          <w:rFonts w:asciiTheme="majorHAnsi" w:hAnsiTheme="majorHAnsi"/>
        </w:rPr>
        <w:t>4.9</w:t>
      </w:r>
      <w:r w:rsidRPr="00B93132">
        <w:rPr>
          <w:rFonts w:asciiTheme="majorHAnsi" w:hAnsiTheme="majorHAnsi"/>
        </w:rPr>
        <w:t>)</w:t>
      </w:r>
      <w:r w:rsidRPr="0013327C">
        <w:rPr>
          <w:rFonts w:asciiTheme="majorHAnsi" w:hAnsiTheme="majorHAnsi"/>
        </w:rPr>
        <w:t>. Once all 53</w:t>
      </w:r>
      <w:r w:rsidR="006F0800">
        <w:rPr>
          <w:rFonts w:asciiTheme="majorHAnsi" w:hAnsiTheme="majorHAnsi"/>
        </w:rPr>
        <w:t xml:space="preserve"> plates</w:t>
      </w:r>
      <w:r w:rsidRPr="0013327C">
        <w:rPr>
          <w:rFonts w:asciiTheme="majorHAnsi" w:hAnsiTheme="majorHAnsi"/>
        </w:rPr>
        <w:t xml:space="preserve"> are done, the formula is repeated for each v’ in the genome giving a normalised v’ for the entire dataset. This final value is then </w:t>
      </w:r>
      <w:proofErr w:type="gramStart"/>
      <w:r w:rsidRPr="0013327C">
        <w:rPr>
          <w:rFonts w:asciiTheme="majorHAnsi" w:hAnsiTheme="majorHAnsi"/>
        </w:rPr>
        <w:t>converted  to</w:t>
      </w:r>
      <w:proofErr w:type="gramEnd"/>
      <w:r w:rsidRPr="0013327C">
        <w:rPr>
          <w:rFonts w:asciiTheme="majorHAnsi" w:hAnsiTheme="majorHAnsi"/>
        </w:rPr>
        <w:t xml:space="preserve"> a z-score.</w:t>
      </w:r>
    </w:p>
    <w:p w:rsidR="00C3380A" w:rsidRPr="0013327C" w:rsidRDefault="00C3380A"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021451" cy="2851688"/>
            <wp:effectExtent l="0" t="0" r="0" b="0"/>
            <wp:docPr id="183"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12769" cy="3762419"/>
                      <a:chOff x="1187623" y="1124744"/>
                      <a:chExt cx="6912769" cy="3762419"/>
                    </a:xfrm>
                  </a:grpSpPr>
                  <a:grpSp>
                    <a:nvGrpSpPr>
                      <a:cNvPr id="25" name="Group 24"/>
                      <a:cNvGrpSpPr/>
                    </a:nvGrpSpPr>
                    <a:grpSpPr>
                      <a:xfrm>
                        <a:off x="1187623" y="1124744"/>
                        <a:ext cx="6912769" cy="3762419"/>
                        <a:chOff x="1187623" y="1124744"/>
                        <a:chExt cx="6912769" cy="3762419"/>
                      </a:xfrm>
                    </a:grpSpPr>
                    <a:sp>
                      <a:nvSpPr>
                        <a:cNvPr id="4" name="TextBox 3"/>
                        <a:cNvSpPr txBox="1"/>
                      </a:nvSpPr>
                      <a:spPr>
                        <a:xfrm>
                          <a:off x="5796136" y="1124744"/>
                          <a:ext cx="1296144"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3200" b="1" dirty="0" smtClean="0"/>
                              <a:t>(Y - X)</a:t>
                            </a:r>
                            <a:endParaRPr lang="en-GB" sz="2000" dirty="0"/>
                          </a:p>
                        </a:txBody>
                        <a:useSpRect/>
                      </a:txSp>
                    </a:sp>
                    <a:sp>
                      <a:nvSpPr>
                        <a:cNvPr id="6" name="TextBox 5"/>
                        <a:cNvSpPr txBox="1"/>
                      </a:nvSpPr>
                      <a:spPr>
                        <a:xfrm>
                          <a:off x="5868143" y="1628800"/>
                          <a:ext cx="1053117"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3200" i="1" dirty="0" smtClean="0"/>
                              <a:t>y - x</a:t>
                            </a:r>
                            <a:endParaRPr lang="en-GB" sz="3200" i="1" dirty="0"/>
                          </a:p>
                        </a:txBody>
                        <a:useSpRect/>
                      </a:txSp>
                    </a:sp>
                    <a:sp>
                      <a:nvSpPr>
                        <a:cNvPr id="9" name="TextBox 8"/>
                        <a:cNvSpPr txBox="1"/>
                      </a:nvSpPr>
                      <a:spPr>
                        <a:xfrm>
                          <a:off x="5220071" y="1412776"/>
                          <a:ext cx="729081"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en-GB" sz="3200" i="1" dirty="0" smtClean="0"/>
                              <a:t>r </a:t>
                            </a:r>
                            <a:r>
                              <a:rPr lang="en-GB" sz="3200" dirty="0" smtClean="0"/>
                              <a:t>=</a:t>
                            </a:r>
                            <a:endParaRPr lang="en-GB" sz="3200" dirty="0"/>
                          </a:p>
                        </a:txBody>
                        <a:useSpRect/>
                      </a:txSp>
                    </a:sp>
                    <a:sp>
                      <a:nvSpPr>
                        <a:cNvPr id="10" name="TextBox 9"/>
                        <a:cNvSpPr txBox="1"/>
                      </a:nvSpPr>
                      <a:spPr>
                        <a:xfrm>
                          <a:off x="5724128" y="2401724"/>
                          <a:ext cx="162018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3200" b="1" dirty="0" smtClean="0"/>
                              <a:t>(</a:t>
                            </a:r>
                            <a:r>
                              <a:rPr lang="en-GB" sz="3200" b="1" dirty="0" err="1" smtClean="0"/>
                              <a:t>X</a:t>
                            </a:r>
                            <a:r>
                              <a:rPr lang="en-GB" sz="3200" i="1" dirty="0" err="1" smtClean="0"/>
                              <a:t>y</a:t>
                            </a:r>
                            <a:r>
                              <a:rPr lang="en-GB" sz="3200" i="1" dirty="0" smtClean="0"/>
                              <a:t> - </a:t>
                            </a:r>
                            <a:r>
                              <a:rPr lang="en-GB" sz="3200" i="1" dirty="0" err="1" smtClean="0"/>
                              <a:t>x</a:t>
                            </a:r>
                            <a:r>
                              <a:rPr lang="en-GB" sz="3200" b="1" dirty="0" err="1" smtClean="0"/>
                              <a:t>Y</a:t>
                            </a:r>
                            <a:r>
                              <a:rPr lang="en-GB" sz="3200" b="1" dirty="0" smtClean="0"/>
                              <a:t>)</a:t>
                            </a:r>
                            <a:endParaRPr lang="en-GB" sz="2000" dirty="0"/>
                          </a:p>
                        </a:txBody>
                        <a:useSpRect/>
                      </a:txSp>
                    </a:sp>
                    <a:sp>
                      <a:nvSpPr>
                        <a:cNvPr id="11" name="TextBox 10"/>
                        <a:cNvSpPr txBox="1"/>
                      </a:nvSpPr>
                      <a:spPr>
                        <a:xfrm>
                          <a:off x="5940151" y="2905780"/>
                          <a:ext cx="1053117"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3200" i="1" dirty="0"/>
                              <a:t>y</a:t>
                            </a:r>
                            <a:r>
                              <a:rPr lang="en-GB" sz="3200" i="1" dirty="0" smtClean="0"/>
                              <a:t> - x</a:t>
                            </a:r>
                            <a:endParaRPr lang="en-GB" sz="3200" i="1" dirty="0"/>
                          </a:p>
                        </a:txBody>
                        <a:useSpRect/>
                      </a:txSp>
                    </a:sp>
                    <a:cxnSp>
                      <a:nvCxnSpPr>
                        <a:cNvPr id="12" name="Straight Connector 11"/>
                        <a:cNvCxnSpPr/>
                      </a:nvCxnSpPr>
                      <a:spPr>
                        <a:xfrm>
                          <a:off x="5940152" y="2977788"/>
                          <a:ext cx="1053117"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13" name="TextBox 12"/>
                        <a:cNvSpPr txBox="1"/>
                      </a:nvSpPr>
                      <a:spPr>
                        <a:xfrm>
                          <a:off x="5220071" y="2689756"/>
                          <a:ext cx="729081"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en-GB" sz="3200" i="1" dirty="0"/>
                              <a:t>c</a:t>
                            </a:r>
                            <a:r>
                              <a:rPr lang="en-GB" sz="3200" i="1" dirty="0" smtClean="0"/>
                              <a:t> </a:t>
                            </a:r>
                            <a:r>
                              <a:rPr lang="en-GB" sz="3200" dirty="0" smtClean="0"/>
                              <a:t>=</a:t>
                            </a:r>
                            <a:endParaRPr lang="en-GB" sz="3200" dirty="0"/>
                          </a:p>
                        </a:txBody>
                        <a:useSpRect/>
                      </a:txSp>
                    </a:sp>
                    <a:sp>
                      <a:nvSpPr>
                        <a:cNvPr id="14" name="TextBox 13"/>
                        <a:cNvSpPr txBox="1"/>
                      </a:nvSpPr>
                      <a:spPr>
                        <a:xfrm>
                          <a:off x="4860032" y="4005064"/>
                          <a:ext cx="324036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3200" i="1" dirty="0" smtClean="0"/>
                              <a:t>v</a:t>
                            </a:r>
                            <a:r>
                              <a:rPr lang="en-GB" sz="3200" dirty="0" smtClean="0"/>
                              <a:t>’ = </a:t>
                            </a:r>
                            <a:r>
                              <a:rPr lang="en-GB" sz="3200" i="1" dirty="0" err="1" smtClean="0"/>
                              <a:t>rv</a:t>
                            </a:r>
                            <a:r>
                              <a:rPr lang="en-GB" sz="3200" dirty="0" smtClean="0"/>
                              <a:t> + </a:t>
                            </a:r>
                            <a:r>
                              <a:rPr lang="en-GB" sz="3200" i="1" dirty="0" smtClean="0"/>
                              <a:t>c</a:t>
                            </a:r>
                            <a:r>
                              <a:rPr lang="en-GB" sz="3200" dirty="0" smtClean="0"/>
                              <a:t> </a:t>
                            </a:r>
                            <a:endParaRPr lang="en-GB" sz="3200" dirty="0"/>
                          </a:p>
                        </a:txBody>
                        <a:useSpRect/>
                      </a:txSp>
                    </a:sp>
                    <a:sp>
                      <a:nvSpPr>
                        <a:cNvPr id="15" name="TextBox 14"/>
                        <a:cNvSpPr txBox="1"/>
                      </a:nvSpPr>
                      <a:spPr>
                        <a:xfrm>
                          <a:off x="1403647" y="1484784"/>
                          <a:ext cx="3321369"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2800" dirty="0" smtClean="0"/>
                              <a:t>Scaling factor = </a:t>
                            </a:r>
                            <a:r>
                              <a:rPr lang="en-GB" sz="2800" i="1" dirty="0" smtClean="0"/>
                              <a:t>r</a:t>
                            </a:r>
                            <a:endParaRPr lang="en-GB" sz="2800" i="1" dirty="0"/>
                          </a:p>
                        </a:txBody>
                        <a:useSpRect/>
                      </a:txSp>
                    </a:sp>
                    <a:sp>
                      <a:nvSpPr>
                        <a:cNvPr id="16" name="TextBox 15"/>
                        <a:cNvSpPr txBox="1"/>
                      </a:nvSpPr>
                      <a:spPr>
                        <a:xfrm>
                          <a:off x="1187623" y="2708920"/>
                          <a:ext cx="3807423"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2800" dirty="0" smtClean="0"/>
                              <a:t>Offset value = </a:t>
                            </a:r>
                            <a:r>
                              <a:rPr lang="en-GB" sz="2800" i="1" dirty="0" smtClean="0"/>
                              <a:t>c</a:t>
                            </a:r>
                            <a:endParaRPr lang="en-GB" sz="2000" dirty="0"/>
                          </a:p>
                        </a:txBody>
                        <a:useSpRect/>
                      </a:txSp>
                    </a:sp>
                    <a:sp>
                      <a:nvSpPr>
                        <a:cNvPr id="17" name="TextBox 16"/>
                        <a:cNvSpPr txBox="1"/>
                      </a:nvSpPr>
                      <a:spPr>
                        <a:xfrm>
                          <a:off x="1403648" y="3933056"/>
                          <a:ext cx="3528392" cy="95410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2800" dirty="0" smtClean="0"/>
                              <a:t>Raw value </a:t>
                            </a:r>
                            <a:r>
                              <a:rPr lang="en-GB" sz="2800" i="1" dirty="0" smtClean="0"/>
                              <a:t>v </a:t>
                            </a:r>
                            <a:r>
                              <a:rPr lang="en-GB" sz="2800" dirty="0" smtClean="0"/>
                              <a:t>converted to normalised value</a:t>
                            </a:r>
                            <a:r>
                              <a:rPr lang="en-GB" sz="2800" i="1" dirty="0" smtClean="0"/>
                              <a:t> v</a:t>
                            </a:r>
                            <a:r>
                              <a:rPr lang="en-GB" sz="2800" dirty="0" smtClean="0"/>
                              <a:t>’</a:t>
                            </a:r>
                            <a:endParaRPr lang="en-GB" sz="2800" dirty="0"/>
                          </a:p>
                        </a:txBody>
                        <a:useSpRect/>
                      </a:txSp>
                    </a:sp>
                    <a:cxnSp>
                      <a:nvCxnSpPr>
                        <a:cNvPr id="22" name="Straight Connector 21"/>
                        <a:cNvCxnSpPr/>
                      </a:nvCxnSpPr>
                      <a:spPr>
                        <a:xfrm>
                          <a:off x="5940152" y="1700808"/>
                          <a:ext cx="1053117"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roofErr w:type="gramStart"/>
      <w:r w:rsidRPr="00B93132">
        <w:rPr>
          <w:rFonts w:asciiTheme="majorHAnsi" w:hAnsiTheme="majorHAnsi"/>
          <w:b/>
        </w:rPr>
        <w:t>Figure 4.</w:t>
      </w:r>
      <w:r w:rsidR="004771C0">
        <w:rPr>
          <w:rFonts w:asciiTheme="majorHAnsi" w:hAnsiTheme="majorHAnsi"/>
          <w:b/>
        </w:rPr>
        <w:t>8</w:t>
      </w:r>
      <w:r w:rsidRPr="00B93132">
        <w:rPr>
          <w:rFonts w:asciiTheme="majorHAnsi" w:hAnsiTheme="majorHAnsi"/>
          <w:b/>
        </w:rPr>
        <w:t>.</w:t>
      </w:r>
      <w:proofErr w:type="gramEnd"/>
      <w:r w:rsidRPr="00B93132">
        <w:rPr>
          <w:rFonts w:asciiTheme="majorHAnsi" w:hAnsiTheme="majorHAnsi"/>
          <w:b/>
        </w:rPr>
        <w:t xml:space="preserve"> </w:t>
      </w:r>
      <w:proofErr w:type="gramStart"/>
      <w:r w:rsidRPr="00B93132">
        <w:rPr>
          <w:rFonts w:asciiTheme="majorHAnsi" w:hAnsiTheme="majorHAnsi"/>
          <w:b/>
        </w:rPr>
        <w:t>The normalisation conversion formulae.</w:t>
      </w:r>
      <w:proofErr w:type="gramEnd"/>
      <w:r w:rsidRPr="0013327C">
        <w:rPr>
          <w:rFonts w:asciiTheme="majorHAnsi" w:hAnsiTheme="majorHAnsi"/>
        </w:rPr>
        <w:t xml:space="preserve"> The raw value (</w:t>
      </w:r>
      <w:r w:rsidRPr="0013327C">
        <w:rPr>
          <w:rFonts w:asciiTheme="majorHAnsi" w:hAnsiTheme="majorHAnsi"/>
          <w:i/>
        </w:rPr>
        <w:t>v</w:t>
      </w:r>
      <w:r w:rsidRPr="0013327C">
        <w:rPr>
          <w:rFonts w:asciiTheme="majorHAnsi" w:hAnsiTheme="majorHAnsi"/>
        </w:rPr>
        <w:t>) is converted to a normalised value (</w:t>
      </w:r>
      <w:r w:rsidRPr="0013327C">
        <w:rPr>
          <w:rFonts w:asciiTheme="majorHAnsi" w:hAnsiTheme="majorHAnsi"/>
          <w:i/>
        </w:rPr>
        <w:t>v’</w:t>
      </w:r>
      <w:r w:rsidRPr="0013327C">
        <w:rPr>
          <w:rFonts w:asciiTheme="majorHAnsi" w:hAnsiTheme="majorHAnsi"/>
        </w:rPr>
        <w:t>) by multiplication with the scaling factor and then the addition of the offset value. For both Screen 1 and Screen 2 the target range (</w:t>
      </w:r>
      <w:r w:rsidRPr="0013327C">
        <w:rPr>
          <w:rFonts w:asciiTheme="majorHAnsi" w:hAnsiTheme="majorHAnsi"/>
          <w:b/>
        </w:rPr>
        <w:t>X-Y</w:t>
      </w:r>
      <w:r w:rsidRPr="0013327C">
        <w:rPr>
          <w:rFonts w:asciiTheme="majorHAnsi" w:hAnsiTheme="majorHAnsi"/>
        </w:rPr>
        <w:t xml:space="preserve">) was 0-100, </w:t>
      </w:r>
      <w:r w:rsidR="00E9550A">
        <w:rPr>
          <w:rFonts w:asciiTheme="majorHAnsi" w:hAnsiTheme="majorHAnsi"/>
        </w:rPr>
        <w:t>t</w:t>
      </w:r>
      <w:r w:rsidR="00E9550A" w:rsidRPr="0013327C">
        <w:rPr>
          <w:rFonts w:asciiTheme="majorHAnsi" w:hAnsiTheme="majorHAnsi"/>
        </w:rPr>
        <w:t xml:space="preserve">he range of data is given as </w:t>
      </w:r>
      <w:r w:rsidR="00E9550A" w:rsidRPr="0013327C">
        <w:rPr>
          <w:rFonts w:asciiTheme="majorHAnsi" w:hAnsiTheme="majorHAnsi"/>
          <w:i/>
        </w:rPr>
        <w:t>x-y</w:t>
      </w:r>
      <w:r w:rsidR="00E9550A" w:rsidRPr="0013327C">
        <w:rPr>
          <w:rFonts w:asciiTheme="majorHAnsi" w:hAnsiTheme="majorHAnsi"/>
        </w:rPr>
        <w:t xml:space="preserve">. </w:t>
      </w:r>
      <w:r w:rsidR="00E9550A">
        <w:rPr>
          <w:rFonts w:asciiTheme="majorHAnsi" w:hAnsiTheme="majorHAnsi"/>
        </w:rPr>
        <w:t>The target range</w:t>
      </w:r>
      <w:r w:rsidR="006F0800">
        <w:rPr>
          <w:rFonts w:asciiTheme="majorHAnsi" w:hAnsiTheme="majorHAnsi"/>
        </w:rPr>
        <w:t xml:space="preserve"> is the target minimum and maximum nominal value that the </w:t>
      </w:r>
      <w:r w:rsidR="006B558C">
        <w:rPr>
          <w:rFonts w:asciiTheme="majorHAnsi" w:hAnsiTheme="majorHAnsi"/>
        </w:rPr>
        <w:t>puncta count is converted into (in the scaling factor Y-X therefore becomes 1</w:t>
      </w:r>
      <w:r w:rsidR="00E4651C">
        <w:rPr>
          <w:rFonts w:asciiTheme="majorHAnsi" w:hAnsiTheme="majorHAnsi"/>
        </w:rPr>
        <w:t xml:space="preserve">00 thus converting the range of raw data </w:t>
      </w:r>
      <w:r w:rsidR="006B558C">
        <w:rPr>
          <w:rFonts w:asciiTheme="majorHAnsi" w:hAnsiTheme="majorHAnsi"/>
        </w:rPr>
        <w:t xml:space="preserve">into percentiles). </w:t>
      </w:r>
      <w:r w:rsidRPr="0013327C">
        <w:rPr>
          <w:rFonts w:asciiTheme="majorHAnsi" w:hAnsiTheme="majorHAnsi"/>
        </w:rPr>
        <w:t xml:space="preserve">The </w:t>
      </w:r>
      <w:r w:rsidR="00E9550A">
        <w:rPr>
          <w:rFonts w:asciiTheme="majorHAnsi" w:hAnsiTheme="majorHAnsi"/>
        </w:rPr>
        <w:t xml:space="preserve">v’ </w:t>
      </w:r>
      <w:r w:rsidRPr="0013327C">
        <w:rPr>
          <w:rFonts w:asciiTheme="majorHAnsi" w:hAnsiTheme="majorHAnsi"/>
        </w:rPr>
        <w:t>data can then be converted to z-scores. This formula is reproduced from the AcuityXpress user manual.</w:t>
      </w:r>
    </w:p>
    <w:p w:rsidR="00C3380A" w:rsidRPr="0013327C" w:rsidRDefault="00C3380A" w:rsidP="00AE0264">
      <w:pPr>
        <w:pStyle w:val="Heading2"/>
        <w:jc w:val="both"/>
      </w:pPr>
      <w:bookmarkStart w:id="115" w:name="_Toc348423367"/>
      <w:r w:rsidRPr="0013327C">
        <w:t>Results – Introduction</w:t>
      </w:r>
      <w:bookmarkEnd w:id="115"/>
    </w:p>
    <w:p w:rsidR="00C3380A" w:rsidRPr="0013327C" w:rsidRDefault="00C3380A" w:rsidP="00AE0264">
      <w:pPr>
        <w:jc w:val="both"/>
        <w:rPr>
          <w:rFonts w:asciiTheme="majorHAnsi" w:hAnsiTheme="majorHAnsi"/>
        </w:rPr>
      </w:pPr>
      <w:r w:rsidRPr="0013327C">
        <w:rPr>
          <w:rFonts w:asciiTheme="majorHAnsi" w:hAnsiTheme="majorHAnsi"/>
        </w:rPr>
        <w:t>The implementation of data analysis software for Screen 2 meant that data could be normalised. This increased the robust nature of the screen statistically, firstly for the more accurate comparison of KDs on different plates. Secondly the data could be compared between screens by normalising the data of the first screen and determining which KDs produced numerically similar results. The software is also able to give statistics on the reproducibility of the data and give graphic interpretations of a dataset for 19,114 KDs. In this chapter the second Screen will be reported on its own merit before the combined data are interpreted and the two assays evaluated.</w:t>
      </w:r>
    </w:p>
    <w:p w:rsidR="00C3380A" w:rsidRPr="0013327C" w:rsidRDefault="00C3380A" w:rsidP="00AE0264">
      <w:pPr>
        <w:pStyle w:val="Heading2"/>
        <w:jc w:val="both"/>
      </w:pPr>
      <w:bookmarkStart w:id="116" w:name="_Toc348423368"/>
      <w:r w:rsidRPr="0013327C">
        <w:t>Control probes.</w:t>
      </w:r>
      <w:bookmarkEnd w:id="116"/>
    </w:p>
    <w:p w:rsidR="00C3380A" w:rsidRPr="0013327C" w:rsidRDefault="00C3380A" w:rsidP="00AE0264">
      <w:pPr>
        <w:jc w:val="both"/>
        <w:rPr>
          <w:rFonts w:asciiTheme="majorHAnsi" w:hAnsiTheme="majorHAnsi"/>
        </w:rPr>
      </w:pPr>
      <w:r w:rsidRPr="0013327C">
        <w:rPr>
          <w:rFonts w:asciiTheme="majorHAnsi" w:hAnsiTheme="majorHAnsi"/>
        </w:rPr>
        <w:t xml:space="preserve">The controls used for the second screen spanned a larger range of z-scores than in the first screen. One effect of the normalisation process is that the outlying z-scores had higher magnitudes. The controls for Screen 2 were </w:t>
      </w:r>
      <w:r w:rsidR="000C26B2" w:rsidRPr="000C26B2">
        <w:rPr>
          <w:rFonts w:asciiTheme="majorHAnsi" w:hAnsiTheme="majorHAnsi"/>
          <w:i/>
        </w:rPr>
        <w:t>PEX</w:t>
      </w:r>
      <w:r w:rsidRPr="0013327C">
        <w:rPr>
          <w:rFonts w:asciiTheme="majorHAnsi" w:hAnsiTheme="majorHAnsi"/>
        </w:rPr>
        <w:t xml:space="preserve">1,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 xml:space="preserve">16, </w:t>
      </w:r>
      <w:r w:rsidR="000C26B2" w:rsidRPr="000C26B2">
        <w:rPr>
          <w:rFonts w:asciiTheme="majorHAnsi" w:hAnsiTheme="majorHAnsi"/>
          <w:i/>
        </w:rPr>
        <w:t>PEX</w:t>
      </w:r>
      <w:r w:rsidRPr="0013327C">
        <w:rPr>
          <w:rFonts w:asciiTheme="majorHAnsi" w:hAnsiTheme="majorHAnsi"/>
        </w:rPr>
        <w:t>19, Ints12, Drp1 and nmd. Mean z-scores for the 106 wells for each of the probes are given in</w:t>
      </w:r>
      <w:r w:rsidR="00703761">
        <w:rPr>
          <w:rFonts w:asciiTheme="majorHAnsi" w:hAnsiTheme="majorHAnsi"/>
        </w:rPr>
        <w:t xml:space="preserve"> Figure 4.11</w:t>
      </w:r>
      <w:r w:rsidRPr="0013327C">
        <w:rPr>
          <w:rFonts w:asciiTheme="majorHAnsi" w:hAnsiTheme="majorHAnsi"/>
        </w:rPr>
        <w:t>.</w:t>
      </w:r>
    </w:p>
    <w:p w:rsidR="00C3380A" w:rsidRPr="0013327C" w:rsidRDefault="00C3380A" w:rsidP="00AE0264">
      <w:pPr>
        <w:jc w:val="both"/>
        <w:rPr>
          <w:rFonts w:asciiTheme="majorHAnsi" w:hAnsiTheme="majorHAnsi"/>
        </w:rPr>
      </w:pPr>
    </w:p>
    <w:p w:rsidR="00C3380A" w:rsidRPr="0013327C" w:rsidRDefault="00C3380A" w:rsidP="00AE0264">
      <w:pPr>
        <w:jc w:val="both"/>
        <w:rPr>
          <w:rFonts w:asciiTheme="majorHAnsi" w:hAnsiTheme="majorHAnsi"/>
        </w:rPr>
      </w:pPr>
    </w:p>
    <w:p w:rsidR="00C3380A" w:rsidRPr="0013327C" w:rsidRDefault="004417B6" w:rsidP="00AE0264">
      <w:pPr>
        <w:jc w:val="both"/>
        <w:rPr>
          <w:rFonts w:asciiTheme="majorHAnsi" w:hAnsiTheme="majorHAnsi"/>
        </w:rPr>
      </w:pPr>
      <w:r>
        <w:rPr>
          <w:rFonts w:asciiTheme="majorHAnsi" w:hAnsiTheme="majorHAnsi"/>
          <w:b/>
          <w:noProof/>
          <w:lang w:eastAsia="en-GB"/>
        </w:rPr>
        <w:drawing>
          <wp:inline distT="0" distB="0" distL="0" distR="0">
            <wp:extent cx="5510482" cy="4211697"/>
            <wp:effectExtent l="19050" t="0" r="0" b="0"/>
            <wp:docPr id="2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srcRect/>
                    <a:stretch>
                      <a:fillRect/>
                    </a:stretch>
                  </pic:blipFill>
                  <pic:spPr bwMode="auto">
                    <a:xfrm>
                      <a:off x="0" y="0"/>
                      <a:ext cx="5513491" cy="4213997"/>
                    </a:xfrm>
                    <a:prstGeom prst="rect">
                      <a:avLst/>
                    </a:prstGeom>
                    <a:noFill/>
                  </pic:spPr>
                </pic:pic>
              </a:graphicData>
            </a:graphic>
          </wp:inline>
        </w:drawing>
      </w:r>
      <w:proofErr w:type="gramStart"/>
      <w:r w:rsidR="00C3380A" w:rsidRPr="001152A4">
        <w:rPr>
          <w:rFonts w:asciiTheme="majorHAnsi" w:hAnsiTheme="majorHAnsi"/>
          <w:b/>
        </w:rPr>
        <w:t>Figure 4.</w:t>
      </w:r>
      <w:r w:rsidR="004771C0">
        <w:rPr>
          <w:rFonts w:asciiTheme="majorHAnsi" w:hAnsiTheme="majorHAnsi"/>
          <w:b/>
        </w:rPr>
        <w:t>9</w:t>
      </w:r>
      <w:r w:rsidR="00C3380A" w:rsidRPr="001152A4">
        <w:rPr>
          <w:rFonts w:asciiTheme="majorHAnsi" w:hAnsiTheme="majorHAnsi"/>
          <w:b/>
        </w:rPr>
        <w:t>.</w:t>
      </w:r>
      <w:proofErr w:type="gramEnd"/>
      <w:r w:rsidR="00C3380A" w:rsidRPr="001152A4">
        <w:rPr>
          <w:rFonts w:asciiTheme="majorHAnsi" w:hAnsiTheme="majorHAnsi"/>
          <w:b/>
        </w:rPr>
        <w:t xml:space="preserve"> </w:t>
      </w:r>
      <w:proofErr w:type="gramStart"/>
      <w:r w:rsidR="001152A4" w:rsidRPr="001152A4">
        <w:rPr>
          <w:rFonts w:asciiTheme="majorHAnsi" w:hAnsiTheme="majorHAnsi"/>
          <w:b/>
        </w:rPr>
        <w:t>Images of control cells in Screen 2.</w:t>
      </w:r>
      <w:proofErr w:type="gramEnd"/>
      <w:r w:rsidR="001152A4">
        <w:rPr>
          <w:rFonts w:asciiTheme="majorHAnsi" w:hAnsiTheme="majorHAnsi"/>
        </w:rPr>
        <w:t xml:space="preserve"> </w:t>
      </w:r>
      <w:r w:rsidR="00C3380A" w:rsidRPr="0013327C">
        <w:rPr>
          <w:rFonts w:asciiTheme="majorHAnsi" w:hAnsiTheme="majorHAnsi"/>
        </w:rPr>
        <w:t>Cropped 40X magnification images of S2R+ cells stably transfected with pMt-eGFP-PTS1. Controls were knocked down and incubated for 5 days before induction with 50µM CuSO</w:t>
      </w:r>
      <w:r w:rsidR="00C3380A" w:rsidRPr="0013327C">
        <w:rPr>
          <w:rFonts w:asciiTheme="majorHAnsi" w:hAnsiTheme="majorHAnsi"/>
          <w:vertAlign w:val="subscript"/>
        </w:rPr>
        <w:t>4</w:t>
      </w:r>
      <w:r w:rsidR="00C3380A" w:rsidRPr="0013327C">
        <w:rPr>
          <w:rFonts w:asciiTheme="majorHAnsi" w:hAnsiTheme="majorHAnsi"/>
        </w:rPr>
        <w:t>. WT image is of an empty well with z-score of 0.01. Bar = 20µM.</w:t>
      </w:r>
    </w:p>
    <w:p w:rsidR="00C3380A" w:rsidRPr="0013327C" w:rsidRDefault="00C3380A" w:rsidP="001152A4">
      <w:pPr>
        <w:jc w:val="center"/>
        <w:rPr>
          <w:rFonts w:asciiTheme="majorHAnsi" w:hAnsiTheme="majorHAnsi"/>
        </w:rPr>
      </w:pPr>
      <w:r w:rsidRPr="0013327C">
        <w:rPr>
          <w:rFonts w:asciiTheme="majorHAnsi" w:hAnsiTheme="majorHAnsi"/>
          <w:noProof/>
          <w:lang w:eastAsia="en-GB"/>
        </w:rPr>
        <w:drawing>
          <wp:inline distT="0" distB="0" distL="0" distR="0">
            <wp:extent cx="1749425" cy="2060575"/>
            <wp:effectExtent l="0" t="0" r="0" b="0"/>
            <wp:docPr id="1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srcRect/>
                    <a:stretch>
                      <a:fillRect/>
                    </a:stretch>
                  </pic:blipFill>
                  <pic:spPr bwMode="auto">
                    <a:xfrm>
                      <a:off x="0" y="0"/>
                      <a:ext cx="1749425" cy="2060575"/>
                    </a:xfrm>
                    <a:prstGeom prst="rect">
                      <a:avLst/>
                    </a:prstGeom>
                    <a:noFill/>
                  </pic:spPr>
                </pic:pic>
              </a:graphicData>
            </a:graphic>
          </wp:inline>
        </w:drawing>
      </w:r>
    </w:p>
    <w:p w:rsidR="00C3380A" w:rsidRPr="001152A4" w:rsidRDefault="00F54C76" w:rsidP="00AE0264">
      <w:pPr>
        <w:jc w:val="both"/>
        <w:rPr>
          <w:rFonts w:asciiTheme="majorHAnsi" w:hAnsiTheme="majorHAnsi"/>
          <w:b/>
        </w:rPr>
      </w:pPr>
      <w:proofErr w:type="gramStart"/>
      <w:r>
        <w:rPr>
          <w:rFonts w:asciiTheme="majorHAnsi" w:hAnsiTheme="majorHAnsi"/>
          <w:b/>
        </w:rPr>
        <w:t>Table 4.2.</w:t>
      </w:r>
      <w:proofErr w:type="gramEnd"/>
      <w:r w:rsidR="00D506CC">
        <w:rPr>
          <w:rFonts w:asciiTheme="majorHAnsi" w:hAnsiTheme="majorHAnsi"/>
          <w:b/>
        </w:rPr>
        <w:t xml:space="preserve"> Mean Z</w:t>
      </w:r>
      <w:r w:rsidR="00C3380A" w:rsidRPr="001152A4">
        <w:rPr>
          <w:rFonts w:asciiTheme="majorHAnsi" w:hAnsiTheme="majorHAnsi"/>
          <w:b/>
        </w:rPr>
        <w:t xml:space="preserve">-scores for the probes in Screen </w:t>
      </w:r>
      <w:r w:rsidR="00D506CC">
        <w:rPr>
          <w:rFonts w:asciiTheme="majorHAnsi" w:hAnsiTheme="majorHAnsi"/>
          <w:b/>
        </w:rPr>
        <w:t>2 for all 106 wells per probe. Z</w:t>
      </w:r>
      <w:r w:rsidR="00C3380A" w:rsidRPr="001152A4">
        <w:rPr>
          <w:rFonts w:asciiTheme="majorHAnsi" w:hAnsiTheme="majorHAnsi"/>
          <w:b/>
        </w:rPr>
        <w:t>-scores are of normalised data.</w:t>
      </w:r>
    </w:p>
    <w:p w:rsidR="00C3380A" w:rsidRPr="0013327C" w:rsidRDefault="00C3380A" w:rsidP="00AE0264">
      <w:pPr>
        <w:jc w:val="both"/>
        <w:rPr>
          <w:rFonts w:asciiTheme="majorHAnsi" w:hAnsiTheme="majorHAnsi"/>
        </w:rPr>
      </w:pPr>
      <w:r w:rsidRPr="0013327C">
        <w:rPr>
          <w:rFonts w:asciiTheme="majorHAnsi" w:hAnsiTheme="majorHAnsi"/>
        </w:rPr>
        <w:lastRenderedPageBreak/>
        <w:t xml:space="preserve">Controls were imaged and their mean z-scores calculated across all 106 wells for each control in the 53 plates. The controls with the strongest phenotypes were nmd and </w:t>
      </w:r>
      <w:r w:rsidR="000C26B2" w:rsidRPr="000C26B2">
        <w:rPr>
          <w:rFonts w:asciiTheme="majorHAnsi" w:hAnsiTheme="majorHAnsi"/>
          <w:i/>
        </w:rPr>
        <w:t>PEX</w:t>
      </w:r>
      <w:r w:rsidRPr="0013327C">
        <w:rPr>
          <w:rFonts w:asciiTheme="majorHAnsi" w:hAnsiTheme="majorHAnsi"/>
        </w:rPr>
        <w:t xml:space="preserve">16 and this was reflected numerically with mean z-scores of -9.51 and -8.60 respectively. Both dsRNAs caused a large reduction in peroxisomes per cell and many cells even showed no peroxisomes at all. Drp1,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 xml:space="preserve">19 also showed reductions in peroxisomes per cell. Their z-scores were -4.52,-3.70, -2.55 and -1.63 respectively. These data suggest that the </w:t>
      </w:r>
      <w:r w:rsidR="000C26B2" w:rsidRPr="000C26B2">
        <w:rPr>
          <w:rFonts w:asciiTheme="majorHAnsi" w:hAnsiTheme="majorHAnsi"/>
          <w:i/>
        </w:rPr>
        <w:t>PEX</w:t>
      </w:r>
      <w:r w:rsidRPr="0013327C">
        <w:rPr>
          <w:rFonts w:asciiTheme="majorHAnsi" w:hAnsiTheme="majorHAnsi"/>
        </w:rPr>
        <w:t xml:space="preserve">19 KDs did not produce an outlier phenotype but from the images it produced the cells do not appear to be of WT presentation. </w:t>
      </w:r>
      <w:r w:rsidR="000C26B2" w:rsidRPr="000C26B2">
        <w:rPr>
          <w:rFonts w:asciiTheme="majorHAnsi" w:hAnsiTheme="majorHAnsi"/>
          <w:i/>
        </w:rPr>
        <w:t>PEX</w:t>
      </w:r>
      <w:r w:rsidRPr="0013327C">
        <w:rPr>
          <w:rFonts w:asciiTheme="majorHAnsi" w:hAnsiTheme="majorHAnsi"/>
        </w:rPr>
        <w:t xml:space="preserve">1 did not produce a strong KD as seen in Screen </w:t>
      </w:r>
      <w:proofErr w:type="gramStart"/>
      <w:r w:rsidRPr="0013327C">
        <w:rPr>
          <w:rFonts w:asciiTheme="majorHAnsi" w:hAnsiTheme="majorHAnsi"/>
        </w:rPr>
        <w:t>1,</w:t>
      </w:r>
      <w:proofErr w:type="gramEnd"/>
      <w:r w:rsidRPr="0013327C">
        <w:rPr>
          <w:rFonts w:asciiTheme="majorHAnsi" w:hAnsiTheme="majorHAnsi"/>
        </w:rPr>
        <w:t xml:space="preserve"> the cells appear to have a WT phenotype. Ints12 did not </w:t>
      </w:r>
      <w:r w:rsidR="00D506CC" w:rsidRPr="0013327C">
        <w:rPr>
          <w:rFonts w:asciiTheme="majorHAnsi" w:hAnsiTheme="majorHAnsi"/>
        </w:rPr>
        <w:t>affect</w:t>
      </w:r>
      <w:r w:rsidRPr="0013327C">
        <w:rPr>
          <w:rFonts w:asciiTheme="majorHAnsi" w:hAnsiTheme="majorHAnsi"/>
        </w:rPr>
        <w:t xml:space="preserve"> peroxisome number but the cells responded with increased peroxisomal and cytosolic eGFP, as observed in screen 1 (data not shown).</w:t>
      </w:r>
    </w:p>
    <w:p w:rsidR="00C3380A" w:rsidRPr="0013327C" w:rsidRDefault="00C3380A" w:rsidP="00AE0264">
      <w:pPr>
        <w:jc w:val="both"/>
        <w:rPr>
          <w:rFonts w:asciiTheme="majorHAnsi" w:hAnsiTheme="majorHAnsi"/>
        </w:rPr>
      </w:pPr>
      <w:r w:rsidRPr="0013327C">
        <w:rPr>
          <w:rFonts w:asciiTheme="majorHAnsi" w:hAnsiTheme="majorHAnsi"/>
        </w:rPr>
        <w:t xml:space="preserve">Overall these data suggest it may be possible to screen solely using numerical identification of data that lie outside of 2 σ from the mean. Despite this, based on experience from Screen 1 and the fact that the </w:t>
      </w:r>
      <w:r w:rsidR="000C26B2" w:rsidRPr="000C26B2">
        <w:rPr>
          <w:rFonts w:asciiTheme="majorHAnsi" w:hAnsiTheme="majorHAnsi"/>
          <w:i/>
        </w:rPr>
        <w:t>PEX</w:t>
      </w:r>
      <w:r w:rsidRPr="0013327C">
        <w:rPr>
          <w:rFonts w:asciiTheme="majorHAnsi" w:hAnsiTheme="majorHAnsi"/>
        </w:rPr>
        <w:t xml:space="preserve"> 19 control appears to have produced some effect while achieving a mean z-score of only -1.63, it was deemed necessary to first find out what z-scores were achieved by KDs of genes known to have an effect on the assay.</w:t>
      </w:r>
    </w:p>
    <w:p w:rsidR="00C3380A" w:rsidRPr="0013327C" w:rsidRDefault="00C3380A" w:rsidP="00AE0264">
      <w:pPr>
        <w:pStyle w:val="Heading2"/>
        <w:jc w:val="both"/>
      </w:pPr>
      <w:bookmarkStart w:id="117" w:name="_Toc348423369"/>
      <w:r w:rsidRPr="0013327C">
        <w:t xml:space="preserve">Screen 2 statistically identifies some known </w:t>
      </w:r>
      <w:r w:rsidR="000C26B2" w:rsidRPr="000C26B2">
        <w:rPr>
          <w:i/>
        </w:rPr>
        <w:t>PEX</w:t>
      </w:r>
      <w:r w:rsidRPr="0013327C">
        <w:t xml:space="preserve"> genes</w:t>
      </w:r>
      <w:bookmarkEnd w:id="117"/>
      <w:r w:rsidRPr="0013327C">
        <w:t xml:space="preserve"> </w:t>
      </w:r>
    </w:p>
    <w:p w:rsidR="00C3380A" w:rsidRPr="0013327C" w:rsidRDefault="00C3380A" w:rsidP="00AE0264">
      <w:pPr>
        <w:jc w:val="both"/>
        <w:rPr>
          <w:rFonts w:asciiTheme="majorHAnsi" w:hAnsiTheme="majorHAnsi"/>
        </w:rPr>
      </w:pPr>
      <w:r w:rsidRPr="0013327C">
        <w:rPr>
          <w:rFonts w:asciiTheme="majorHAnsi" w:hAnsiTheme="majorHAnsi"/>
        </w:rPr>
        <w:t xml:space="preserve">Screen 2 data for peroxisome count per cell were normalised and compiled on a spreadsheet. Before analysis of outliers began, known </w:t>
      </w:r>
      <w:r w:rsidR="000C26B2" w:rsidRPr="000C26B2">
        <w:rPr>
          <w:rFonts w:asciiTheme="majorHAnsi" w:hAnsiTheme="majorHAnsi"/>
          <w:i/>
        </w:rPr>
        <w:t>PEX</w:t>
      </w:r>
      <w:r w:rsidRPr="0013327C">
        <w:rPr>
          <w:rFonts w:asciiTheme="majorHAnsi" w:hAnsiTheme="majorHAnsi"/>
        </w:rPr>
        <w:t xml:space="preserve"> genes were identified by their Gene Ids and visually determined if a </w:t>
      </w:r>
      <w:r w:rsidR="000C26B2" w:rsidRPr="000C26B2">
        <w:rPr>
          <w:rFonts w:asciiTheme="majorHAnsi" w:hAnsiTheme="majorHAnsi"/>
          <w:i/>
        </w:rPr>
        <w:t>PEX</w:t>
      </w:r>
      <w:r w:rsidRPr="0013327C">
        <w:rPr>
          <w:rFonts w:asciiTheme="majorHAnsi" w:hAnsiTheme="majorHAnsi"/>
        </w:rPr>
        <w:t xml:space="preserve"> phenotype had occurred. </w:t>
      </w:r>
    </w:p>
    <w:p w:rsidR="00C3380A" w:rsidRPr="0013327C" w:rsidRDefault="00C3380A" w:rsidP="00AE0264">
      <w:pPr>
        <w:jc w:val="both"/>
        <w:rPr>
          <w:rFonts w:asciiTheme="majorHAnsi" w:hAnsiTheme="majorHAnsi"/>
        </w:rPr>
      </w:pPr>
      <w:r w:rsidRPr="0013327C">
        <w:rPr>
          <w:rFonts w:asciiTheme="majorHAnsi" w:hAnsiTheme="majorHAnsi"/>
          <w:noProof/>
          <w:lang w:eastAsia="en-GB"/>
        </w:rPr>
        <w:drawing>
          <wp:inline distT="0" distB="0" distL="0" distR="0">
            <wp:extent cx="2688590" cy="2207260"/>
            <wp:effectExtent l="0" t="0" r="0" b="0"/>
            <wp:docPr id="1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a:stretch>
                      <a:fillRect/>
                    </a:stretch>
                  </pic:blipFill>
                  <pic:spPr bwMode="auto">
                    <a:xfrm>
                      <a:off x="0" y="0"/>
                      <a:ext cx="2688590" cy="2207260"/>
                    </a:xfrm>
                    <a:prstGeom prst="rect">
                      <a:avLst/>
                    </a:prstGeom>
                    <a:noFill/>
                  </pic:spPr>
                </pic:pic>
              </a:graphicData>
            </a:graphic>
          </wp:inline>
        </w:drawing>
      </w:r>
    </w:p>
    <w:p w:rsidR="00C3380A" w:rsidRPr="0013327C" w:rsidRDefault="00F54C76" w:rsidP="00AE0264">
      <w:pPr>
        <w:jc w:val="both"/>
        <w:rPr>
          <w:rFonts w:asciiTheme="majorHAnsi" w:hAnsiTheme="majorHAnsi"/>
        </w:rPr>
      </w:pPr>
      <w:proofErr w:type="gramStart"/>
      <w:r>
        <w:rPr>
          <w:rFonts w:asciiTheme="majorHAnsi" w:hAnsiTheme="majorHAnsi"/>
          <w:b/>
        </w:rPr>
        <w:t>Table 4.3.</w:t>
      </w:r>
      <w:proofErr w:type="gramEnd"/>
      <w:r w:rsidR="001152A4">
        <w:rPr>
          <w:rFonts w:asciiTheme="majorHAnsi" w:hAnsiTheme="majorHAnsi"/>
          <w:b/>
        </w:rPr>
        <w:t xml:space="preserve"> Controls from</w:t>
      </w:r>
      <w:r w:rsidR="001152A4" w:rsidRPr="001152A4">
        <w:rPr>
          <w:rFonts w:asciiTheme="majorHAnsi" w:hAnsiTheme="majorHAnsi"/>
          <w:b/>
        </w:rPr>
        <w:t xml:space="preserve"> Screen 2 expressed in z-scores from data mean.</w:t>
      </w:r>
      <w:r w:rsidR="001152A4">
        <w:rPr>
          <w:rFonts w:asciiTheme="majorHAnsi" w:hAnsiTheme="majorHAnsi"/>
          <w:b/>
        </w:rPr>
        <w:t xml:space="preserve"> </w:t>
      </w:r>
      <w:r w:rsidR="00C3380A" w:rsidRPr="0013327C">
        <w:rPr>
          <w:rFonts w:asciiTheme="majorHAnsi" w:hAnsiTheme="majorHAnsi"/>
        </w:rPr>
        <w:t xml:space="preserve">A table from Screen 2 data showing gene and library identifiers and z-scores for KDs of genes </w:t>
      </w:r>
      <w:r w:rsidR="00C3380A" w:rsidRPr="0013327C">
        <w:rPr>
          <w:rFonts w:asciiTheme="majorHAnsi" w:hAnsiTheme="majorHAnsi"/>
        </w:rPr>
        <w:lastRenderedPageBreak/>
        <w:t xml:space="preserve">homologous to peroxins or biogenesis-associated proteins from </w:t>
      </w:r>
      <w:r w:rsidR="00D506CC" w:rsidRPr="0013327C">
        <w:rPr>
          <w:rFonts w:asciiTheme="majorHAnsi" w:hAnsiTheme="majorHAnsi"/>
          <w:i/>
        </w:rPr>
        <w:t>S. cerevisiae</w:t>
      </w:r>
      <w:r w:rsidR="00C3380A" w:rsidRPr="0013327C">
        <w:rPr>
          <w:rFonts w:asciiTheme="majorHAnsi" w:hAnsiTheme="majorHAnsi"/>
        </w:rPr>
        <w:t>,</w:t>
      </w:r>
      <w:r w:rsidR="00C3380A" w:rsidRPr="0013327C">
        <w:rPr>
          <w:rFonts w:asciiTheme="majorHAnsi" w:hAnsiTheme="majorHAnsi"/>
          <w:i/>
        </w:rPr>
        <w:t xml:space="preserve"> H. sapiens</w:t>
      </w:r>
      <w:r w:rsidR="00C3380A" w:rsidRPr="0013327C">
        <w:rPr>
          <w:rFonts w:asciiTheme="majorHAnsi" w:hAnsiTheme="majorHAnsi"/>
        </w:rPr>
        <w:t xml:space="preserve"> or both. These gene KDs visually show phenotypes when knocked down while producing a statistically significant z-score. </w:t>
      </w:r>
      <w:r w:rsidR="000C26B2" w:rsidRPr="000C26B2">
        <w:rPr>
          <w:rFonts w:asciiTheme="majorHAnsi" w:hAnsiTheme="majorHAnsi"/>
          <w:i/>
        </w:rPr>
        <w:t>PEX</w:t>
      </w:r>
      <w:r w:rsidR="00C3380A" w:rsidRPr="0013327C">
        <w:rPr>
          <w:rFonts w:asciiTheme="majorHAnsi" w:hAnsiTheme="majorHAnsi"/>
        </w:rPr>
        <w:t>19 is the only KD to have a normalised z-score that does not exceed -2.0.</w:t>
      </w:r>
    </w:p>
    <w:p w:rsidR="00C3380A" w:rsidRPr="0013327C" w:rsidRDefault="00C3380A" w:rsidP="00AE0264">
      <w:pPr>
        <w:jc w:val="both"/>
        <w:rPr>
          <w:rFonts w:asciiTheme="majorHAnsi" w:hAnsiTheme="majorHAnsi"/>
        </w:rPr>
      </w:pPr>
      <w:r w:rsidRPr="0013327C">
        <w:rPr>
          <w:rFonts w:asciiTheme="majorHAnsi" w:hAnsiTheme="majorHAnsi"/>
          <w:b/>
          <w:noProof/>
          <w:lang w:eastAsia="en-GB"/>
        </w:rPr>
        <w:drawing>
          <wp:inline distT="0" distB="0" distL="0" distR="0">
            <wp:extent cx="4785425" cy="4029559"/>
            <wp:effectExtent l="19050" t="0" r="0" b="0"/>
            <wp:docPr id="187"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64896" cy="6562020"/>
                      <a:chOff x="107504" y="116632"/>
                      <a:chExt cx="8064896" cy="6562020"/>
                    </a:xfrm>
                  </a:grpSpPr>
                  <a:grpSp>
                    <a:nvGrpSpPr>
                      <a:cNvPr id="32" name="Group 31"/>
                      <a:cNvGrpSpPr/>
                    </a:nvGrpSpPr>
                    <a:grpSpPr>
                      <a:xfrm>
                        <a:off x="107504" y="116632"/>
                        <a:ext cx="8064896" cy="6562020"/>
                        <a:chOff x="107504" y="116632"/>
                        <a:chExt cx="8064896" cy="6562020"/>
                      </a:xfrm>
                    </a:grpSpPr>
                    <a:grpSp>
                      <a:nvGrpSpPr>
                        <a:cNvPr id="3" name="Group 22"/>
                        <a:cNvGrpSpPr/>
                      </a:nvGrpSpPr>
                      <a:grpSpPr>
                        <a:xfrm>
                          <a:off x="107504" y="116632"/>
                          <a:ext cx="8064896" cy="6562020"/>
                          <a:chOff x="107504" y="116632"/>
                          <a:chExt cx="8064896" cy="6562020"/>
                        </a:xfrm>
                      </a:grpSpPr>
                      <a:pic>
                        <a:nvPicPr>
                          <a:cNvPr id="1026" name="Picture 2"/>
                          <a:cNvPicPr>
                            <a:picLocks noChangeAspect="1" noChangeArrowheads="1"/>
                          </a:cNvPicPr>
                        </a:nvPicPr>
                        <a:blipFill>
                          <a:blip r:embed="rId86" cstate="print"/>
                          <a:srcRect/>
                          <a:stretch>
                            <a:fillRect/>
                          </a:stretch>
                        </a:blipFill>
                        <a:spPr bwMode="auto">
                          <a:xfrm rot="5400000">
                            <a:off x="469867" y="-245731"/>
                            <a:ext cx="1872208" cy="2596934"/>
                          </a:xfrm>
                          <a:prstGeom prst="rect">
                            <a:avLst/>
                          </a:prstGeom>
                          <a:noFill/>
                          <a:ln w="9525">
                            <a:noFill/>
                            <a:miter lim="800000"/>
                            <a:headEnd/>
                            <a:tailEnd/>
                          </a:ln>
                          <a:effectLst/>
                        </a:spPr>
                      </a:pic>
                      <a:cxnSp>
                        <a:nvCxnSpPr>
                          <a:cNvPr id="5" name="Straight Connector 4"/>
                          <a:cNvCxnSpPr/>
                        </a:nvCxnSpPr>
                        <a:spPr>
                          <a:xfrm>
                            <a:off x="395535" y="1843327"/>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sp>
                        <a:nvSpPr>
                          <a:cNvPr id="6" name="TextBox 5"/>
                          <a:cNvSpPr txBox="1"/>
                        </a:nvSpPr>
                        <a:spPr>
                          <a:xfrm>
                            <a:off x="107504" y="1916832"/>
                            <a:ext cx="255577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PEX1</a:t>
                              </a:r>
                              <a:endParaRPr lang="en-GB" dirty="0"/>
                            </a:p>
                          </a:txBody>
                          <a:useSpRect/>
                        </a:txSp>
                      </a:sp>
                      <a:pic>
                        <a:nvPicPr>
                          <a:cNvPr id="1027" name="Picture 3"/>
                          <a:cNvPicPr>
                            <a:picLocks noChangeAspect="1" noChangeArrowheads="1"/>
                          </a:cNvPicPr>
                        </a:nvPicPr>
                        <a:blipFill>
                          <a:blip r:embed="rId87" cstate="print"/>
                          <a:srcRect/>
                          <a:stretch>
                            <a:fillRect/>
                          </a:stretch>
                        </a:blipFill>
                        <a:spPr bwMode="auto">
                          <a:xfrm>
                            <a:off x="2843808" y="116632"/>
                            <a:ext cx="2592288" cy="1868859"/>
                          </a:xfrm>
                          <a:prstGeom prst="rect">
                            <a:avLst/>
                          </a:prstGeom>
                          <a:noFill/>
                          <a:ln w="9525">
                            <a:noFill/>
                            <a:miter lim="800000"/>
                            <a:headEnd/>
                            <a:tailEnd/>
                          </a:ln>
                          <a:effectLst/>
                        </a:spPr>
                      </a:pic>
                      <a:sp>
                        <a:nvSpPr>
                          <a:cNvPr id="8" name="TextBox 7"/>
                          <a:cNvSpPr txBox="1"/>
                        </a:nvSpPr>
                        <a:spPr>
                          <a:xfrm>
                            <a:off x="2880320" y="1916832"/>
                            <a:ext cx="248376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PEX3</a:t>
                              </a:r>
                              <a:endParaRPr lang="en-GB" dirty="0"/>
                            </a:p>
                          </a:txBody>
                          <a:useSpRect/>
                        </a:txSp>
                      </a:sp>
                      <a:pic>
                        <a:nvPicPr>
                          <a:cNvPr id="1028" name="Picture 4"/>
                          <a:cNvPicPr>
                            <a:picLocks noChangeAspect="1" noChangeArrowheads="1"/>
                          </a:cNvPicPr>
                        </a:nvPicPr>
                        <a:blipFill>
                          <a:blip r:embed="rId88" cstate="print"/>
                          <a:srcRect/>
                          <a:stretch>
                            <a:fillRect/>
                          </a:stretch>
                        </a:blipFill>
                        <a:spPr bwMode="auto">
                          <a:xfrm>
                            <a:off x="5580112" y="116632"/>
                            <a:ext cx="2592288" cy="1868859"/>
                          </a:xfrm>
                          <a:prstGeom prst="rect">
                            <a:avLst/>
                          </a:prstGeom>
                          <a:noFill/>
                          <a:ln w="9525">
                            <a:noFill/>
                            <a:miter lim="800000"/>
                            <a:headEnd/>
                            <a:tailEnd/>
                          </a:ln>
                          <a:effectLst/>
                        </a:spPr>
                      </a:pic>
                      <a:sp>
                        <a:nvSpPr>
                          <a:cNvPr id="10" name="TextBox 9"/>
                          <a:cNvSpPr txBox="1"/>
                        </a:nvSpPr>
                        <a:spPr>
                          <a:xfrm>
                            <a:off x="5616624" y="1916832"/>
                            <a:ext cx="248376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PEX5</a:t>
                              </a:r>
                              <a:endParaRPr lang="en-GB" dirty="0"/>
                            </a:p>
                          </a:txBody>
                          <a:useSpRect/>
                        </a:txSp>
                      </a:sp>
                      <a:pic>
                        <a:nvPicPr>
                          <a:cNvPr id="1029" name="Picture 5"/>
                          <a:cNvPicPr>
                            <a:picLocks noChangeAspect="1" noChangeArrowheads="1"/>
                          </a:cNvPicPr>
                        </a:nvPicPr>
                        <a:blipFill>
                          <a:blip r:embed="rId89" cstate="print"/>
                          <a:srcRect/>
                          <a:stretch>
                            <a:fillRect/>
                          </a:stretch>
                        </a:blipFill>
                        <a:spPr bwMode="auto">
                          <a:xfrm>
                            <a:off x="107504" y="2276873"/>
                            <a:ext cx="2596934" cy="1872208"/>
                          </a:xfrm>
                          <a:prstGeom prst="rect">
                            <a:avLst/>
                          </a:prstGeom>
                          <a:noFill/>
                          <a:ln w="9525">
                            <a:noFill/>
                            <a:miter lim="800000"/>
                            <a:headEnd/>
                            <a:tailEnd/>
                          </a:ln>
                          <a:effectLst/>
                        </a:spPr>
                      </a:pic>
                      <a:sp>
                        <a:nvSpPr>
                          <a:cNvPr id="12" name="TextBox 11"/>
                          <a:cNvSpPr txBox="1"/>
                        </a:nvSpPr>
                        <a:spPr>
                          <a:xfrm>
                            <a:off x="107504" y="4077072"/>
                            <a:ext cx="2555776"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PEX11</a:t>
                              </a:r>
                              <a:r>
                                <a:rPr lang="el-GR" dirty="0" smtClean="0"/>
                                <a:t>β</a:t>
                              </a:r>
                              <a:endParaRPr lang="en-GB" dirty="0"/>
                            </a:p>
                          </a:txBody>
                          <a:useSpRect/>
                        </a:txSp>
                      </a:sp>
                      <a:pic>
                        <a:nvPicPr>
                          <a:cNvPr id="1030" name="Picture 6"/>
                          <a:cNvPicPr>
                            <a:picLocks noChangeAspect="1" noChangeArrowheads="1"/>
                          </a:cNvPicPr>
                        </a:nvPicPr>
                        <a:blipFill>
                          <a:blip r:embed="rId90" cstate="print"/>
                          <a:srcRect/>
                          <a:stretch>
                            <a:fillRect/>
                          </a:stretch>
                        </a:blipFill>
                        <a:spPr bwMode="auto">
                          <a:xfrm>
                            <a:off x="2843808" y="2276873"/>
                            <a:ext cx="2592288" cy="1868859"/>
                          </a:xfrm>
                          <a:prstGeom prst="rect">
                            <a:avLst/>
                          </a:prstGeom>
                          <a:noFill/>
                          <a:ln w="9525">
                            <a:noFill/>
                            <a:miter lim="800000"/>
                            <a:headEnd/>
                            <a:tailEnd/>
                          </a:ln>
                          <a:effectLst/>
                        </a:spPr>
                      </a:pic>
                      <a:sp>
                        <a:nvSpPr>
                          <a:cNvPr id="14" name="TextBox 13"/>
                          <a:cNvSpPr txBox="1"/>
                        </a:nvSpPr>
                        <a:spPr>
                          <a:xfrm>
                            <a:off x="2880320" y="4077072"/>
                            <a:ext cx="248376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PEX13</a:t>
                              </a:r>
                              <a:endParaRPr lang="en-GB" dirty="0"/>
                            </a:p>
                          </a:txBody>
                          <a:useSpRect/>
                        </a:txSp>
                      </a:sp>
                      <a:pic>
                        <a:nvPicPr>
                          <a:cNvPr id="1031" name="Picture 7"/>
                          <a:cNvPicPr>
                            <a:picLocks noChangeAspect="1" noChangeArrowheads="1"/>
                          </a:cNvPicPr>
                        </a:nvPicPr>
                        <a:blipFill>
                          <a:blip r:embed="rId91" cstate="print"/>
                          <a:srcRect/>
                          <a:stretch>
                            <a:fillRect/>
                          </a:stretch>
                        </a:blipFill>
                        <a:spPr bwMode="auto">
                          <a:xfrm rot="16200000">
                            <a:off x="5929123" y="1914510"/>
                            <a:ext cx="1872208" cy="2596934"/>
                          </a:xfrm>
                          <a:prstGeom prst="rect">
                            <a:avLst/>
                          </a:prstGeom>
                          <a:noFill/>
                          <a:ln w="9525">
                            <a:noFill/>
                            <a:miter lim="800000"/>
                            <a:headEnd/>
                            <a:tailEnd/>
                          </a:ln>
                          <a:effectLst/>
                        </a:spPr>
                      </a:pic>
                      <a:sp>
                        <a:nvSpPr>
                          <a:cNvPr id="16" name="TextBox 15"/>
                          <a:cNvSpPr txBox="1"/>
                        </a:nvSpPr>
                        <a:spPr>
                          <a:xfrm>
                            <a:off x="5616624" y="4077072"/>
                            <a:ext cx="248376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PEX16</a:t>
                              </a:r>
                              <a:endParaRPr lang="en-GB" dirty="0"/>
                            </a:p>
                          </a:txBody>
                          <a:useSpRect/>
                        </a:txSp>
                      </a:sp>
                      <a:pic>
                        <a:nvPicPr>
                          <a:cNvPr id="1032" name="Picture 8"/>
                          <a:cNvPicPr>
                            <a:picLocks noChangeAspect="1" noChangeArrowheads="1"/>
                          </a:cNvPicPr>
                        </a:nvPicPr>
                        <a:blipFill>
                          <a:blip r:embed="rId92" cstate="print"/>
                          <a:srcRect/>
                          <a:stretch>
                            <a:fillRect/>
                          </a:stretch>
                        </a:blipFill>
                        <a:spPr bwMode="auto">
                          <a:xfrm>
                            <a:off x="107504" y="4437112"/>
                            <a:ext cx="2592288" cy="1868859"/>
                          </a:xfrm>
                          <a:prstGeom prst="rect">
                            <a:avLst/>
                          </a:prstGeom>
                          <a:noFill/>
                          <a:ln w="9525">
                            <a:noFill/>
                            <a:miter lim="800000"/>
                            <a:headEnd/>
                            <a:tailEnd/>
                          </a:ln>
                          <a:effectLst/>
                        </a:spPr>
                      </a:pic>
                      <a:sp>
                        <a:nvSpPr>
                          <a:cNvPr id="18" name="TextBox 17"/>
                          <a:cNvSpPr txBox="1"/>
                        </a:nvSpPr>
                        <a:spPr>
                          <a:xfrm>
                            <a:off x="179512" y="6309320"/>
                            <a:ext cx="248376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PEX19</a:t>
                              </a:r>
                              <a:endParaRPr lang="en-GB" dirty="0"/>
                            </a:p>
                          </a:txBody>
                          <a:useSpRect/>
                        </a:txSp>
                      </a:sp>
                      <a:pic>
                        <a:nvPicPr>
                          <a:cNvPr id="1033" name="Picture 9"/>
                          <a:cNvPicPr>
                            <a:picLocks noChangeAspect="1" noChangeArrowheads="1"/>
                          </a:cNvPicPr>
                        </a:nvPicPr>
                        <a:blipFill>
                          <a:blip r:embed="rId93" cstate="print"/>
                          <a:srcRect/>
                          <a:stretch>
                            <a:fillRect/>
                          </a:stretch>
                        </a:blipFill>
                        <a:spPr bwMode="auto">
                          <a:xfrm>
                            <a:off x="2843808" y="4437112"/>
                            <a:ext cx="2597519" cy="1872630"/>
                          </a:xfrm>
                          <a:prstGeom prst="rect">
                            <a:avLst/>
                          </a:prstGeom>
                          <a:noFill/>
                          <a:ln w="9525">
                            <a:noFill/>
                            <a:miter lim="800000"/>
                            <a:headEnd/>
                            <a:tailEnd/>
                          </a:ln>
                          <a:effectLst/>
                        </a:spPr>
                      </a:pic>
                      <a:sp>
                        <a:nvSpPr>
                          <a:cNvPr id="20" name="TextBox 19"/>
                          <a:cNvSpPr txBox="1"/>
                        </a:nvSpPr>
                        <a:spPr>
                          <a:xfrm>
                            <a:off x="2915816" y="6309320"/>
                            <a:ext cx="248376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err="1" smtClean="0"/>
                                <a:t>Drp1</a:t>
                              </a:r>
                              <a:endParaRPr lang="en-GB" dirty="0"/>
                            </a:p>
                          </a:txBody>
                          <a:useSpRect/>
                        </a:txSp>
                      </a:sp>
                      <a:pic>
                        <a:nvPicPr>
                          <a:cNvPr id="1034" name="Picture 10"/>
                          <a:cNvPicPr>
                            <a:picLocks noChangeAspect="1" noChangeArrowheads="1"/>
                          </a:cNvPicPr>
                        </a:nvPicPr>
                        <a:blipFill>
                          <a:blip r:embed="rId94" cstate="print"/>
                          <a:srcRect/>
                          <a:stretch>
                            <a:fillRect/>
                          </a:stretch>
                        </a:blipFill>
                        <a:spPr bwMode="auto">
                          <a:xfrm>
                            <a:off x="5580112" y="4447160"/>
                            <a:ext cx="2583582" cy="1862582"/>
                          </a:xfrm>
                          <a:prstGeom prst="rect">
                            <a:avLst/>
                          </a:prstGeom>
                          <a:noFill/>
                          <a:ln w="9525">
                            <a:noFill/>
                            <a:miter lim="800000"/>
                            <a:headEnd/>
                            <a:tailEnd/>
                          </a:ln>
                          <a:effectLst/>
                        </a:spPr>
                      </a:pic>
                      <a:sp>
                        <a:nvSpPr>
                          <a:cNvPr id="22" name="TextBox 21"/>
                          <a:cNvSpPr txBox="1"/>
                        </a:nvSpPr>
                        <a:spPr>
                          <a:xfrm>
                            <a:off x="5616624" y="6309320"/>
                            <a:ext cx="248376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err="1" smtClean="0"/>
                                <a:t>Tango11</a:t>
                              </a:r>
                              <a:endParaRPr lang="en-GB" dirty="0"/>
                            </a:p>
                          </a:txBody>
                          <a:useSpRect/>
                        </a:txSp>
                      </a:sp>
                    </a:grpSp>
                    <a:cxnSp>
                      <a:nvCxnSpPr>
                        <a:cNvPr id="24" name="Straight Connector 23"/>
                        <a:cNvCxnSpPr/>
                      </a:nvCxnSpPr>
                      <a:spPr>
                        <a:xfrm>
                          <a:off x="323528" y="400506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25" name="Straight Connector 24"/>
                        <a:cNvCxnSpPr/>
                      </a:nvCxnSpPr>
                      <a:spPr>
                        <a:xfrm>
                          <a:off x="323528" y="616530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26" name="Straight Connector 25"/>
                        <a:cNvCxnSpPr/>
                      </a:nvCxnSpPr>
                      <a:spPr>
                        <a:xfrm>
                          <a:off x="3059832" y="616530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27" name="Straight Connector 26"/>
                        <a:cNvCxnSpPr/>
                      </a:nvCxnSpPr>
                      <a:spPr>
                        <a:xfrm>
                          <a:off x="3059832" y="400506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28" name="Straight Connector 27"/>
                        <a:cNvCxnSpPr/>
                      </a:nvCxnSpPr>
                      <a:spPr>
                        <a:xfrm>
                          <a:off x="3059832" y="184482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29" name="Straight Connector 28"/>
                        <a:cNvCxnSpPr/>
                      </a:nvCxnSpPr>
                      <a:spPr>
                        <a:xfrm>
                          <a:off x="5796136" y="184482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30" name="Straight Connector 29"/>
                        <a:cNvCxnSpPr/>
                      </a:nvCxnSpPr>
                      <a:spPr>
                        <a:xfrm>
                          <a:off x="5796136" y="400506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31" name="Straight Connector 30"/>
                        <a:cNvCxnSpPr/>
                      </a:nvCxnSpPr>
                      <a:spPr>
                        <a:xfrm>
                          <a:off x="5796136" y="616530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roofErr w:type="gramStart"/>
      <w:r w:rsidRPr="001152A4">
        <w:rPr>
          <w:rFonts w:asciiTheme="majorHAnsi" w:hAnsiTheme="majorHAnsi"/>
          <w:b/>
        </w:rPr>
        <w:t xml:space="preserve">Figure </w:t>
      </w:r>
      <w:r w:rsidR="001152A4" w:rsidRPr="001152A4">
        <w:rPr>
          <w:rFonts w:asciiTheme="majorHAnsi" w:hAnsiTheme="majorHAnsi"/>
          <w:b/>
        </w:rPr>
        <w:t>4.1</w:t>
      </w:r>
      <w:r w:rsidR="004771C0">
        <w:rPr>
          <w:rFonts w:asciiTheme="majorHAnsi" w:hAnsiTheme="majorHAnsi"/>
          <w:b/>
        </w:rPr>
        <w:t>0</w:t>
      </w:r>
      <w:r w:rsidRPr="001152A4">
        <w:rPr>
          <w:rFonts w:asciiTheme="majorHAnsi" w:hAnsiTheme="majorHAnsi"/>
          <w:b/>
        </w:rPr>
        <w:t>.</w:t>
      </w:r>
      <w:proofErr w:type="gramEnd"/>
      <w:r w:rsidRPr="001152A4">
        <w:rPr>
          <w:rFonts w:asciiTheme="majorHAnsi" w:hAnsiTheme="majorHAnsi"/>
          <w:b/>
        </w:rPr>
        <w:t xml:space="preserve"> </w:t>
      </w:r>
      <w:proofErr w:type="gramStart"/>
      <w:r w:rsidR="001152A4" w:rsidRPr="001152A4">
        <w:rPr>
          <w:rFonts w:asciiTheme="majorHAnsi" w:hAnsiTheme="majorHAnsi"/>
          <w:b/>
        </w:rPr>
        <w:t>Images of Statistical hits from Screen 2.</w:t>
      </w:r>
      <w:proofErr w:type="gramEnd"/>
      <w:r w:rsidR="001152A4">
        <w:rPr>
          <w:rFonts w:asciiTheme="majorHAnsi" w:hAnsiTheme="majorHAnsi"/>
        </w:rPr>
        <w:t xml:space="preserve"> </w:t>
      </w:r>
      <w:r w:rsidRPr="0013327C">
        <w:rPr>
          <w:rFonts w:asciiTheme="majorHAnsi" w:hAnsiTheme="majorHAnsi"/>
        </w:rPr>
        <w:t>Cropped 40X magnification images of S2R+ cells stably transfected with pMt-eGFP-PTS1. Each KD was incubated for 5 days before a 24hr induction with CuSO</w:t>
      </w:r>
      <w:r w:rsidRPr="0013327C">
        <w:rPr>
          <w:rFonts w:asciiTheme="majorHAnsi" w:hAnsiTheme="majorHAnsi"/>
          <w:vertAlign w:val="subscript"/>
        </w:rPr>
        <w:t>4</w:t>
      </w:r>
      <w:r w:rsidRPr="0013327C">
        <w:rPr>
          <w:rFonts w:asciiTheme="majorHAnsi" w:hAnsiTheme="majorHAnsi"/>
        </w:rPr>
        <w:t xml:space="preserve"> at 50µM. Bar = 20 µm.</w:t>
      </w:r>
    </w:p>
    <w:p w:rsidR="00C3380A" w:rsidRPr="0013327C" w:rsidRDefault="00C3380A" w:rsidP="00AE0264">
      <w:pPr>
        <w:jc w:val="both"/>
        <w:rPr>
          <w:rFonts w:asciiTheme="majorHAnsi" w:hAnsiTheme="majorHAnsi"/>
        </w:rPr>
      </w:pPr>
      <w:proofErr w:type="gramStart"/>
      <w:r w:rsidRPr="0013327C">
        <w:rPr>
          <w:rFonts w:asciiTheme="majorHAnsi" w:hAnsiTheme="majorHAnsi"/>
        </w:rPr>
        <w:t>The nine images in the above figure show examples of cells that represent the most commonly seen phenotype across all the nine sites of each gene KD that they are taken from.</w:t>
      </w:r>
      <w:proofErr w:type="gramEnd"/>
      <w:r w:rsidRPr="0013327C">
        <w:rPr>
          <w:rFonts w:asciiTheme="majorHAnsi" w:hAnsiTheme="majorHAnsi"/>
        </w:rPr>
        <w:t xml:space="preserve"> Their normalised peroxisome counts per cell for the entire gene (average of all nine sites) are given in </w:t>
      </w:r>
      <w:r w:rsidRPr="0013327C">
        <w:rPr>
          <w:rFonts w:asciiTheme="majorHAnsi" w:hAnsiTheme="majorHAnsi"/>
          <w:b/>
        </w:rPr>
        <w:t>Fig. 4.</w:t>
      </w:r>
      <w:r w:rsidR="001152A4">
        <w:rPr>
          <w:rFonts w:asciiTheme="majorHAnsi" w:hAnsiTheme="majorHAnsi"/>
          <w:b/>
        </w:rPr>
        <w:t>1</w:t>
      </w:r>
      <w:r w:rsidRPr="0013327C">
        <w:rPr>
          <w:rFonts w:asciiTheme="majorHAnsi" w:hAnsiTheme="majorHAnsi"/>
          <w:b/>
        </w:rPr>
        <w:t>2</w:t>
      </w:r>
      <w:r w:rsidRPr="0013327C">
        <w:rPr>
          <w:rFonts w:asciiTheme="majorHAnsi" w:hAnsiTheme="majorHAnsi"/>
        </w:rPr>
        <w:t xml:space="preserve"> and show them in descending numerical severity of phenotype. While it is clear that </w:t>
      </w:r>
      <w:r w:rsidR="000C26B2" w:rsidRPr="000C26B2">
        <w:rPr>
          <w:rFonts w:asciiTheme="majorHAnsi" w:hAnsiTheme="majorHAnsi"/>
          <w:i/>
        </w:rPr>
        <w:t>PEX</w:t>
      </w:r>
      <w:r w:rsidRPr="0013327C">
        <w:rPr>
          <w:rFonts w:asciiTheme="majorHAnsi" w:hAnsiTheme="majorHAnsi"/>
        </w:rPr>
        <w:t xml:space="preserve">13, </w:t>
      </w:r>
      <w:r w:rsidR="000C26B2" w:rsidRPr="000C26B2">
        <w:rPr>
          <w:rFonts w:asciiTheme="majorHAnsi" w:hAnsiTheme="majorHAnsi"/>
          <w:i/>
        </w:rPr>
        <w:t>PEX</w:t>
      </w:r>
      <w:r w:rsidRPr="0013327C">
        <w:rPr>
          <w:rFonts w:asciiTheme="majorHAnsi" w:hAnsiTheme="majorHAnsi"/>
        </w:rPr>
        <w:t xml:space="preserve">16 and </w:t>
      </w:r>
      <w:r w:rsidR="000C26B2" w:rsidRPr="000C26B2">
        <w:rPr>
          <w:rFonts w:asciiTheme="majorHAnsi" w:hAnsiTheme="majorHAnsi"/>
          <w:i/>
        </w:rPr>
        <w:t>PEX</w:t>
      </w:r>
      <w:r w:rsidRPr="0013327C">
        <w:rPr>
          <w:rFonts w:asciiTheme="majorHAnsi" w:hAnsiTheme="majorHAnsi"/>
        </w:rPr>
        <w:t xml:space="preserve">1 show the most visual deviation from WT cells as supported by the z-scores, </w:t>
      </w:r>
      <w:r w:rsidR="000C26B2" w:rsidRPr="000C26B2">
        <w:rPr>
          <w:rFonts w:asciiTheme="majorHAnsi" w:hAnsiTheme="majorHAnsi"/>
          <w:i/>
        </w:rPr>
        <w:t>PEX</w:t>
      </w:r>
      <w:r w:rsidRPr="0013327C">
        <w:rPr>
          <w:rFonts w:asciiTheme="majorHAnsi" w:hAnsiTheme="majorHAnsi"/>
        </w:rPr>
        <w:t xml:space="preserve">5 is shown to score a lower z-score magnitude than Tango11, Drp1 and </w:t>
      </w:r>
      <w:r w:rsidR="000C26B2" w:rsidRPr="000C26B2">
        <w:rPr>
          <w:rFonts w:asciiTheme="majorHAnsi" w:hAnsiTheme="majorHAnsi"/>
          <w:i/>
        </w:rPr>
        <w:t>PEX</w:t>
      </w:r>
      <w:r w:rsidRPr="0013327C">
        <w:rPr>
          <w:rFonts w:asciiTheme="majorHAnsi" w:hAnsiTheme="majorHAnsi"/>
        </w:rPr>
        <w:t xml:space="preserve">3; despite the greater presence of cytosolic eGFP. The number of puncta in the </w:t>
      </w:r>
      <w:r w:rsidR="000C26B2" w:rsidRPr="000C26B2">
        <w:rPr>
          <w:rFonts w:asciiTheme="majorHAnsi" w:hAnsiTheme="majorHAnsi"/>
          <w:i/>
        </w:rPr>
        <w:t>PEX</w:t>
      </w:r>
      <w:r w:rsidRPr="0013327C">
        <w:rPr>
          <w:rFonts w:asciiTheme="majorHAnsi" w:hAnsiTheme="majorHAnsi"/>
        </w:rPr>
        <w:t xml:space="preserve">5 images is not greatly reduced due in part to the increased sensitivity of the Screen 2 Transfluor settings at detecting puncta with low contrast to their surrounding cytosol, and the fact that the selectable pMK33 pMt/Hy plasmid (into which the peroxisomal eGFP-PTS1 marker was cloned) has less </w:t>
      </w:r>
      <w:r w:rsidRPr="0013327C">
        <w:rPr>
          <w:rFonts w:asciiTheme="majorHAnsi" w:hAnsiTheme="majorHAnsi"/>
        </w:rPr>
        <w:lastRenderedPageBreak/>
        <w:t xml:space="preserve">well controlled expression when not induced. One might have expected to see higher numbers of puncta in </w:t>
      </w:r>
      <w:r w:rsidR="000C26B2" w:rsidRPr="000C26B2">
        <w:rPr>
          <w:rFonts w:asciiTheme="majorHAnsi" w:hAnsiTheme="majorHAnsi"/>
          <w:i/>
        </w:rPr>
        <w:t>PEX</w:t>
      </w:r>
      <w:r w:rsidRPr="0013327C">
        <w:rPr>
          <w:rFonts w:asciiTheme="majorHAnsi" w:hAnsiTheme="majorHAnsi"/>
        </w:rPr>
        <w:t xml:space="preserve">13 and </w:t>
      </w:r>
      <w:r w:rsidR="000C26B2" w:rsidRPr="000C26B2">
        <w:rPr>
          <w:rFonts w:asciiTheme="majorHAnsi" w:hAnsiTheme="majorHAnsi"/>
          <w:i/>
        </w:rPr>
        <w:t>PEX</w:t>
      </w:r>
      <w:r w:rsidRPr="0013327C">
        <w:rPr>
          <w:rFonts w:asciiTheme="majorHAnsi" w:hAnsiTheme="majorHAnsi"/>
        </w:rPr>
        <w:t xml:space="preserve">1 KDs as well but the cells in these wells appeared by chance not to be so strongly expressing the marker. Tango11, Drp1, and </w:t>
      </w:r>
      <w:r w:rsidR="000C26B2" w:rsidRPr="000C26B2">
        <w:rPr>
          <w:rFonts w:asciiTheme="majorHAnsi" w:hAnsiTheme="majorHAnsi"/>
          <w:i/>
        </w:rPr>
        <w:t>PEX</w:t>
      </w:r>
      <w:r w:rsidRPr="0013327C">
        <w:rPr>
          <w:rFonts w:asciiTheme="majorHAnsi" w:hAnsiTheme="majorHAnsi"/>
        </w:rPr>
        <w:t xml:space="preserve">3 have fewer and brighter peroxisomes and so score a larger magnitude of z-score than </w:t>
      </w:r>
      <w:r w:rsidR="000C26B2" w:rsidRPr="000C26B2">
        <w:rPr>
          <w:rFonts w:asciiTheme="majorHAnsi" w:hAnsiTheme="majorHAnsi"/>
          <w:i/>
        </w:rPr>
        <w:t>PEX</w:t>
      </w:r>
      <w:r w:rsidRPr="0013327C">
        <w:rPr>
          <w:rFonts w:asciiTheme="majorHAnsi" w:hAnsiTheme="majorHAnsi"/>
        </w:rPr>
        <w:t xml:space="preserve">5. The significant increase in cytosolic presence of eGFP in the </w:t>
      </w:r>
      <w:r w:rsidR="000C26B2" w:rsidRPr="000C26B2">
        <w:rPr>
          <w:rFonts w:asciiTheme="majorHAnsi" w:hAnsiTheme="majorHAnsi"/>
          <w:i/>
        </w:rPr>
        <w:t>PEX</w:t>
      </w:r>
      <w:r w:rsidRPr="0013327C">
        <w:rPr>
          <w:rFonts w:asciiTheme="majorHAnsi" w:hAnsiTheme="majorHAnsi"/>
        </w:rPr>
        <w:t xml:space="preserve">3 images does little to reduce contrast with the peroxisomes. Tango11 and Drp1 have uneven distribution of cells through the cytosol suggesting roles in peroxisome inheritance to daughter cells. </w:t>
      </w:r>
      <w:r w:rsidR="000C26B2" w:rsidRPr="000C26B2">
        <w:rPr>
          <w:rFonts w:asciiTheme="majorHAnsi" w:hAnsiTheme="majorHAnsi"/>
          <w:i/>
        </w:rPr>
        <w:t>PEX</w:t>
      </w:r>
      <w:r w:rsidRPr="0013327C">
        <w:rPr>
          <w:rFonts w:asciiTheme="majorHAnsi" w:hAnsiTheme="majorHAnsi"/>
        </w:rPr>
        <w:t xml:space="preserve">11β has a significant number of cells with a moderate reduction in peroxisome number. These peroxisomes appear bigger and brighter than those surrounding cells which appear not to have been knocked down, of which there are few. These cells have a similar appearance to those of Drp1 and Tango11 but with only a slightly uneven distribution of the peroxisomes and with a small increase in cytosolic eGFP. While </w:t>
      </w:r>
      <w:r w:rsidR="000C26B2" w:rsidRPr="000C26B2">
        <w:rPr>
          <w:rFonts w:asciiTheme="majorHAnsi" w:hAnsiTheme="majorHAnsi"/>
          <w:i/>
        </w:rPr>
        <w:t>PEX</w:t>
      </w:r>
      <w:r w:rsidRPr="0013327C">
        <w:rPr>
          <w:rFonts w:asciiTheme="majorHAnsi" w:hAnsiTheme="majorHAnsi"/>
        </w:rPr>
        <w:t>19 was not a statistically significant result upon visual screening it showed that it had a reduced number of peroxins that appeared larger and brighter. The images did show a disproportionately high number of WT-looking cells that may not have been knocked down.</w:t>
      </w:r>
    </w:p>
    <w:p w:rsidR="00C3380A" w:rsidRPr="0013327C" w:rsidRDefault="000C26B2" w:rsidP="00AE0264">
      <w:pPr>
        <w:pStyle w:val="Heading2"/>
        <w:jc w:val="both"/>
      </w:pPr>
      <w:bookmarkStart w:id="118" w:name="_Toc348423370"/>
      <w:r w:rsidRPr="000C26B2">
        <w:rPr>
          <w:i/>
        </w:rPr>
        <w:t>PEX</w:t>
      </w:r>
      <w:r w:rsidR="00C3380A" w:rsidRPr="0013327C">
        <w:t xml:space="preserve"> gene KDs that are neither statistically nor visually significant</w:t>
      </w:r>
      <w:bookmarkEnd w:id="118"/>
    </w:p>
    <w:p w:rsidR="00C3380A" w:rsidRPr="00897B0D" w:rsidRDefault="00C3380A" w:rsidP="00AE0264">
      <w:pPr>
        <w:jc w:val="both"/>
        <w:rPr>
          <w:rFonts w:asciiTheme="majorHAnsi" w:hAnsiTheme="majorHAnsi"/>
        </w:rPr>
      </w:pPr>
      <w:r w:rsidRPr="0013327C">
        <w:rPr>
          <w:rFonts w:asciiTheme="majorHAnsi" w:hAnsiTheme="majorHAnsi"/>
        </w:rPr>
        <w:t xml:space="preserve">Some of the genes known to be homologous to or functional orthologues of human or yeast peroxins did not produce statistically significant data, nor did they produce images which would otherwise indicate </w:t>
      </w:r>
      <w:r w:rsidR="000C26B2" w:rsidRPr="000C26B2">
        <w:rPr>
          <w:rFonts w:asciiTheme="majorHAnsi" w:hAnsiTheme="majorHAnsi"/>
          <w:i/>
        </w:rPr>
        <w:t>PEX</w:t>
      </w:r>
      <w:r w:rsidRPr="0013327C">
        <w:rPr>
          <w:rFonts w:asciiTheme="majorHAnsi" w:hAnsiTheme="majorHAnsi"/>
        </w:rPr>
        <w:t xml:space="preserve"> phenotypes had been produced. While this may have been expected from </w:t>
      </w:r>
      <w:r w:rsidR="000C26B2" w:rsidRPr="000C26B2">
        <w:rPr>
          <w:rFonts w:asciiTheme="majorHAnsi" w:hAnsiTheme="majorHAnsi"/>
          <w:i/>
        </w:rPr>
        <w:t>PEX</w:t>
      </w:r>
      <w:r w:rsidRPr="0013327C">
        <w:rPr>
          <w:rFonts w:asciiTheme="majorHAnsi" w:hAnsiTheme="majorHAnsi"/>
        </w:rPr>
        <w:t xml:space="preserve">7, the PTS2 receptor, </w:t>
      </w:r>
      <w:r w:rsidR="000C26B2" w:rsidRPr="000C26B2">
        <w:rPr>
          <w:rFonts w:asciiTheme="majorHAnsi" w:hAnsiTheme="majorHAnsi"/>
          <w:i/>
        </w:rPr>
        <w:t>PEX</w:t>
      </w:r>
      <w:r w:rsidRPr="0013327C">
        <w:rPr>
          <w:rFonts w:asciiTheme="majorHAnsi" w:hAnsiTheme="majorHAnsi"/>
        </w:rPr>
        <w:t xml:space="preserve">2, </w:t>
      </w:r>
      <w:r w:rsidR="000C26B2" w:rsidRPr="000C26B2">
        <w:rPr>
          <w:rFonts w:asciiTheme="majorHAnsi" w:hAnsiTheme="majorHAnsi"/>
          <w:i/>
        </w:rPr>
        <w:t>PEX</w:t>
      </w:r>
      <w:r w:rsidRPr="0013327C">
        <w:rPr>
          <w:rFonts w:asciiTheme="majorHAnsi" w:hAnsiTheme="majorHAnsi"/>
        </w:rPr>
        <w:t xml:space="preserve">6, </w:t>
      </w:r>
      <w:r w:rsidR="000C26B2" w:rsidRPr="000C26B2">
        <w:rPr>
          <w:rFonts w:asciiTheme="majorHAnsi" w:hAnsiTheme="majorHAnsi"/>
          <w:i/>
        </w:rPr>
        <w:t>PEX</w:t>
      </w:r>
      <w:r w:rsidRPr="0013327C">
        <w:rPr>
          <w:rFonts w:asciiTheme="majorHAnsi" w:hAnsiTheme="majorHAnsi"/>
        </w:rPr>
        <w:t xml:space="preserve">10, </w:t>
      </w:r>
      <w:r w:rsidR="000C26B2" w:rsidRPr="000C26B2">
        <w:rPr>
          <w:rFonts w:asciiTheme="majorHAnsi" w:hAnsiTheme="majorHAnsi"/>
          <w:i/>
        </w:rPr>
        <w:t>PEX</w:t>
      </w:r>
      <w:r w:rsidRPr="0013327C">
        <w:rPr>
          <w:rFonts w:asciiTheme="majorHAnsi" w:hAnsiTheme="majorHAnsi"/>
        </w:rPr>
        <w:t xml:space="preserve">12 and </w:t>
      </w:r>
      <w:r w:rsidR="000C26B2" w:rsidRPr="000C26B2">
        <w:rPr>
          <w:rFonts w:asciiTheme="majorHAnsi" w:hAnsiTheme="majorHAnsi"/>
          <w:i/>
        </w:rPr>
        <w:t>PEX</w:t>
      </w:r>
      <w:r w:rsidRPr="0013327C">
        <w:rPr>
          <w:rFonts w:asciiTheme="majorHAnsi" w:hAnsiTheme="majorHAnsi"/>
        </w:rPr>
        <w:t xml:space="preserve">14 were hoped to produce </w:t>
      </w:r>
      <w:r w:rsidR="000C26B2" w:rsidRPr="000C26B2">
        <w:rPr>
          <w:rFonts w:asciiTheme="majorHAnsi" w:hAnsiTheme="majorHAnsi"/>
          <w:i/>
        </w:rPr>
        <w:t>PEX</w:t>
      </w:r>
      <w:r w:rsidRPr="0013327C">
        <w:rPr>
          <w:rFonts w:asciiTheme="majorHAnsi" w:hAnsiTheme="majorHAnsi"/>
        </w:rPr>
        <w:t xml:space="preserve"> phenotypes or at least significant</w:t>
      </w:r>
      <w:r w:rsidR="000E5578">
        <w:rPr>
          <w:rFonts w:asciiTheme="majorHAnsi" w:hAnsiTheme="majorHAnsi"/>
        </w:rPr>
        <w:t>ly</w:t>
      </w:r>
      <w:r w:rsidRPr="0013327C">
        <w:rPr>
          <w:rFonts w:asciiTheme="majorHAnsi" w:hAnsiTheme="majorHAnsi"/>
        </w:rPr>
        <w:t xml:space="preserve"> statistical results. In Screen 1 </w:t>
      </w:r>
      <w:r w:rsidR="000C26B2" w:rsidRPr="000C26B2">
        <w:rPr>
          <w:rFonts w:asciiTheme="majorHAnsi" w:hAnsiTheme="majorHAnsi"/>
          <w:i/>
        </w:rPr>
        <w:t>PEX</w:t>
      </w:r>
      <w:r w:rsidRPr="0013327C">
        <w:rPr>
          <w:rFonts w:asciiTheme="majorHAnsi" w:hAnsiTheme="majorHAnsi"/>
        </w:rPr>
        <w:t xml:space="preserve">2 and </w:t>
      </w:r>
      <w:r w:rsidR="000C26B2" w:rsidRPr="000C26B2">
        <w:rPr>
          <w:rFonts w:asciiTheme="majorHAnsi" w:hAnsiTheme="majorHAnsi"/>
          <w:i/>
        </w:rPr>
        <w:t>PEX</w:t>
      </w:r>
      <w:r w:rsidRPr="0013327C">
        <w:rPr>
          <w:rFonts w:asciiTheme="majorHAnsi" w:hAnsiTheme="majorHAnsi"/>
        </w:rPr>
        <w:t xml:space="preserve">14 were included as hits as there were </w:t>
      </w:r>
      <w:r w:rsidR="000C26B2" w:rsidRPr="000C26B2">
        <w:rPr>
          <w:rFonts w:asciiTheme="majorHAnsi" w:hAnsiTheme="majorHAnsi"/>
          <w:i/>
        </w:rPr>
        <w:t>PEX</w:t>
      </w:r>
      <w:r w:rsidRPr="0013327C">
        <w:rPr>
          <w:rFonts w:asciiTheme="majorHAnsi" w:hAnsiTheme="majorHAnsi"/>
        </w:rPr>
        <w:t xml:space="preserve">-like phenotypes present among the transfected cells. It was thought that stably transfected cells would report more </w:t>
      </w:r>
      <w:r w:rsidR="000C26B2" w:rsidRPr="000C26B2">
        <w:rPr>
          <w:rFonts w:asciiTheme="majorHAnsi" w:hAnsiTheme="majorHAnsi"/>
          <w:i/>
        </w:rPr>
        <w:t>PEX</w:t>
      </w:r>
      <w:r w:rsidRPr="0013327C">
        <w:rPr>
          <w:rFonts w:asciiTheme="majorHAnsi" w:hAnsiTheme="majorHAnsi"/>
        </w:rPr>
        <w:t xml:space="preserve">-like phenotypes and produce statistically significant data. There was also hope in that the </w:t>
      </w:r>
      <w:r w:rsidR="000C26B2" w:rsidRPr="000C26B2">
        <w:rPr>
          <w:rFonts w:asciiTheme="majorHAnsi" w:hAnsiTheme="majorHAnsi"/>
          <w:i/>
        </w:rPr>
        <w:t>PEX</w:t>
      </w:r>
      <w:r w:rsidRPr="0013327C">
        <w:rPr>
          <w:rFonts w:asciiTheme="majorHAnsi" w:hAnsiTheme="majorHAnsi"/>
        </w:rPr>
        <w:t xml:space="preserve">12 KD had a normalised z-score of 1.76 in Screen 2 which would make it comparable to KDs like </w:t>
      </w:r>
      <w:r w:rsidR="000C26B2" w:rsidRPr="000C26B2">
        <w:rPr>
          <w:rFonts w:asciiTheme="majorHAnsi" w:hAnsiTheme="majorHAnsi"/>
          <w:i/>
        </w:rPr>
        <w:t>PEX</w:t>
      </w:r>
      <w:r w:rsidRPr="0013327C">
        <w:rPr>
          <w:rFonts w:asciiTheme="majorHAnsi" w:hAnsiTheme="majorHAnsi"/>
        </w:rPr>
        <w:t xml:space="preserve">19 and </w:t>
      </w:r>
      <w:r w:rsidR="000C26B2" w:rsidRPr="000C26B2">
        <w:rPr>
          <w:rFonts w:asciiTheme="majorHAnsi" w:hAnsiTheme="majorHAnsi"/>
          <w:i/>
        </w:rPr>
        <w:t>PEX</w:t>
      </w:r>
      <w:r w:rsidRPr="0013327C">
        <w:rPr>
          <w:rFonts w:asciiTheme="majorHAnsi" w:hAnsiTheme="majorHAnsi"/>
        </w:rPr>
        <w:t xml:space="preserve">11β. However, when the data and images were observed there were no more cells with cytosolic eGFP than there were in WT images and the cells presented with a near-ubiquitous WT phenotype, albeit a faint one. This was also true of the other 4 genes mentioned and the six of them have been presented in Fig. 4.9.1. The raised magnitude of z-score in </w:t>
      </w:r>
      <w:r w:rsidR="000C26B2" w:rsidRPr="000C26B2">
        <w:rPr>
          <w:rFonts w:asciiTheme="majorHAnsi" w:hAnsiTheme="majorHAnsi"/>
          <w:i/>
        </w:rPr>
        <w:t>PEX</w:t>
      </w:r>
      <w:r w:rsidRPr="0013327C">
        <w:rPr>
          <w:rFonts w:asciiTheme="majorHAnsi" w:hAnsiTheme="majorHAnsi"/>
        </w:rPr>
        <w:t xml:space="preserve">10 and </w:t>
      </w:r>
      <w:r w:rsidR="000C26B2" w:rsidRPr="000C26B2">
        <w:rPr>
          <w:rFonts w:asciiTheme="majorHAnsi" w:hAnsiTheme="majorHAnsi"/>
          <w:i/>
        </w:rPr>
        <w:t>PEX</w:t>
      </w:r>
      <w:r w:rsidRPr="0013327C">
        <w:rPr>
          <w:rFonts w:asciiTheme="majorHAnsi" w:hAnsiTheme="majorHAnsi"/>
        </w:rPr>
        <w:t>12 KDs is likely attributable to a significant proportion of cells with very low expression of eGFP, some not visible by eye.</w:t>
      </w:r>
      <w:r w:rsidR="00897B0D">
        <w:rPr>
          <w:rFonts w:asciiTheme="majorHAnsi" w:hAnsiTheme="majorHAnsi"/>
        </w:rPr>
        <w:t xml:space="preserve"> It is possible that in </w:t>
      </w:r>
      <w:r w:rsidR="00897B0D">
        <w:rPr>
          <w:rFonts w:asciiTheme="majorHAnsi" w:hAnsiTheme="majorHAnsi"/>
          <w:i/>
        </w:rPr>
        <w:t>D. melanogaster</w:t>
      </w:r>
      <w:r w:rsidR="00897B0D">
        <w:rPr>
          <w:rFonts w:asciiTheme="majorHAnsi" w:hAnsiTheme="majorHAnsi"/>
        </w:rPr>
        <w:t xml:space="preserve"> there is an unexpected level of redundancy</w:t>
      </w:r>
      <w:r w:rsidR="009B2C90">
        <w:rPr>
          <w:rFonts w:asciiTheme="majorHAnsi" w:hAnsiTheme="majorHAnsi"/>
        </w:rPr>
        <w:t xml:space="preserve"> among peroxins that </w:t>
      </w:r>
      <w:r w:rsidR="009B2C90">
        <w:rPr>
          <w:rFonts w:asciiTheme="majorHAnsi" w:hAnsiTheme="majorHAnsi"/>
        </w:rPr>
        <w:lastRenderedPageBreak/>
        <w:t xml:space="preserve">prevents </w:t>
      </w:r>
      <w:r w:rsidR="00D93535" w:rsidRPr="00D93535">
        <w:rPr>
          <w:rFonts w:asciiTheme="majorHAnsi" w:hAnsiTheme="majorHAnsi"/>
          <w:i/>
        </w:rPr>
        <w:t>PEX</w:t>
      </w:r>
      <w:r w:rsidR="009B2C90">
        <w:rPr>
          <w:rFonts w:asciiTheme="majorHAnsi" w:hAnsiTheme="majorHAnsi"/>
        </w:rPr>
        <w:t>-like phenotypes</w:t>
      </w:r>
      <w:r w:rsidR="00EC213E">
        <w:rPr>
          <w:rFonts w:asciiTheme="majorHAnsi" w:hAnsiTheme="majorHAnsi"/>
        </w:rPr>
        <w:t xml:space="preserve"> in single-gene KDs. </w:t>
      </w:r>
      <w:r w:rsidR="00DC0A9E">
        <w:rPr>
          <w:rFonts w:asciiTheme="majorHAnsi" w:hAnsiTheme="majorHAnsi"/>
        </w:rPr>
        <w:t xml:space="preserve">One of the expected benefits from screening </w:t>
      </w:r>
      <w:r w:rsidR="00BC7014">
        <w:rPr>
          <w:rFonts w:asciiTheme="majorHAnsi" w:hAnsiTheme="majorHAnsi"/>
          <w:i/>
        </w:rPr>
        <w:t>D. melanogaster</w:t>
      </w:r>
      <w:r w:rsidR="00BC7014">
        <w:rPr>
          <w:rFonts w:asciiTheme="majorHAnsi" w:hAnsiTheme="majorHAnsi"/>
        </w:rPr>
        <w:t xml:space="preserve"> is that of lower redundancy of gene functions compared to that of </w:t>
      </w:r>
      <w:r w:rsidR="00BC7014">
        <w:rPr>
          <w:rFonts w:asciiTheme="majorHAnsi" w:hAnsiTheme="majorHAnsi"/>
          <w:i/>
        </w:rPr>
        <w:t>Mus muscularis</w:t>
      </w:r>
      <w:r w:rsidR="00BC7014">
        <w:rPr>
          <w:rFonts w:asciiTheme="majorHAnsi" w:hAnsiTheme="majorHAnsi"/>
        </w:rPr>
        <w:t xml:space="preserve"> which has been shown</w:t>
      </w:r>
      <w:r w:rsidR="0029043F">
        <w:rPr>
          <w:rFonts w:asciiTheme="majorHAnsi" w:hAnsiTheme="majorHAnsi"/>
        </w:rPr>
        <w:t xml:space="preserve"> in some experiments to be incapable of producing reliable</w:t>
      </w:r>
      <w:r w:rsidR="00DC0A9E">
        <w:rPr>
          <w:rFonts w:asciiTheme="majorHAnsi" w:hAnsiTheme="majorHAnsi"/>
        </w:rPr>
        <w:t xml:space="preserve"> </w:t>
      </w:r>
      <w:r w:rsidR="0029043F">
        <w:rPr>
          <w:rFonts w:asciiTheme="majorHAnsi" w:hAnsiTheme="majorHAnsi"/>
        </w:rPr>
        <w:t xml:space="preserve">phenotypes of gene KOs which were producible in </w:t>
      </w:r>
      <w:r w:rsidR="0029043F" w:rsidRPr="0029043F">
        <w:rPr>
          <w:rFonts w:asciiTheme="majorHAnsi" w:hAnsiTheme="majorHAnsi"/>
          <w:i/>
        </w:rPr>
        <w:t>D. melanogaster</w:t>
      </w:r>
      <w:r w:rsidR="0029043F">
        <w:rPr>
          <w:rFonts w:asciiTheme="majorHAnsi" w:hAnsiTheme="majorHAnsi"/>
        </w:rPr>
        <w:t xml:space="preserve"> </w:t>
      </w:r>
      <w:r w:rsidR="009A1FEC">
        <w:rPr>
          <w:rFonts w:asciiTheme="majorHAnsi" w:hAnsiTheme="majorHAnsi"/>
        </w:rPr>
        <w:fldChar w:fldCharType="begin" w:fldLock="1"/>
      </w:r>
      <w:r w:rsidR="00D72F07">
        <w:rPr>
          <w:rFonts w:asciiTheme="majorHAnsi" w:hAnsiTheme="majorHAnsi"/>
        </w:rPr>
        <w:instrText>ADDIN CSL_CITATION { "citationItems" : [ { "id" : "ITEM-1", "itemData" : { "DOI" : "10.1016/j.ajhg.2008.06.003.", "author" : [ { "dropping-particle" : "", "family" : "Zhang", "given" : "Jing", "non-dropping-particle" : "", "parse-names" : false, "suffix" : "" }, { "dropping-particle" : "", "family" : "Fang", "given" : "Zhe", "non-dropping-particle" : "", "parse-names" : false, "suffix" : "" }, { "dropping-particle" : "", "family" : "Jud", "given" : "Corinne", "non-dropping-particle" : "", "parse-names" : false, "suffix" : "" }, { "dropping-particle" : "", "family" : "Vansteensel", "given" : "Mariska J", "non-dropping-particle" : "", "parse-names" : false, "suffix" : "" }, { "dropping-particle" : "", "family" : "Kaasik", "given" : "Krista", "non-dropping-particle" : "", "parse-names" : false, "suffix" : "" }, { "dropping-particle" : "", "family" : "Lee", "given" : "Cheng Chi", "non-dropping-particle" : "", "parse-names" : false, "suffix" : "" }, { "dropping-particle" : "", "family" : "Albrecht", "given" : "Urs", "non-dropping-particle" : "", "parse-names" : false, "suffix" : "" }, { "dropping-particle" : "", "family" : "Tamanini", "given" : "Filippo", "non-dropping-particle" : "", "parse-names" : false, "suffix" : "" }, { "dropping-particle" : "", "family" : "Meijer", "given" : "Johanna H", "non-dropping-particle" : "", "parse-names" : false, "suffix" : "" }, { "dropping-particle" : "", "family" : "Oostra", "given" : "Ben A", "non-dropping-particle" : "", "parse-names" : false, "suffix" : "" }, { "dropping-particle" : "", "family" : "Nelson", "given" : "David L", "non-dropping-particle" : "", "parse-names" : false, "suffix" : "" } ], "id" : "ITEM-1", "issue" : "July", "issued" : { "date-parts" : [ [ "2008" ] ] }, "page" : "43-52", "title" : "Fragile X-Related Proteins Regulate Mammalian Circadian Behavioral Rhythms", "type" : "article-journal" }, "uris" : [ "http://www.mendeley.com/documents/?uuid=3a900051-b5e9-4d29-9d46-35f5052a8c2a" ] } ], "mendeley" : { "previouslyFormattedCitation" : "(Zhang et al. 2008)" }, "properties" : { "noteIndex" : 0 }, "schema" : "https://github.com/citation-style-language/schema/raw/master/csl-citation.json" }</w:instrText>
      </w:r>
      <w:r w:rsidR="009A1FEC">
        <w:rPr>
          <w:rFonts w:asciiTheme="majorHAnsi" w:hAnsiTheme="majorHAnsi"/>
        </w:rPr>
        <w:fldChar w:fldCharType="separate"/>
      </w:r>
      <w:r w:rsidR="0029043F" w:rsidRPr="0029043F">
        <w:rPr>
          <w:rFonts w:asciiTheme="majorHAnsi" w:hAnsiTheme="majorHAnsi"/>
          <w:noProof/>
        </w:rPr>
        <w:t xml:space="preserve">(Zhang </w:t>
      </w:r>
      <w:r w:rsidR="00466108" w:rsidRPr="00466108">
        <w:rPr>
          <w:rFonts w:asciiTheme="majorHAnsi" w:hAnsiTheme="majorHAnsi"/>
          <w:i/>
          <w:noProof/>
        </w:rPr>
        <w:t>et al</w:t>
      </w:r>
      <w:r w:rsidR="0029043F" w:rsidRPr="0029043F">
        <w:rPr>
          <w:rFonts w:asciiTheme="majorHAnsi" w:hAnsiTheme="majorHAnsi"/>
          <w:noProof/>
        </w:rPr>
        <w:t>. 2008)</w:t>
      </w:r>
      <w:r w:rsidR="009A1FEC">
        <w:rPr>
          <w:rFonts w:asciiTheme="majorHAnsi" w:hAnsiTheme="majorHAnsi"/>
        </w:rPr>
        <w:fldChar w:fldCharType="end"/>
      </w:r>
      <w:r w:rsidR="0029043F">
        <w:rPr>
          <w:rFonts w:asciiTheme="majorHAnsi" w:hAnsiTheme="majorHAnsi"/>
        </w:rPr>
        <w:t>.</w:t>
      </w:r>
      <w:r w:rsidR="00042D40">
        <w:rPr>
          <w:rFonts w:asciiTheme="majorHAnsi" w:hAnsiTheme="majorHAnsi"/>
        </w:rPr>
        <w:t xml:space="preserve"> </w:t>
      </w:r>
    </w:p>
    <w:p w:rsidR="00C3380A" w:rsidRPr="0013327C" w:rsidRDefault="00C3380A" w:rsidP="001152A4">
      <w:pPr>
        <w:jc w:val="center"/>
        <w:rPr>
          <w:rFonts w:asciiTheme="majorHAnsi" w:hAnsiTheme="majorHAnsi"/>
          <w:b/>
        </w:rPr>
      </w:pPr>
      <w:r w:rsidRPr="0013327C">
        <w:rPr>
          <w:rFonts w:asciiTheme="majorHAnsi" w:hAnsiTheme="majorHAnsi"/>
          <w:noProof/>
          <w:lang w:eastAsia="en-GB"/>
        </w:rPr>
        <w:drawing>
          <wp:inline distT="0" distB="0" distL="0" distR="0">
            <wp:extent cx="2810510" cy="1865630"/>
            <wp:effectExtent l="0" t="0" r="0" b="0"/>
            <wp:docPr id="1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srcRect/>
                    <a:stretch>
                      <a:fillRect/>
                    </a:stretch>
                  </pic:blipFill>
                  <pic:spPr bwMode="auto">
                    <a:xfrm>
                      <a:off x="0" y="0"/>
                      <a:ext cx="2810510" cy="1865630"/>
                    </a:xfrm>
                    <a:prstGeom prst="rect">
                      <a:avLst/>
                    </a:prstGeom>
                    <a:noFill/>
                  </pic:spPr>
                </pic:pic>
              </a:graphicData>
            </a:graphic>
          </wp:inline>
        </w:drawing>
      </w:r>
    </w:p>
    <w:p w:rsidR="00C3380A" w:rsidRPr="0013327C" w:rsidRDefault="00BC3B3C" w:rsidP="00AE0264">
      <w:pPr>
        <w:jc w:val="both"/>
        <w:rPr>
          <w:rFonts w:asciiTheme="majorHAnsi" w:hAnsiTheme="majorHAnsi"/>
        </w:rPr>
      </w:pPr>
      <w:proofErr w:type="gramStart"/>
      <w:r>
        <w:rPr>
          <w:rFonts w:asciiTheme="majorHAnsi" w:hAnsiTheme="majorHAnsi"/>
          <w:b/>
        </w:rPr>
        <w:t xml:space="preserve">Table </w:t>
      </w:r>
      <w:r w:rsidR="00C3380A" w:rsidRPr="0013327C">
        <w:rPr>
          <w:rFonts w:asciiTheme="majorHAnsi" w:hAnsiTheme="majorHAnsi"/>
          <w:b/>
        </w:rPr>
        <w:t>4.</w:t>
      </w:r>
      <w:r w:rsidR="001152A4">
        <w:rPr>
          <w:rFonts w:asciiTheme="majorHAnsi" w:hAnsiTheme="majorHAnsi"/>
          <w:b/>
        </w:rPr>
        <w:t>4</w:t>
      </w:r>
      <w:r w:rsidR="00C3380A" w:rsidRPr="0013327C">
        <w:rPr>
          <w:rFonts w:asciiTheme="majorHAnsi" w:hAnsiTheme="majorHAnsi"/>
          <w:b/>
        </w:rPr>
        <w:t>.</w:t>
      </w:r>
      <w:proofErr w:type="gramEnd"/>
      <w:r w:rsidR="00C3380A" w:rsidRPr="0013327C">
        <w:rPr>
          <w:rFonts w:asciiTheme="majorHAnsi" w:hAnsiTheme="majorHAnsi"/>
          <w:b/>
        </w:rPr>
        <w:t xml:space="preserve"> </w:t>
      </w:r>
      <w:proofErr w:type="gramStart"/>
      <w:r w:rsidR="001152A4">
        <w:rPr>
          <w:rFonts w:asciiTheme="majorHAnsi" w:hAnsiTheme="majorHAnsi"/>
          <w:b/>
        </w:rPr>
        <w:t xml:space="preserve">A table of non-statistically significant data from </w:t>
      </w:r>
      <w:r w:rsidR="000C26B2" w:rsidRPr="000C26B2">
        <w:rPr>
          <w:rFonts w:asciiTheme="majorHAnsi" w:hAnsiTheme="majorHAnsi"/>
          <w:b/>
          <w:i/>
        </w:rPr>
        <w:t>PEX</w:t>
      </w:r>
      <w:r w:rsidR="001152A4">
        <w:rPr>
          <w:rFonts w:asciiTheme="majorHAnsi" w:hAnsiTheme="majorHAnsi"/>
          <w:b/>
        </w:rPr>
        <w:t xml:space="preserve"> KDs.</w:t>
      </w:r>
      <w:proofErr w:type="gramEnd"/>
      <w:r w:rsidR="001152A4">
        <w:rPr>
          <w:rFonts w:asciiTheme="majorHAnsi" w:hAnsiTheme="majorHAnsi"/>
          <w:b/>
        </w:rPr>
        <w:t xml:space="preserve"> </w:t>
      </w:r>
      <w:r w:rsidR="00C3380A" w:rsidRPr="0013327C">
        <w:rPr>
          <w:rFonts w:asciiTheme="majorHAnsi" w:hAnsiTheme="majorHAnsi"/>
        </w:rPr>
        <w:t xml:space="preserve">A table from Screen 2 data showing gene and library identifiers and z-scores for KDs of genes homologous to peroxins or biogenesis-associated proteins from </w:t>
      </w:r>
      <w:r w:rsidR="00D506CC" w:rsidRPr="0013327C">
        <w:rPr>
          <w:rFonts w:asciiTheme="majorHAnsi" w:hAnsiTheme="majorHAnsi"/>
          <w:i/>
        </w:rPr>
        <w:t>S. cerevisiae</w:t>
      </w:r>
      <w:r w:rsidR="00C3380A" w:rsidRPr="0013327C">
        <w:rPr>
          <w:rFonts w:asciiTheme="majorHAnsi" w:hAnsiTheme="majorHAnsi"/>
        </w:rPr>
        <w:t>,</w:t>
      </w:r>
      <w:r w:rsidR="00C3380A" w:rsidRPr="0013327C">
        <w:rPr>
          <w:rFonts w:asciiTheme="majorHAnsi" w:hAnsiTheme="majorHAnsi"/>
          <w:i/>
        </w:rPr>
        <w:t xml:space="preserve"> H. sapiens</w:t>
      </w:r>
      <w:r w:rsidR="00C3380A" w:rsidRPr="0013327C">
        <w:rPr>
          <w:rFonts w:asciiTheme="majorHAnsi" w:hAnsiTheme="majorHAnsi"/>
        </w:rPr>
        <w:t xml:space="preserve"> or both. None of these genes produced statistically significant results, nor did they produce images with </w:t>
      </w:r>
      <w:r w:rsidR="000C26B2" w:rsidRPr="000C26B2">
        <w:rPr>
          <w:rFonts w:asciiTheme="majorHAnsi" w:hAnsiTheme="majorHAnsi"/>
          <w:i/>
        </w:rPr>
        <w:t>PEX</w:t>
      </w:r>
      <w:r w:rsidR="00C3380A" w:rsidRPr="0013327C">
        <w:rPr>
          <w:rFonts w:asciiTheme="majorHAnsi" w:hAnsiTheme="majorHAnsi"/>
        </w:rPr>
        <w:t>-like phenotypes.</w:t>
      </w:r>
    </w:p>
    <w:p w:rsidR="00C3380A" w:rsidRPr="0013327C" w:rsidRDefault="00C3380A" w:rsidP="00AE0264">
      <w:pPr>
        <w:jc w:val="both"/>
        <w:rPr>
          <w:rFonts w:asciiTheme="majorHAnsi" w:hAnsiTheme="majorHAnsi"/>
        </w:rPr>
      </w:pPr>
      <w:r w:rsidRPr="0013327C">
        <w:rPr>
          <w:rFonts w:asciiTheme="majorHAnsi" w:hAnsiTheme="majorHAnsi"/>
          <w:b/>
          <w:noProof/>
          <w:lang w:eastAsia="en-GB"/>
        </w:rPr>
        <w:drawing>
          <wp:inline distT="0" distB="0" distL="0" distR="0">
            <wp:extent cx="4955906" cy="2789695"/>
            <wp:effectExtent l="19050" t="0" r="0" b="0"/>
            <wp:docPr id="189"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69543" cy="4545796"/>
                      <a:chOff x="107504" y="116632"/>
                      <a:chExt cx="8069543" cy="4545796"/>
                    </a:xfrm>
                  </a:grpSpPr>
                  <a:grpSp>
                    <a:nvGrpSpPr>
                      <a:cNvPr id="110" name="Group 109"/>
                      <a:cNvGrpSpPr/>
                    </a:nvGrpSpPr>
                    <a:grpSpPr>
                      <a:xfrm>
                        <a:off x="107504" y="116632"/>
                        <a:ext cx="8069543" cy="4545796"/>
                        <a:chOff x="107504" y="116632"/>
                        <a:chExt cx="8069543" cy="4545796"/>
                      </a:xfrm>
                    </a:grpSpPr>
                    <a:grpSp>
                      <a:nvGrpSpPr>
                        <a:cNvPr id="3" name="Group 17"/>
                        <a:cNvGrpSpPr/>
                      </a:nvGrpSpPr>
                      <a:grpSpPr>
                        <a:xfrm>
                          <a:off x="107504" y="116632"/>
                          <a:ext cx="8069543" cy="4545796"/>
                          <a:chOff x="107504" y="116632"/>
                          <a:chExt cx="8069543" cy="4545796"/>
                        </a:xfrm>
                      </a:grpSpPr>
                      <a:pic>
                        <a:nvPicPr>
                          <a:cNvPr id="2050" name="Picture 2"/>
                          <a:cNvPicPr>
                            <a:picLocks noChangeAspect="1" noChangeArrowheads="1"/>
                          </a:cNvPicPr>
                        </a:nvPicPr>
                        <a:blipFill>
                          <a:blip r:embed="rId96" cstate="print"/>
                          <a:srcRect/>
                          <a:stretch>
                            <a:fillRect/>
                          </a:stretch>
                        </a:blipFill>
                        <a:spPr bwMode="auto">
                          <a:xfrm>
                            <a:off x="107504" y="116633"/>
                            <a:ext cx="2596934" cy="1872208"/>
                          </a:xfrm>
                          <a:prstGeom prst="rect">
                            <a:avLst/>
                          </a:prstGeom>
                          <a:noFill/>
                          <a:ln w="9525">
                            <a:noFill/>
                            <a:miter lim="800000"/>
                            <a:headEnd/>
                            <a:tailEnd/>
                          </a:ln>
                          <a:effectLst/>
                        </a:spPr>
                      </a:pic>
                      <a:cxnSp>
                        <a:nvCxnSpPr>
                          <a:cNvPr id="5" name="Straight Connector 4"/>
                          <a:cNvCxnSpPr/>
                        </a:nvCxnSpPr>
                        <a:spPr>
                          <a:xfrm>
                            <a:off x="395535" y="1843327"/>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pic>
                        <a:nvPicPr>
                          <a:cNvPr id="2051" name="Picture 3"/>
                          <a:cNvPicPr>
                            <a:picLocks noChangeAspect="1" noChangeArrowheads="1"/>
                          </a:cNvPicPr>
                        </a:nvPicPr>
                        <a:blipFill>
                          <a:blip r:embed="rId97" cstate="print"/>
                          <a:srcRect/>
                          <a:stretch>
                            <a:fillRect/>
                          </a:stretch>
                        </a:blipFill>
                        <a:spPr bwMode="auto">
                          <a:xfrm>
                            <a:off x="2843808" y="116632"/>
                            <a:ext cx="2592288" cy="1868859"/>
                          </a:xfrm>
                          <a:prstGeom prst="rect">
                            <a:avLst/>
                          </a:prstGeom>
                          <a:noFill/>
                          <a:ln w="9525">
                            <a:noFill/>
                            <a:miter lim="800000"/>
                            <a:headEnd/>
                            <a:tailEnd/>
                          </a:ln>
                          <a:effectLst/>
                        </a:spPr>
                      </a:pic>
                      <a:sp>
                        <a:nvSpPr>
                          <a:cNvPr id="7" name="TextBox 6"/>
                          <a:cNvSpPr txBox="1"/>
                        </a:nvSpPr>
                        <a:spPr>
                          <a:xfrm>
                            <a:off x="179512" y="1988840"/>
                            <a:ext cx="244827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PEX12</a:t>
                              </a:r>
                              <a:endParaRPr lang="en-GB" dirty="0"/>
                            </a:p>
                          </a:txBody>
                          <a:useSpRect/>
                        </a:txSp>
                      </a:sp>
                      <a:sp>
                        <a:nvSpPr>
                          <a:cNvPr id="8" name="TextBox 7"/>
                          <a:cNvSpPr txBox="1"/>
                        </a:nvSpPr>
                        <a:spPr>
                          <a:xfrm>
                            <a:off x="2915816" y="1988840"/>
                            <a:ext cx="244827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PEX10</a:t>
                              </a:r>
                              <a:endParaRPr lang="en-GB" dirty="0"/>
                            </a:p>
                          </a:txBody>
                          <a:useSpRect/>
                        </a:txSp>
                      </a:sp>
                      <a:pic>
                        <a:nvPicPr>
                          <a:cNvPr id="2052" name="Picture 4"/>
                          <a:cNvPicPr>
                            <a:picLocks noChangeAspect="1" noChangeArrowheads="1"/>
                          </a:cNvPicPr>
                        </a:nvPicPr>
                        <a:blipFill>
                          <a:blip r:embed="rId98" cstate="print"/>
                          <a:srcRect/>
                          <a:stretch>
                            <a:fillRect/>
                          </a:stretch>
                        </a:blipFill>
                        <a:spPr bwMode="auto">
                          <a:xfrm>
                            <a:off x="5580112" y="116632"/>
                            <a:ext cx="2596934" cy="1872208"/>
                          </a:xfrm>
                          <a:prstGeom prst="rect">
                            <a:avLst/>
                          </a:prstGeom>
                          <a:noFill/>
                          <a:ln w="9525">
                            <a:noFill/>
                            <a:miter lim="800000"/>
                            <a:headEnd/>
                            <a:tailEnd/>
                          </a:ln>
                          <a:effectLst/>
                        </a:spPr>
                      </a:pic>
                      <a:sp>
                        <a:nvSpPr>
                          <a:cNvPr id="10" name="TextBox 9"/>
                          <a:cNvSpPr txBox="1"/>
                        </a:nvSpPr>
                        <a:spPr>
                          <a:xfrm>
                            <a:off x="5652120" y="1988840"/>
                            <a:ext cx="244827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PEX2</a:t>
                              </a:r>
                              <a:endParaRPr lang="en-GB" dirty="0"/>
                            </a:p>
                          </a:txBody>
                          <a:useSpRect/>
                        </a:txSp>
                      </a:sp>
                      <a:pic>
                        <a:nvPicPr>
                          <a:cNvPr id="2053" name="Picture 5"/>
                          <a:cNvPicPr>
                            <a:picLocks noChangeAspect="1" noChangeArrowheads="1"/>
                          </a:cNvPicPr>
                        </a:nvPicPr>
                        <a:blipFill>
                          <a:blip r:embed="rId99" cstate="print"/>
                          <a:srcRect/>
                          <a:stretch>
                            <a:fillRect/>
                          </a:stretch>
                        </a:blipFill>
                        <a:spPr bwMode="auto">
                          <a:xfrm>
                            <a:off x="107504" y="2403390"/>
                            <a:ext cx="2592288" cy="1889706"/>
                          </a:xfrm>
                          <a:prstGeom prst="rect">
                            <a:avLst/>
                          </a:prstGeom>
                          <a:noFill/>
                          <a:ln w="9525">
                            <a:noFill/>
                            <a:miter lim="800000"/>
                            <a:headEnd/>
                            <a:tailEnd/>
                          </a:ln>
                          <a:effectLst/>
                        </a:spPr>
                      </a:pic>
                      <a:sp>
                        <a:nvSpPr>
                          <a:cNvPr id="12" name="TextBox 11"/>
                          <a:cNvSpPr txBox="1"/>
                        </a:nvSpPr>
                        <a:spPr>
                          <a:xfrm>
                            <a:off x="179512" y="4293096"/>
                            <a:ext cx="244827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PEX14</a:t>
                              </a:r>
                              <a:endParaRPr lang="en-GB" dirty="0"/>
                            </a:p>
                          </a:txBody>
                          <a:useSpRect/>
                        </a:txSp>
                      </a:sp>
                      <a:pic>
                        <a:nvPicPr>
                          <a:cNvPr id="2054" name="Picture 6"/>
                          <a:cNvPicPr>
                            <a:picLocks noChangeAspect="1" noChangeArrowheads="1"/>
                          </a:cNvPicPr>
                        </a:nvPicPr>
                        <a:blipFill>
                          <a:blip r:embed="rId100" cstate="print"/>
                          <a:srcRect/>
                          <a:stretch>
                            <a:fillRect/>
                          </a:stretch>
                        </a:blipFill>
                        <a:spPr bwMode="auto">
                          <a:xfrm rot="16200000">
                            <a:off x="3206171" y="2058525"/>
                            <a:ext cx="1872208" cy="2596933"/>
                          </a:xfrm>
                          <a:prstGeom prst="rect">
                            <a:avLst/>
                          </a:prstGeom>
                          <a:noFill/>
                          <a:ln w="9525">
                            <a:noFill/>
                            <a:miter lim="800000"/>
                            <a:headEnd/>
                            <a:tailEnd/>
                          </a:ln>
                          <a:effectLst/>
                        </a:spPr>
                      </a:pic>
                      <a:sp>
                        <a:nvSpPr>
                          <a:cNvPr id="14" name="TextBox 13"/>
                          <a:cNvSpPr txBox="1"/>
                        </a:nvSpPr>
                        <a:spPr>
                          <a:xfrm>
                            <a:off x="2915816" y="4293096"/>
                            <a:ext cx="244827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PEX7</a:t>
                              </a:r>
                              <a:endParaRPr lang="en-GB" dirty="0"/>
                            </a:p>
                          </a:txBody>
                          <a:useSpRect/>
                        </a:txSp>
                      </a:sp>
                      <a:pic>
                        <a:nvPicPr>
                          <a:cNvPr id="2055" name="Picture 7"/>
                          <a:cNvPicPr>
                            <a:picLocks noChangeAspect="1" noChangeArrowheads="1"/>
                          </a:cNvPicPr>
                        </a:nvPicPr>
                        <a:blipFill>
                          <a:blip r:embed="rId101" cstate="print"/>
                          <a:srcRect/>
                          <a:stretch>
                            <a:fillRect/>
                          </a:stretch>
                        </a:blipFill>
                        <a:spPr bwMode="auto">
                          <a:xfrm>
                            <a:off x="5580112" y="2420888"/>
                            <a:ext cx="2596935" cy="1872208"/>
                          </a:xfrm>
                          <a:prstGeom prst="rect">
                            <a:avLst/>
                          </a:prstGeom>
                          <a:noFill/>
                          <a:ln w="9525">
                            <a:noFill/>
                            <a:miter lim="800000"/>
                            <a:headEnd/>
                            <a:tailEnd/>
                          </a:ln>
                          <a:effectLst/>
                        </a:spPr>
                      </a:pic>
                      <a:sp>
                        <a:nvSpPr>
                          <a:cNvPr id="16" name="TextBox 15"/>
                          <a:cNvSpPr txBox="1"/>
                        </a:nvSpPr>
                        <a:spPr>
                          <a:xfrm>
                            <a:off x="5652120" y="4293096"/>
                            <a:ext cx="244827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PEX6</a:t>
                              </a:r>
                              <a:endParaRPr lang="en-GB" dirty="0"/>
                            </a:p>
                          </a:txBody>
                          <a:useSpRect/>
                        </a:txSp>
                      </a:sp>
                    </a:grpSp>
                    <a:cxnSp>
                      <a:nvCxnSpPr>
                        <a:cNvPr id="105" name="Straight Connector 104"/>
                        <a:cNvCxnSpPr/>
                      </a:nvCxnSpPr>
                      <a:spPr>
                        <a:xfrm>
                          <a:off x="5868144" y="184482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06" name="Straight Connector 105"/>
                        <a:cNvCxnSpPr/>
                      </a:nvCxnSpPr>
                      <a:spPr>
                        <a:xfrm>
                          <a:off x="3131840" y="184482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07" name="Straight Connector 106"/>
                        <a:cNvCxnSpPr/>
                      </a:nvCxnSpPr>
                      <a:spPr>
                        <a:xfrm>
                          <a:off x="395536" y="4149080"/>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08" name="Straight Connector 107"/>
                        <a:cNvCxnSpPr/>
                      </a:nvCxnSpPr>
                      <a:spPr>
                        <a:xfrm>
                          <a:off x="3131840" y="4149080"/>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09" name="Straight Connector 108"/>
                        <a:cNvCxnSpPr/>
                      </a:nvCxnSpPr>
                      <a:spPr>
                        <a:xfrm>
                          <a:off x="5868144" y="4149080"/>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roofErr w:type="gramStart"/>
      <w:r w:rsidRPr="001152A4">
        <w:rPr>
          <w:rFonts w:asciiTheme="majorHAnsi" w:hAnsiTheme="majorHAnsi"/>
          <w:b/>
        </w:rPr>
        <w:t>Figure 4</w:t>
      </w:r>
      <w:r w:rsidR="001152A4" w:rsidRPr="001152A4">
        <w:rPr>
          <w:rFonts w:asciiTheme="majorHAnsi" w:hAnsiTheme="majorHAnsi"/>
          <w:b/>
        </w:rPr>
        <w:t>.1</w:t>
      </w:r>
      <w:r w:rsidR="004D7C08">
        <w:rPr>
          <w:rFonts w:asciiTheme="majorHAnsi" w:hAnsiTheme="majorHAnsi"/>
          <w:b/>
        </w:rPr>
        <w:t>1</w:t>
      </w:r>
      <w:r w:rsidRPr="001152A4">
        <w:rPr>
          <w:rFonts w:asciiTheme="majorHAnsi" w:hAnsiTheme="majorHAnsi"/>
          <w:b/>
        </w:rPr>
        <w:t>.</w:t>
      </w:r>
      <w:proofErr w:type="gramEnd"/>
      <w:r w:rsidRPr="001152A4">
        <w:rPr>
          <w:rFonts w:asciiTheme="majorHAnsi" w:hAnsiTheme="majorHAnsi"/>
          <w:b/>
        </w:rPr>
        <w:t xml:space="preserve"> </w:t>
      </w:r>
      <w:r w:rsidR="001152A4" w:rsidRPr="001152A4">
        <w:rPr>
          <w:rFonts w:asciiTheme="majorHAnsi" w:hAnsiTheme="majorHAnsi"/>
          <w:b/>
        </w:rPr>
        <w:t xml:space="preserve">Images of non-statistically significant </w:t>
      </w:r>
      <w:r w:rsidR="000C26B2" w:rsidRPr="000C26B2">
        <w:rPr>
          <w:rFonts w:asciiTheme="majorHAnsi" w:hAnsiTheme="majorHAnsi"/>
          <w:b/>
          <w:i/>
        </w:rPr>
        <w:t>PEX</w:t>
      </w:r>
      <w:r w:rsidR="001152A4" w:rsidRPr="001152A4">
        <w:rPr>
          <w:rFonts w:asciiTheme="majorHAnsi" w:hAnsiTheme="majorHAnsi"/>
          <w:b/>
        </w:rPr>
        <w:t xml:space="preserve"> KDs.</w:t>
      </w:r>
      <w:r w:rsidR="001152A4">
        <w:rPr>
          <w:rFonts w:asciiTheme="majorHAnsi" w:hAnsiTheme="majorHAnsi"/>
        </w:rPr>
        <w:t xml:space="preserve"> </w:t>
      </w:r>
      <w:r w:rsidRPr="0013327C">
        <w:rPr>
          <w:rFonts w:asciiTheme="majorHAnsi" w:hAnsiTheme="majorHAnsi"/>
        </w:rPr>
        <w:t>Cropped 40X magnification images of S2R+ cells stably transfected with pMt-eGFP-PTS1. Each KD was incubated for 5 days before a 24hr induction with CuSO</w:t>
      </w:r>
      <w:r w:rsidRPr="0013327C">
        <w:rPr>
          <w:rFonts w:asciiTheme="majorHAnsi" w:hAnsiTheme="majorHAnsi"/>
          <w:vertAlign w:val="subscript"/>
        </w:rPr>
        <w:t>4</w:t>
      </w:r>
      <w:r w:rsidRPr="0013327C">
        <w:rPr>
          <w:rFonts w:asciiTheme="majorHAnsi" w:hAnsiTheme="majorHAnsi"/>
        </w:rPr>
        <w:t xml:space="preserve"> at 50µM. Images represent the most commonly presented phenotype across all 9 sites. Bar = 20 µm.</w:t>
      </w:r>
    </w:p>
    <w:p w:rsidR="00C3380A" w:rsidRPr="0013327C" w:rsidRDefault="00C3380A" w:rsidP="00AE0264">
      <w:pPr>
        <w:jc w:val="both"/>
        <w:rPr>
          <w:rFonts w:asciiTheme="majorHAnsi" w:hAnsiTheme="majorHAnsi"/>
        </w:rPr>
      </w:pPr>
      <w:r w:rsidRPr="0013327C">
        <w:rPr>
          <w:rFonts w:asciiTheme="majorHAnsi" w:hAnsiTheme="majorHAnsi"/>
        </w:rPr>
        <w:t xml:space="preserve"> </w:t>
      </w:r>
    </w:p>
    <w:p w:rsidR="00C3380A" w:rsidRPr="0013327C" w:rsidRDefault="00C3380A" w:rsidP="00AE0264">
      <w:pPr>
        <w:pStyle w:val="Heading2"/>
        <w:jc w:val="both"/>
      </w:pPr>
      <w:bookmarkStart w:id="119" w:name="_Toc348423371"/>
      <w:r w:rsidRPr="0013327C">
        <w:lastRenderedPageBreak/>
        <w:t xml:space="preserve">Some genes produced statistically significant data that may have </w:t>
      </w:r>
      <w:r w:rsidR="00D93535" w:rsidRPr="00D93535">
        <w:rPr>
          <w:i/>
        </w:rPr>
        <w:t>PEX</w:t>
      </w:r>
      <w:r w:rsidRPr="0013327C">
        <w:t>-like phenotypes.</w:t>
      </w:r>
      <w:bookmarkEnd w:id="119"/>
    </w:p>
    <w:p w:rsidR="00C3380A" w:rsidRPr="0013327C" w:rsidRDefault="00C3380A" w:rsidP="00AE0264">
      <w:pPr>
        <w:jc w:val="both"/>
        <w:rPr>
          <w:rFonts w:asciiTheme="majorHAnsi" w:hAnsiTheme="majorHAnsi"/>
        </w:rPr>
      </w:pPr>
      <w:r w:rsidRPr="0013327C">
        <w:rPr>
          <w:rFonts w:asciiTheme="majorHAnsi" w:hAnsiTheme="majorHAnsi"/>
        </w:rPr>
        <w:t>In order to evaluate which gene KDs had produced phenotypes worth investigating normalised data were converted to z-scores and ordered on a spreadsheet. Those KDs whose z-scores were less than -</w:t>
      </w:r>
      <w:proofErr w:type="gramStart"/>
      <w:r w:rsidRPr="0013327C">
        <w:rPr>
          <w:rFonts w:asciiTheme="majorHAnsi" w:hAnsiTheme="majorHAnsi"/>
        </w:rPr>
        <w:t>1.0  (</w:t>
      </w:r>
      <w:proofErr w:type="gramEnd"/>
      <w:r w:rsidRPr="0013327C">
        <w:rPr>
          <w:rFonts w:asciiTheme="majorHAnsi" w:hAnsiTheme="majorHAnsi"/>
        </w:rPr>
        <w:t xml:space="preserve">3,367) or greater than 2.0 (351) were screened visually, a total of 3,718 (20.3% of the “samples” – neither controls nor DIAP). These limits were decided due to presence of functional KDs of </w:t>
      </w:r>
      <w:r w:rsidR="000C26B2" w:rsidRPr="000C26B2">
        <w:rPr>
          <w:rFonts w:asciiTheme="majorHAnsi" w:hAnsiTheme="majorHAnsi"/>
          <w:i/>
        </w:rPr>
        <w:t>PEX</w:t>
      </w:r>
      <w:r w:rsidRPr="0013327C">
        <w:rPr>
          <w:rFonts w:asciiTheme="majorHAnsi" w:hAnsiTheme="majorHAnsi"/>
        </w:rPr>
        <w:t xml:space="preserve"> genes within these bounds in the previous screen. </w:t>
      </w:r>
      <w:proofErr w:type="gramStart"/>
      <w:r w:rsidRPr="0013327C">
        <w:rPr>
          <w:rFonts w:asciiTheme="majorHAnsi" w:hAnsiTheme="majorHAnsi"/>
        </w:rPr>
        <w:t xml:space="preserve">As </w:t>
      </w:r>
      <w:r w:rsidR="000C26B2" w:rsidRPr="000C26B2">
        <w:rPr>
          <w:rFonts w:asciiTheme="majorHAnsi" w:hAnsiTheme="majorHAnsi"/>
          <w:i/>
        </w:rPr>
        <w:t>PEX</w:t>
      </w:r>
      <w:r w:rsidRPr="0013327C">
        <w:rPr>
          <w:rFonts w:asciiTheme="majorHAnsi" w:hAnsiTheme="majorHAnsi"/>
        </w:rPr>
        <w:t>19 also scored a z-score of greater than -2.0 (magnitude less than 2) and that it appeared to be functional, it was felt that the decision to visually screen with these limits was justified.</w:t>
      </w:r>
      <w:proofErr w:type="gramEnd"/>
      <w:r w:rsidRPr="0013327C">
        <w:rPr>
          <w:rFonts w:asciiTheme="majorHAnsi" w:hAnsiTheme="majorHAnsi"/>
        </w:rPr>
        <w:t xml:space="preserve"> The following table lists those gene KDs within these limits that appear to visually have had an effect on the assay, either in a </w:t>
      </w:r>
      <w:r w:rsidR="000C26B2" w:rsidRPr="000C26B2">
        <w:rPr>
          <w:rFonts w:asciiTheme="majorHAnsi" w:hAnsiTheme="majorHAnsi"/>
          <w:i/>
        </w:rPr>
        <w:t>PEX</w:t>
      </w:r>
      <w:r w:rsidRPr="0013327C">
        <w:rPr>
          <w:rFonts w:asciiTheme="majorHAnsi" w:hAnsiTheme="majorHAnsi"/>
        </w:rPr>
        <w:t>-like manner, with similarity to non-</w:t>
      </w:r>
      <w:r w:rsidR="000C26B2" w:rsidRPr="000C26B2">
        <w:rPr>
          <w:rFonts w:asciiTheme="majorHAnsi" w:hAnsiTheme="majorHAnsi"/>
          <w:i/>
        </w:rPr>
        <w:t>PEX</w:t>
      </w:r>
      <w:r w:rsidRPr="0013327C">
        <w:rPr>
          <w:rFonts w:asciiTheme="majorHAnsi" w:hAnsiTheme="majorHAnsi"/>
        </w:rPr>
        <w:t xml:space="preserve"> KDs or otherwise affecting peroxisome presentation or cytosolic mislocalisation of peroxisomal reporter. Also included in this list are KDs that were visually screened in error which were considered possible hits despite having z-scores that fell outside of the visual screening inclusion criteria.</w:t>
      </w:r>
    </w:p>
    <w:p w:rsidR="00C3380A" w:rsidRPr="0013327C" w:rsidRDefault="00C3380A" w:rsidP="00764800">
      <w:pPr>
        <w:jc w:val="center"/>
        <w:rPr>
          <w:rFonts w:asciiTheme="majorHAnsi" w:hAnsiTheme="majorHAnsi"/>
        </w:rPr>
      </w:pPr>
      <w:r w:rsidRPr="0013327C">
        <w:rPr>
          <w:rFonts w:asciiTheme="majorHAnsi" w:hAnsiTheme="majorHAnsi"/>
          <w:noProof/>
          <w:lang w:eastAsia="en-GB"/>
        </w:rPr>
        <w:lastRenderedPageBreak/>
        <w:drawing>
          <wp:inline distT="0" distB="0" distL="0" distR="0">
            <wp:extent cx="4278702" cy="7171704"/>
            <wp:effectExtent l="0" t="0" r="0" b="0"/>
            <wp:docPr id="1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srcRect/>
                    <a:stretch>
                      <a:fillRect/>
                    </a:stretch>
                  </pic:blipFill>
                  <pic:spPr bwMode="auto">
                    <a:xfrm>
                      <a:off x="0" y="0"/>
                      <a:ext cx="4284070" cy="7180702"/>
                    </a:xfrm>
                    <a:prstGeom prst="rect">
                      <a:avLst/>
                    </a:prstGeom>
                    <a:noFill/>
                  </pic:spPr>
                </pic:pic>
              </a:graphicData>
            </a:graphic>
          </wp:inline>
        </w:drawing>
      </w:r>
    </w:p>
    <w:p w:rsidR="00C3380A" w:rsidRPr="0013327C" w:rsidRDefault="00BC3B3C" w:rsidP="00AE0264">
      <w:pPr>
        <w:jc w:val="both"/>
        <w:rPr>
          <w:rFonts w:asciiTheme="majorHAnsi" w:hAnsiTheme="majorHAnsi"/>
        </w:rPr>
      </w:pPr>
      <w:proofErr w:type="gramStart"/>
      <w:r>
        <w:rPr>
          <w:rFonts w:asciiTheme="majorHAnsi" w:hAnsiTheme="majorHAnsi"/>
          <w:b/>
        </w:rPr>
        <w:t>Table 4.5</w:t>
      </w:r>
      <w:r w:rsidR="00764800">
        <w:rPr>
          <w:rFonts w:asciiTheme="majorHAnsi" w:hAnsiTheme="majorHAnsi"/>
          <w:b/>
        </w:rPr>
        <w:t>.</w:t>
      </w:r>
      <w:proofErr w:type="gramEnd"/>
      <w:r w:rsidR="00C3380A" w:rsidRPr="0013327C">
        <w:rPr>
          <w:rFonts w:asciiTheme="majorHAnsi" w:hAnsiTheme="majorHAnsi"/>
        </w:rPr>
        <w:t xml:space="preserve"> </w:t>
      </w:r>
      <w:proofErr w:type="gramStart"/>
      <w:r w:rsidR="00C3380A" w:rsidRPr="00764800">
        <w:rPr>
          <w:rFonts w:asciiTheme="majorHAnsi" w:hAnsiTheme="majorHAnsi"/>
          <w:b/>
        </w:rPr>
        <w:t>A table showing the candidate genes after statistical analysis and visual screening.</w:t>
      </w:r>
      <w:proofErr w:type="gramEnd"/>
      <w:r w:rsidR="00C3380A" w:rsidRPr="0013327C">
        <w:rPr>
          <w:rFonts w:asciiTheme="majorHAnsi" w:hAnsiTheme="majorHAnsi"/>
        </w:rPr>
        <w:t xml:space="preserve"> Data from Screen 1 and 2 were normalised and an average taken between the two of them. Genes with average z-scores above 2.0 (349) and below -1.0 (3366) were visually checked for </w:t>
      </w:r>
      <w:r w:rsidR="000C26B2" w:rsidRPr="000C26B2">
        <w:rPr>
          <w:rFonts w:asciiTheme="majorHAnsi" w:hAnsiTheme="majorHAnsi"/>
          <w:i/>
        </w:rPr>
        <w:t>PEX</w:t>
      </w:r>
      <w:r w:rsidR="00C3380A" w:rsidRPr="0013327C">
        <w:rPr>
          <w:rFonts w:asciiTheme="majorHAnsi" w:hAnsiTheme="majorHAnsi"/>
        </w:rPr>
        <w:t xml:space="preserve"> phenotypes or phenotypes with a ubiquitous or thorough deviation from WT. </w:t>
      </w:r>
    </w:p>
    <w:p w:rsidR="00C3380A" w:rsidRPr="0013327C" w:rsidRDefault="00B10B3E" w:rsidP="00764800">
      <w:pPr>
        <w:jc w:val="center"/>
        <w:rPr>
          <w:rFonts w:asciiTheme="majorHAnsi" w:hAnsiTheme="majorHAnsi"/>
        </w:rPr>
      </w:pPr>
      <w:r w:rsidRPr="00B10B3E">
        <w:rPr>
          <w:rFonts w:asciiTheme="majorHAnsi" w:hAnsiTheme="majorHAnsi"/>
          <w:noProof/>
          <w:lang w:eastAsia="en-GB"/>
        </w:rPr>
        <w:lastRenderedPageBreak/>
        <w:drawing>
          <wp:inline distT="0" distB="0" distL="0" distR="0">
            <wp:extent cx="4634061" cy="3744416"/>
            <wp:effectExtent l="0" t="0" r="0" b="0"/>
            <wp:docPr id="32" name="Picture 16"/>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3" cstate="print"/>
                    <a:srcRect b="30646"/>
                    <a:stretch>
                      <a:fillRect/>
                    </a:stretch>
                  </pic:blipFill>
                  <pic:spPr bwMode="auto">
                    <a:xfrm>
                      <a:off x="0" y="0"/>
                      <a:ext cx="4634061" cy="3744416"/>
                    </a:xfrm>
                    <a:prstGeom prst="rect">
                      <a:avLst/>
                    </a:prstGeom>
                    <a:noFill/>
                  </pic:spPr>
                </pic:pic>
              </a:graphicData>
            </a:graphic>
          </wp:inline>
        </w:drawing>
      </w:r>
    </w:p>
    <w:p w:rsidR="00C3380A" w:rsidRPr="0013327C" w:rsidRDefault="00C3380A" w:rsidP="00AE0264">
      <w:pPr>
        <w:jc w:val="both"/>
        <w:rPr>
          <w:rFonts w:asciiTheme="majorHAnsi" w:hAnsiTheme="majorHAnsi"/>
        </w:rPr>
      </w:pPr>
      <w:proofErr w:type="gramStart"/>
      <w:r w:rsidRPr="0013327C">
        <w:rPr>
          <w:rFonts w:asciiTheme="majorHAnsi" w:hAnsiTheme="majorHAnsi"/>
          <w:b/>
        </w:rPr>
        <w:t xml:space="preserve">Figure </w:t>
      </w:r>
      <w:r w:rsidR="00764800">
        <w:rPr>
          <w:rFonts w:asciiTheme="majorHAnsi" w:hAnsiTheme="majorHAnsi"/>
          <w:b/>
        </w:rPr>
        <w:t>4.1</w:t>
      </w:r>
      <w:r w:rsidR="004D7C08">
        <w:rPr>
          <w:rFonts w:asciiTheme="majorHAnsi" w:hAnsiTheme="majorHAnsi"/>
          <w:b/>
        </w:rPr>
        <w:t>2</w:t>
      </w:r>
      <w:r w:rsidRPr="0013327C">
        <w:rPr>
          <w:rFonts w:asciiTheme="majorHAnsi" w:hAnsiTheme="majorHAnsi"/>
          <w:b/>
        </w:rPr>
        <w:t>.</w:t>
      </w:r>
      <w:proofErr w:type="gramEnd"/>
      <w:r w:rsidRPr="0013327C">
        <w:rPr>
          <w:rFonts w:asciiTheme="majorHAnsi" w:hAnsiTheme="majorHAnsi"/>
          <w:b/>
        </w:rPr>
        <w:t xml:space="preserve"> </w:t>
      </w:r>
      <w:r w:rsidR="00B10B3E">
        <w:rPr>
          <w:rFonts w:asciiTheme="majorHAnsi" w:hAnsiTheme="majorHAnsi"/>
          <w:b/>
        </w:rPr>
        <w:t xml:space="preserve">Group </w:t>
      </w:r>
      <w:proofErr w:type="gramStart"/>
      <w:r w:rsidR="00B10B3E">
        <w:rPr>
          <w:rFonts w:asciiTheme="majorHAnsi" w:hAnsiTheme="majorHAnsi"/>
          <w:b/>
        </w:rPr>
        <w:t>A</w:t>
      </w:r>
      <w:proofErr w:type="gramEnd"/>
      <w:r w:rsidR="00B10B3E">
        <w:rPr>
          <w:rFonts w:asciiTheme="majorHAnsi" w:hAnsiTheme="majorHAnsi"/>
          <w:b/>
        </w:rPr>
        <w:t xml:space="preserve"> – Class II/</w:t>
      </w:r>
      <w:r w:rsidR="00D93535" w:rsidRPr="00D93535">
        <w:rPr>
          <w:rFonts w:asciiTheme="majorHAnsi" w:hAnsiTheme="majorHAnsi"/>
          <w:b/>
          <w:i/>
        </w:rPr>
        <w:t>PEX</w:t>
      </w:r>
      <w:r w:rsidR="00B10B3E">
        <w:rPr>
          <w:rFonts w:asciiTheme="majorHAnsi" w:hAnsiTheme="majorHAnsi"/>
          <w:b/>
        </w:rPr>
        <w:t>16-like phenotype, vastly reduced number of peroxisomes per cell</w:t>
      </w:r>
      <w:r w:rsidR="00D506CC">
        <w:rPr>
          <w:rFonts w:asciiTheme="majorHAnsi" w:hAnsiTheme="majorHAnsi"/>
          <w:b/>
        </w:rPr>
        <w:t xml:space="preserve">. </w:t>
      </w:r>
      <w:r w:rsidRPr="0013327C">
        <w:rPr>
          <w:rFonts w:asciiTheme="majorHAnsi" w:hAnsiTheme="majorHAnsi"/>
        </w:rPr>
        <w:t>S2R+ cells stably transfected with pMt-eGFP-PTS1 grown for 5 days before a 24hr induction with 50µM CuSO</w:t>
      </w:r>
      <w:r w:rsidRPr="0013327C">
        <w:rPr>
          <w:rFonts w:asciiTheme="majorHAnsi" w:hAnsiTheme="majorHAnsi"/>
          <w:vertAlign w:val="subscript"/>
        </w:rPr>
        <w:t>4</w:t>
      </w:r>
      <w:r w:rsidRPr="0013327C">
        <w:rPr>
          <w:rFonts w:asciiTheme="majorHAnsi" w:hAnsiTheme="majorHAnsi"/>
        </w:rPr>
        <w:t xml:space="preserve">. This KD was with a long dsRNA specific to nmd (CG5395). The normalised z-score of -8.49, together with visual verification of low peroxisome per cell count and cytosolic mislocalisation of peroxisome marker indicates that nmd may function like a Class II peroxin. </w:t>
      </w:r>
      <w:r w:rsidR="000C26B2" w:rsidRPr="000C26B2">
        <w:rPr>
          <w:rFonts w:asciiTheme="majorHAnsi" w:hAnsiTheme="majorHAnsi"/>
          <w:i/>
        </w:rPr>
        <w:t>PEX</w:t>
      </w:r>
      <w:r w:rsidRPr="0013327C">
        <w:rPr>
          <w:rFonts w:asciiTheme="majorHAnsi" w:hAnsiTheme="majorHAnsi"/>
        </w:rPr>
        <w:t>16 would be the most similar to nmd in z-score and presentation. Bar = 20µm.</w:t>
      </w:r>
    </w:p>
    <w:p w:rsidR="00C3380A" w:rsidRPr="0013327C" w:rsidRDefault="00021922" w:rsidP="00764800">
      <w:pPr>
        <w:jc w:val="center"/>
        <w:rPr>
          <w:rFonts w:asciiTheme="majorHAnsi" w:hAnsiTheme="majorHAnsi"/>
        </w:rPr>
      </w:pPr>
      <w:r>
        <w:rPr>
          <w:rFonts w:asciiTheme="majorHAnsi" w:hAnsiTheme="majorHAnsi"/>
          <w:noProof/>
          <w:lang w:eastAsia="en-GB"/>
        </w:rPr>
        <w:lastRenderedPageBreak/>
        <w:drawing>
          <wp:inline distT="0" distB="0" distL="0" distR="0">
            <wp:extent cx="5120904" cy="6190736"/>
            <wp:effectExtent l="19050" t="0" r="3546" b="0"/>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srcRect/>
                    <a:stretch>
                      <a:fillRect/>
                    </a:stretch>
                  </pic:blipFill>
                  <pic:spPr bwMode="auto">
                    <a:xfrm>
                      <a:off x="0" y="0"/>
                      <a:ext cx="5127111" cy="6198239"/>
                    </a:xfrm>
                    <a:prstGeom prst="rect">
                      <a:avLst/>
                    </a:prstGeom>
                    <a:noFill/>
                  </pic:spPr>
                </pic:pic>
              </a:graphicData>
            </a:graphic>
          </wp:inline>
        </w:drawing>
      </w:r>
    </w:p>
    <w:p w:rsidR="00C3380A" w:rsidRDefault="00C3380A" w:rsidP="00AE0264">
      <w:pPr>
        <w:jc w:val="both"/>
        <w:rPr>
          <w:rFonts w:asciiTheme="majorHAnsi" w:hAnsiTheme="majorHAnsi"/>
        </w:rPr>
      </w:pPr>
      <w:proofErr w:type="gramStart"/>
      <w:r w:rsidRPr="0013327C">
        <w:rPr>
          <w:rFonts w:asciiTheme="majorHAnsi" w:hAnsiTheme="majorHAnsi"/>
          <w:b/>
        </w:rPr>
        <w:t>Figure 4.</w:t>
      </w:r>
      <w:r w:rsidR="00ED0144">
        <w:rPr>
          <w:rFonts w:asciiTheme="majorHAnsi" w:hAnsiTheme="majorHAnsi"/>
          <w:b/>
        </w:rPr>
        <w:t>1</w:t>
      </w:r>
      <w:r w:rsidR="004D7C08">
        <w:rPr>
          <w:rFonts w:asciiTheme="majorHAnsi" w:hAnsiTheme="majorHAnsi"/>
          <w:b/>
        </w:rPr>
        <w:t>3</w:t>
      </w:r>
      <w:r w:rsidRPr="0013327C">
        <w:rPr>
          <w:rFonts w:asciiTheme="majorHAnsi" w:hAnsiTheme="majorHAnsi"/>
          <w:b/>
        </w:rPr>
        <w:t>.</w:t>
      </w:r>
      <w:proofErr w:type="gramEnd"/>
      <w:r w:rsidR="00764800">
        <w:rPr>
          <w:rFonts w:asciiTheme="majorHAnsi" w:hAnsiTheme="majorHAnsi"/>
          <w:b/>
        </w:rPr>
        <w:t xml:space="preserve"> </w:t>
      </w:r>
      <w:proofErr w:type="gramStart"/>
      <w:r w:rsidR="00C01ECE">
        <w:rPr>
          <w:rFonts w:asciiTheme="majorHAnsi" w:hAnsiTheme="majorHAnsi"/>
          <w:b/>
        </w:rPr>
        <w:t xml:space="preserve">Group B </w:t>
      </w:r>
      <w:r w:rsidR="00492C77">
        <w:rPr>
          <w:rFonts w:asciiTheme="majorHAnsi" w:hAnsiTheme="majorHAnsi"/>
          <w:b/>
        </w:rPr>
        <w:t>– Class II/</w:t>
      </w:r>
      <w:r w:rsidR="00D93535" w:rsidRPr="00D93535">
        <w:rPr>
          <w:rFonts w:asciiTheme="majorHAnsi" w:hAnsiTheme="majorHAnsi"/>
          <w:b/>
          <w:i/>
        </w:rPr>
        <w:t>PEX</w:t>
      </w:r>
      <w:r w:rsidR="00492C77">
        <w:rPr>
          <w:rFonts w:asciiTheme="majorHAnsi" w:hAnsiTheme="majorHAnsi"/>
          <w:b/>
        </w:rPr>
        <w:t>3/</w:t>
      </w:r>
      <w:r w:rsidR="00D93535" w:rsidRPr="00D93535">
        <w:rPr>
          <w:rFonts w:asciiTheme="majorHAnsi" w:hAnsiTheme="majorHAnsi"/>
          <w:b/>
          <w:i/>
        </w:rPr>
        <w:t>PEX</w:t>
      </w:r>
      <w:r w:rsidR="00492C77">
        <w:rPr>
          <w:rFonts w:asciiTheme="majorHAnsi" w:hAnsiTheme="majorHAnsi"/>
          <w:b/>
        </w:rPr>
        <w:t>19-like phenotype, moderate reduction in peroxisome number per cell and cytosolic eGFP-PTS1</w:t>
      </w:r>
      <w:r w:rsidR="00764800">
        <w:rPr>
          <w:rFonts w:asciiTheme="majorHAnsi" w:hAnsiTheme="majorHAnsi"/>
          <w:b/>
        </w:rPr>
        <w:t>.</w:t>
      </w:r>
      <w:proofErr w:type="gramEnd"/>
      <w:r w:rsidRPr="0013327C">
        <w:rPr>
          <w:rFonts w:asciiTheme="majorHAnsi" w:hAnsiTheme="majorHAnsi"/>
          <w:b/>
        </w:rPr>
        <w:t xml:space="preserve"> </w:t>
      </w:r>
      <w:r w:rsidRPr="0013327C">
        <w:rPr>
          <w:rFonts w:asciiTheme="majorHAnsi" w:hAnsiTheme="majorHAnsi"/>
        </w:rPr>
        <w:t>KDs of S2R+ cells stably transfected with pMt-eGFP-PTS1 grown for 5 days before a 24hr induction with 50µM CuSO</w:t>
      </w:r>
      <w:r w:rsidRPr="0013327C">
        <w:rPr>
          <w:rFonts w:asciiTheme="majorHAnsi" w:hAnsiTheme="majorHAnsi"/>
          <w:vertAlign w:val="subscript"/>
        </w:rPr>
        <w:t>4</w:t>
      </w:r>
      <w:r w:rsidRPr="0013327C">
        <w:rPr>
          <w:rFonts w:asciiTheme="majorHAnsi" w:hAnsiTheme="majorHAnsi"/>
        </w:rPr>
        <w:t>. These “Group B” KDs produced</w:t>
      </w:r>
      <w:r w:rsidR="00492C77">
        <w:rPr>
          <w:rFonts w:asciiTheme="majorHAnsi" w:hAnsiTheme="majorHAnsi"/>
        </w:rPr>
        <w:t xml:space="preserve"> </w:t>
      </w:r>
      <w:r w:rsidR="00A52176">
        <w:rPr>
          <w:rFonts w:asciiTheme="majorHAnsi" w:hAnsiTheme="majorHAnsi"/>
        </w:rPr>
        <w:t>similar phenotypes with a range of z-scores</w:t>
      </w:r>
      <w:r w:rsidRPr="0013327C">
        <w:rPr>
          <w:rFonts w:asciiTheme="majorHAnsi" w:hAnsiTheme="majorHAnsi"/>
        </w:rPr>
        <w:t xml:space="preserve"> from -</w:t>
      </w:r>
      <w:proofErr w:type="gramStart"/>
      <w:r w:rsidRPr="0013327C">
        <w:rPr>
          <w:rFonts w:asciiTheme="majorHAnsi" w:hAnsiTheme="majorHAnsi"/>
        </w:rPr>
        <w:t>2.36  to</w:t>
      </w:r>
      <w:proofErr w:type="gramEnd"/>
      <w:r w:rsidRPr="0013327C">
        <w:rPr>
          <w:rFonts w:asciiTheme="majorHAnsi" w:hAnsiTheme="majorHAnsi"/>
        </w:rPr>
        <w:t xml:space="preserve"> 1.51. They all produced images where the majority of cells expressed phenotypes of eGFP-PTS1 that resemble those of the Class II peroxins </w:t>
      </w:r>
      <w:r w:rsidR="000C26B2" w:rsidRPr="000C26B2">
        <w:rPr>
          <w:rFonts w:asciiTheme="majorHAnsi" w:hAnsiTheme="majorHAnsi"/>
          <w:i/>
        </w:rPr>
        <w:t>PEX</w:t>
      </w:r>
      <w:r w:rsidRPr="0013327C">
        <w:rPr>
          <w:rFonts w:asciiTheme="majorHAnsi" w:hAnsiTheme="majorHAnsi"/>
        </w:rPr>
        <w:t xml:space="preserve">3 or </w:t>
      </w:r>
      <w:r w:rsidR="000C26B2" w:rsidRPr="000C26B2">
        <w:rPr>
          <w:rFonts w:asciiTheme="majorHAnsi" w:hAnsiTheme="majorHAnsi"/>
          <w:i/>
        </w:rPr>
        <w:t>PEX</w:t>
      </w:r>
      <w:r w:rsidRPr="0013327C">
        <w:rPr>
          <w:rFonts w:asciiTheme="majorHAnsi" w:hAnsiTheme="majorHAnsi"/>
        </w:rPr>
        <w:t>19</w:t>
      </w:r>
      <w:r w:rsidR="00A52176">
        <w:rPr>
          <w:rFonts w:asciiTheme="majorHAnsi" w:hAnsiTheme="majorHAnsi"/>
        </w:rPr>
        <w:t>.</w:t>
      </w:r>
      <w:r w:rsidRPr="0013327C">
        <w:rPr>
          <w:rFonts w:asciiTheme="majorHAnsi" w:hAnsiTheme="majorHAnsi"/>
        </w:rPr>
        <w:t xml:space="preserve"> </w:t>
      </w:r>
      <w:r w:rsidR="00A52176">
        <w:rPr>
          <w:rFonts w:asciiTheme="majorHAnsi" w:hAnsiTheme="majorHAnsi"/>
        </w:rPr>
        <w:t>A</w:t>
      </w:r>
      <w:r w:rsidRPr="0013327C">
        <w:rPr>
          <w:rFonts w:asciiTheme="majorHAnsi" w:hAnsiTheme="majorHAnsi"/>
        </w:rPr>
        <w:t xml:space="preserve"> fall in peroxisome number per cell is observed alongside cytosolic mislocalisation of the reporter. The higher z-scores in the cases of CG34433 and α/β Hydrolase 2 are due to an equal presence of cells of this phenotype and WT cells with above average peroxisome per cell numbers. Bar = 20µm.</w:t>
      </w:r>
    </w:p>
    <w:p w:rsidR="00A52176" w:rsidRDefault="00A52176" w:rsidP="00AE0264">
      <w:pPr>
        <w:jc w:val="both"/>
        <w:rPr>
          <w:rFonts w:asciiTheme="majorHAnsi" w:hAnsiTheme="majorHAnsi"/>
        </w:rPr>
      </w:pPr>
    </w:p>
    <w:p w:rsidR="00A52176" w:rsidRPr="0013327C" w:rsidRDefault="00A52176" w:rsidP="00AE0264">
      <w:pPr>
        <w:jc w:val="both"/>
        <w:rPr>
          <w:rFonts w:asciiTheme="majorHAnsi" w:hAnsiTheme="majorHAnsi"/>
        </w:rPr>
      </w:pPr>
    </w:p>
    <w:p w:rsidR="00C3380A" w:rsidRPr="0013327C" w:rsidRDefault="00A52176" w:rsidP="00AE0264">
      <w:pPr>
        <w:jc w:val="both"/>
        <w:rPr>
          <w:rFonts w:asciiTheme="majorHAnsi" w:hAnsiTheme="majorHAnsi"/>
          <w:b/>
        </w:rPr>
      </w:pPr>
      <w:r w:rsidRPr="00A52176">
        <w:rPr>
          <w:rFonts w:asciiTheme="majorHAnsi" w:hAnsiTheme="majorHAnsi"/>
          <w:b/>
          <w:noProof/>
          <w:lang w:eastAsia="en-GB"/>
        </w:rPr>
        <w:drawing>
          <wp:inline distT="0" distB="0" distL="0" distR="0">
            <wp:extent cx="5169535" cy="2115343"/>
            <wp:effectExtent l="0" t="0" r="0" b="0"/>
            <wp:docPr id="33" name="Object 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01963" cy="2169532"/>
                      <a:chOff x="1921019" y="2164214"/>
                      <a:chExt cx="5301963" cy="2169532"/>
                    </a:xfrm>
                  </a:grpSpPr>
                  <a:grpSp>
                    <a:nvGrpSpPr>
                      <a:cNvPr id="20" name="Group 19"/>
                      <a:cNvGrpSpPr/>
                    </a:nvGrpSpPr>
                    <a:grpSpPr>
                      <a:xfrm>
                        <a:off x="1921019" y="2164214"/>
                        <a:ext cx="5301963" cy="2169532"/>
                        <a:chOff x="1921019" y="2164214"/>
                        <a:chExt cx="5301963" cy="2169532"/>
                      </a:xfrm>
                    </a:grpSpPr>
                    <a:pic>
                      <a:nvPicPr>
                        <a:cNvPr id="13" name="Picture 12"/>
                        <a:cNvPicPr>
                          <a:picLocks noChangeAspect="1" noChangeArrowheads="1"/>
                        </a:cNvPicPr>
                      </a:nvPicPr>
                      <a:blipFill>
                        <a:blip r:embed="rId105" cstate="print"/>
                        <a:srcRect/>
                        <a:stretch>
                          <a:fillRect/>
                        </a:stretch>
                      </a:blipFill>
                      <a:spPr bwMode="auto">
                        <a:xfrm>
                          <a:off x="4625463" y="2164214"/>
                          <a:ext cx="2597519" cy="1872630"/>
                        </a:xfrm>
                        <a:prstGeom prst="rect">
                          <a:avLst/>
                        </a:prstGeom>
                        <a:noFill/>
                        <a:ln w="9525">
                          <a:noFill/>
                          <a:miter lim="800000"/>
                          <a:headEnd/>
                          <a:tailEnd/>
                        </a:ln>
                        <a:effectLst/>
                      </a:spPr>
                    </a:pic>
                    <a:sp>
                      <a:nvSpPr>
                        <a:cNvPr id="14" name="TextBox 24"/>
                        <a:cNvSpPr txBox="1"/>
                      </a:nvSpPr>
                      <a:spPr>
                        <a:xfrm>
                          <a:off x="4625464" y="3964414"/>
                          <a:ext cx="259228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CG 5001</a:t>
                            </a:r>
                            <a:endParaRPr lang="en-GB" dirty="0"/>
                          </a:p>
                        </a:txBody>
                        <a:useSpRect/>
                      </a:txSp>
                    </a:sp>
                    <a:cxnSp>
                      <a:nvCxnSpPr>
                        <a:cNvPr id="15" name="Straight Connector 14"/>
                        <a:cNvCxnSpPr/>
                      </a:nvCxnSpPr>
                      <a:spPr>
                        <a:xfrm>
                          <a:off x="4763861" y="3892406"/>
                          <a:ext cx="941723"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pic>
                      <a:nvPicPr>
                        <a:cNvPr id="16" name="Picture 15"/>
                        <a:cNvPicPr>
                          <a:picLocks noChangeAspect="1" noChangeArrowheads="1"/>
                        </a:cNvPicPr>
                      </a:nvPicPr>
                      <a:blipFill>
                        <a:blip r:embed="rId106" cstate="print"/>
                        <a:srcRect/>
                        <a:stretch>
                          <a:fillRect/>
                        </a:stretch>
                      </a:blipFill>
                      <a:spPr bwMode="auto">
                        <a:xfrm rot="5400000">
                          <a:off x="2318879" y="1801850"/>
                          <a:ext cx="1872212" cy="2596940"/>
                        </a:xfrm>
                        <a:prstGeom prst="rect">
                          <a:avLst/>
                        </a:prstGeom>
                        <a:noFill/>
                        <a:ln w="9525">
                          <a:noFill/>
                          <a:miter lim="800000"/>
                          <a:headEnd/>
                          <a:tailEnd/>
                        </a:ln>
                        <a:effectLst/>
                      </a:spPr>
                    </a:pic>
                    <a:cxnSp>
                      <a:nvCxnSpPr>
                        <a:cNvPr id="17" name="Straight Connector 16"/>
                        <a:cNvCxnSpPr/>
                      </a:nvCxnSpPr>
                      <a:spPr>
                        <a:xfrm>
                          <a:off x="2100531" y="3892406"/>
                          <a:ext cx="941723"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sp>
                      <a:nvSpPr>
                        <a:cNvPr id="18" name="TextBox 37"/>
                        <a:cNvSpPr txBox="1"/>
                      </a:nvSpPr>
                      <a:spPr>
                        <a:xfrm>
                          <a:off x="1921019" y="3964414"/>
                          <a:ext cx="2609503"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archipelago</a:t>
                            </a:r>
                            <a:endParaRPr lang="en-GB" dirty="0"/>
                          </a:p>
                        </a:txBody>
                        <a:useSpRect/>
                      </a:txSp>
                    </a:sp>
                  </a:grpSp>
                </lc:lockedCanvas>
              </a:graphicData>
            </a:graphic>
          </wp:inline>
        </w:drawing>
      </w:r>
    </w:p>
    <w:p w:rsidR="00C3380A" w:rsidRDefault="00764800" w:rsidP="00AE0264">
      <w:pPr>
        <w:jc w:val="both"/>
        <w:rPr>
          <w:rFonts w:asciiTheme="majorHAnsi" w:hAnsiTheme="majorHAnsi"/>
        </w:rPr>
      </w:pPr>
      <w:proofErr w:type="gramStart"/>
      <w:r>
        <w:rPr>
          <w:rFonts w:asciiTheme="majorHAnsi" w:hAnsiTheme="majorHAnsi"/>
          <w:b/>
        </w:rPr>
        <w:t>Figure 4.1</w:t>
      </w:r>
      <w:r w:rsidR="004D7C08">
        <w:rPr>
          <w:rFonts w:asciiTheme="majorHAnsi" w:hAnsiTheme="majorHAnsi"/>
          <w:b/>
        </w:rPr>
        <w:t>4</w:t>
      </w:r>
      <w:r w:rsidR="00C3380A" w:rsidRPr="00764800">
        <w:rPr>
          <w:rFonts w:asciiTheme="majorHAnsi" w:hAnsiTheme="majorHAnsi"/>
          <w:b/>
        </w:rPr>
        <w:t>.</w:t>
      </w:r>
      <w:proofErr w:type="gramEnd"/>
      <w:r w:rsidR="00C3380A" w:rsidRPr="00764800">
        <w:rPr>
          <w:rFonts w:asciiTheme="majorHAnsi" w:hAnsiTheme="majorHAnsi"/>
          <w:b/>
        </w:rPr>
        <w:t xml:space="preserve"> </w:t>
      </w:r>
      <w:r w:rsidR="00317B3D">
        <w:rPr>
          <w:rFonts w:asciiTheme="majorHAnsi" w:hAnsiTheme="majorHAnsi"/>
          <w:b/>
        </w:rPr>
        <w:t xml:space="preserve">Group </w:t>
      </w:r>
      <w:r w:rsidR="002D5AFC">
        <w:rPr>
          <w:rFonts w:asciiTheme="majorHAnsi" w:hAnsiTheme="majorHAnsi"/>
          <w:b/>
        </w:rPr>
        <w:t xml:space="preserve">C </w:t>
      </w:r>
      <w:r w:rsidR="00317B3D">
        <w:rPr>
          <w:rFonts w:asciiTheme="majorHAnsi" w:hAnsiTheme="majorHAnsi"/>
          <w:b/>
        </w:rPr>
        <w:t>– change in peroxisomal morphology.</w:t>
      </w:r>
      <w:r>
        <w:rPr>
          <w:rFonts w:asciiTheme="majorHAnsi" w:hAnsiTheme="majorHAnsi"/>
        </w:rPr>
        <w:t xml:space="preserve"> </w:t>
      </w:r>
      <w:r w:rsidR="00C3380A" w:rsidRPr="0013327C">
        <w:rPr>
          <w:rFonts w:asciiTheme="majorHAnsi" w:hAnsiTheme="majorHAnsi"/>
        </w:rPr>
        <w:t xml:space="preserve"> </w:t>
      </w:r>
      <w:r>
        <w:rPr>
          <w:rFonts w:asciiTheme="majorHAnsi" w:hAnsiTheme="majorHAnsi"/>
        </w:rPr>
        <w:t xml:space="preserve">KDs </w:t>
      </w:r>
      <w:r w:rsidR="00C3380A" w:rsidRPr="0013327C">
        <w:rPr>
          <w:rFonts w:asciiTheme="majorHAnsi" w:hAnsiTheme="majorHAnsi"/>
        </w:rPr>
        <w:t>of S2R+ cells stably transfected with pMt-eGFP-PTS1 grown for 5 days before a 24hr induction with 50µM CuSO</w:t>
      </w:r>
      <w:r w:rsidR="00C3380A" w:rsidRPr="0013327C">
        <w:rPr>
          <w:rFonts w:asciiTheme="majorHAnsi" w:hAnsiTheme="majorHAnsi"/>
          <w:vertAlign w:val="subscript"/>
        </w:rPr>
        <w:t>4</w:t>
      </w:r>
      <w:r w:rsidR="00C3380A" w:rsidRPr="0013327C">
        <w:rPr>
          <w:rFonts w:asciiTheme="majorHAnsi" w:hAnsiTheme="majorHAnsi"/>
        </w:rPr>
        <w:t>. “Group C” produced images that apparently show peroxisomes with morphological changes that produce either ring-like or sickle-shaped peroxisomes. These phenotypes occurred in only a small percentage of cells. The knockdowns of archipelago and CG5001 produced z-scores of -4.37 and -2.78 respectively. Bar = 20µm.</w:t>
      </w:r>
    </w:p>
    <w:p w:rsidR="002D2304" w:rsidRDefault="002D2304" w:rsidP="00AE0264">
      <w:pPr>
        <w:jc w:val="both"/>
        <w:rPr>
          <w:rFonts w:asciiTheme="majorHAnsi" w:hAnsiTheme="majorHAnsi"/>
        </w:rPr>
      </w:pPr>
    </w:p>
    <w:p w:rsidR="002D2304" w:rsidRPr="0013327C" w:rsidRDefault="002D2304" w:rsidP="00AE0264">
      <w:pPr>
        <w:jc w:val="both"/>
        <w:rPr>
          <w:rFonts w:asciiTheme="majorHAnsi" w:hAnsiTheme="majorHAnsi"/>
        </w:rPr>
      </w:pPr>
    </w:p>
    <w:p w:rsidR="00C3380A" w:rsidRPr="0013327C" w:rsidRDefault="00C3380A" w:rsidP="00AE0264">
      <w:pPr>
        <w:jc w:val="both"/>
        <w:rPr>
          <w:rFonts w:asciiTheme="majorHAnsi" w:hAnsiTheme="majorHAnsi"/>
        </w:rPr>
      </w:pPr>
    </w:p>
    <w:p w:rsidR="00C3380A" w:rsidRPr="0013327C" w:rsidRDefault="002D2304" w:rsidP="00AE0264">
      <w:pPr>
        <w:jc w:val="both"/>
        <w:rPr>
          <w:rFonts w:asciiTheme="majorHAnsi" w:hAnsiTheme="majorHAnsi"/>
        </w:rPr>
      </w:pPr>
      <w:r w:rsidRPr="002D2304">
        <w:rPr>
          <w:rFonts w:asciiTheme="majorHAnsi" w:hAnsiTheme="majorHAnsi"/>
          <w:noProof/>
          <w:lang w:eastAsia="en-GB"/>
        </w:rPr>
        <w:lastRenderedPageBreak/>
        <w:drawing>
          <wp:inline distT="0" distB="0" distL="0" distR="0">
            <wp:extent cx="5218981" cy="3899139"/>
            <wp:effectExtent l="0" t="0" r="719" b="0"/>
            <wp:docPr id="34" name="Picture 18"/>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07" cstate="print"/>
                    <a:srcRect b="11994"/>
                    <a:stretch>
                      <a:fillRect/>
                    </a:stretch>
                  </pic:blipFill>
                  <pic:spPr bwMode="auto">
                    <a:xfrm>
                      <a:off x="0" y="0"/>
                      <a:ext cx="5221857" cy="3901287"/>
                    </a:xfrm>
                    <a:prstGeom prst="rect">
                      <a:avLst/>
                    </a:prstGeom>
                    <a:noFill/>
                  </pic:spPr>
                </pic:pic>
              </a:graphicData>
            </a:graphic>
          </wp:inline>
        </w:drawing>
      </w:r>
    </w:p>
    <w:p w:rsidR="00C3380A" w:rsidRPr="0013327C" w:rsidRDefault="00C3380A" w:rsidP="00AE0264">
      <w:pPr>
        <w:jc w:val="both"/>
        <w:rPr>
          <w:rFonts w:asciiTheme="majorHAnsi" w:hAnsiTheme="majorHAnsi"/>
        </w:rPr>
      </w:pPr>
      <w:proofErr w:type="gramStart"/>
      <w:r w:rsidRPr="0013327C">
        <w:rPr>
          <w:rFonts w:asciiTheme="majorHAnsi" w:hAnsiTheme="majorHAnsi"/>
          <w:b/>
        </w:rPr>
        <w:t>Figure 4.</w:t>
      </w:r>
      <w:r w:rsidR="002D5AFC">
        <w:rPr>
          <w:rFonts w:asciiTheme="majorHAnsi" w:hAnsiTheme="majorHAnsi"/>
          <w:b/>
        </w:rPr>
        <w:t>1</w:t>
      </w:r>
      <w:r w:rsidR="004D7C08">
        <w:rPr>
          <w:rFonts w:asciiTheme="majorHAnsi" w:hAnsiTheme="majorHAnsi"/>
          <w:b/>
        </w:rPr>
        <w:t>5</w:t>
      </w:r>
      <w:r w:rsidRPr="0013327C">
        <w:rPr>
          <w:rFonts w:asciiTheme="majorHAnsi" w:hAnsiTheme="majorHAnsi"/>
          <w:b/>
        </w:rPr>
        <w:t>.</w:t>
      </w:r>
      <w:proofErr w:type="gramEnd"/>
      <w:r w:rsidRPr="0013327C">
        <w:rPr>
          <w:rFonts w:asciiTheme="majorHAnsi" w:hAnsiTheme="majorHAnsi"/>
          <w:b/>
        </w:rPr>
        <w:t xml:space="preserve"> </w:t>
      </w:r>
      <w:r w:rsidR="00764800">
        <w:rPr>
          <w:rFonts w:asciiTheme="majorHAnsi" w:hAnsiTheme="majorHAnsi"/>
          <w:b/>
        </w:rPr>
        <w:t xml:space="preserve">Group </w:t>
      </w:r>
      <w:r w:rsidR="002D5AFC">
        <w:rPr>
          <w:rFonts w:asciiTheme="majorHAnsi" w:hAnsiTheme="majorHAnsi"/>
          <w:b/>
        </w:rPr>
        <w:t xml:space="preserve">D </w:t>
      </w:r>
      <w:r w:rsidR="00317B3D">
        <w:rPr>
          <w:rFonts w:asciiTheme="majorHAnsi" w:hAnsiTheme="majorHAnsi"/>
          <w:b/>
        </w:rPr>
        <w:t>– Reduction in quantity, increase in size and brightness</w:t>
      </w:r>
      <w:r w:rsidR="002D2304">
        <w:rPr>
          <w:rFonts w:asciiTheme="majorHAnsi" w:hAnsiTheme="majorHAnsi"/>
          <w:b/>
        </w:rPr>
        <w:t>, aggregation/possible fusing of peroxisomes</w:t>
      </w:r>
      <w:r w:rsidR="00764800">
        <w:rPr>
          <w:rFonts w:asciiTheme="majorHAnsi" w:hAnsiTheme="majorHAnsi"/>
          <w:b/>
        </w:rPr>
        <w:t xml:space="preserve">. </w:t>
      </w:r>
      <w:r w:rsidRPr="0013327C">
        <w:rPr>
          <w:rFonts w:asciiTheme="majorHAnsi" w:hAnsiTheme="majorHAnsi"/>
        </w:rPr>
        <w:t>Cropped images of KDs of S2R+ cells stably transfected with pMt-eGFP-PTS1 grown for 5 days before a 24hr induction with 50µM CuSO</w:t>
      </w:r>
      <w:r w:rsidRPr="0013327C">
        <w:rPr>
          <w:rFonts w:asciiTheme="majorHAnsi" w:hAnsiTheme="majorHAnsi"/>
          <w:vertAlign w:val="subscript"/>
        </w:rPr>
        <w:t>4</w:t>
      </w:r>
      <w:r w:rsidRPr="0013327C">
        <w:rPr>
          <w:rFonts w:asciiTheme="majorHAnsi" w:hAnsiTheme="majorHAnsi"/>
        </w:rPr>
        <w:t>. The “Group D” KDs produced z-scores in the range of -7.41 to -1.79. The most severe phenotype is that of Spaghetti Squash where a near-ubiquitous phenotype of 1-5 large, bright puncta per nucleus could be observed. The cells with this phenotype in “tango” and CG4629 images were among a large number of small WT cells, dimly expressing eGFP-PTS1. Only a handful of cells showed this phenotype for both of these KDs. Bar = 20µm.</w:t>
      </w:r>
    </w:p>
    <w:p w:rsidR="00C3380A" w:rsidRPr="0013327C" w:rsidRDefault="004A6C97" w:rsidP="00AE0264">
      <w:pPr>
        <w:jc w:val="both"/>
        <w:rPr>
          <w:rFonts w:asciiTheme="majorHAnsi" w:hAnsiTheme="majorHAnsi"/>
        </w:rPr>
      </w:pPr>
      <w:r>
        <w:rPr>
          <w:rFonts w:asciiTheme="majorHAnsi" w:hAnsiTheme="majorHAnsi"/>
          <w:b/>
          <w:noProof/>
          <w:lang w:eastAsia="en-GB"/>
        </w:rPr>
        <w:lastRenderedPageBreak/>
        <w:drawing>
          <wp:inline distT="0" distB="0" distL="0" distR="0">
            <wp:extent cx="5268271" cy="2838090"/>
            <wp:effectExtent l="19050" t="0" r="8579" b="0"/>
            <wp:docPr id="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cstate="print"/>
                    <a:srcRect/>
                    <a:stretch>
                      <a:fillRect/>
                    </a:stretch>
                  </pic:blipFill>
                  <pic:spPr bwMode="auto">
                    <a:xfrm>
                      <a:off x="0" y="0"/>
                      <a:ext cx="5276101" cy="2842308"/>
                    </a:xfrm>
                    <a:prstGeom prst="rect">
                      <a:avLst/>
                    </a:prstGeom>
                    <a:noFill/>
                  </pic:spPr>
                </pic:pic>
              </a:graphicData>
            </a:graphic>
          </wp:inline>
        </w:drawing>
      </w:r>
      <w:proofErr w:type="gramStart"/>
      <w:r w:rsidR="002D5AFC">
        <w:rPr>
          <w:rFonts w:asciiTheme="majorHAnsi" w:hAnsiTheme="majorHAnsi"/>
          <w:b/>
        </w:rPr>
        <w:t>Figure 4.1</w:t>
      </w:r>
      <w:r w:rsidR="004D7C08">
        <w:rPr>
          <w:rFonts w:asciiTheme="majorHAnsi" w:hAnsiTheme="majorHAnsi"/>
          <w:b/>
        </w:rPr>
        <w:t>6</w:t>
      </w:r>
      <w:r w:rsidR="00C3380A" w:rsidRPr="0013327C">
        <w:rPr>
          <w:rFonts w:asciiTheme="majorHAnsi" w:hAnsiTheme="majorHAnsi"/>
          <w:b/>
        </w:rPr>
        <w:t>.</w:t>
      </w:r>
      <w:proofErr w:type="gramEnd"/>
      <w:r w:rsidR="00764800">
        <w:rPr>
          <w:rFonts w:asciiTheme="majorHAnsi" w:hAnsiTheme="majorHAnsi"/>
          <w:b/>
        </w:rPr>
        <w:t xml:space="preserve"> Group E </w:t>
      </w:r>
      <w:r w:rsidR="002D2304">
        <w:rPr>
          <w:rFonts w:asciiTheme="majorHAnsi" w:hAnsiTheme="majorHAnsi"/>
          <w:b/>
        </w:rPr>
        <w:t>– Displaced cellular localisation of peroxisomes with moderate reduction in number</w:t>
      </w:r>
      <w:r w:rsidR="00764800">
        <w:rPr>
          <w:rFonts w:asciiTheme="majorHAnsi" w:hAnsiTheme="majorHAnsi"/>
          <w:b/>
        </w:rPr>
        <w:t>.</w:t>
      </w:r>
      <w:r w:rsidR="00C3380A" w:rsidRPr="0013327C">
        <w:rPr>
          <w:rFonts w:asciiTheme="majorHAnsi" w:hAnsiTheme="majorHAnsi"/>
        </w:rPr>
        <w:t xml:space="preserve"> Cropped images of KDs of S2R+ cells stably transfected with pMt-eGFP-PTS1 grown for 5 days before a 24hr induction with 50µM CuSO</w:t>
      </w:r>
      <w:r w:rsidR="00C3380A" w:rsidRPr="0013327C">
        <w:rPr>
          <w:rFonts w:asciiTheme="majorHAnsi" w:hAnsiTheme="majorHAnsi"/>
          <w:vertAlign w:val="subscript"/>
        </w:rPr>
        <w:t>4</w:t>
      </w:r>
      <w:r w:rsidR="00C3380A" w:rsidRPr="0013327C">
        <w:rPr>
          <w:rFonts w:asciiTheme="majorHAnsi" w:hAnsiTheme="majorHAnsi"/>
        </w:rPr>
        <w:t>. The images of “Group E” phenotypes produced z-scores in the range of -6.81 to -2.08. The majority of peroxisomes are mislocalised to one sector of the cell leaving an uneven distribution of cells. This is enough to decrease the resolution of the peroxisomes and therefore the reported peroxisome per cell count without necessarily decreasing their number, though this may happen anyway. It is unclear whether peroxisomes fuse together, if they do then it is not to the degree that they appear do so in Group D. Bar = 20µm.</w:t>
      </w:r>
    </w:p>
    <w:p w:rsidR="00E0200E" w:rsidRDefault="004A6C97" w:rsidP="00AE0264">
      <w:pPr>
        <w:jc w:val="both"/>
        <w:rPr>
          <w:rFonts w:asciiTheme="majorHAnsi" w:hAnsiTheme="majorHAnsi"/>
          <w:b/>
        </w:rPr>
      </w:pPr>
      <w:r>
        <w:rPr>
          <w:rFonts w:asciiTheme="majorHAnsi" w:hAnsiTheme="majorHAnsi"/>
          <w:b/>
          <w:noProof/>
          <w:lang w:eastAsia="en-GB"/>
        </w:rPr>
        <w:drawing>
          <wp:inline distT="0" distB="0" distL="0" distR="0">
            <wp:extent cx="5245008" cy="1466490"/>
            <wp:effectExtent l="1905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srcRect/>
                    <a:stretch>
                      <a:fillRect/>
                    </a:stretch>
                  </pic:blipFill>
                  <pic:spPr bwMode="auto">
                    <a:xfrm>
                      <a:off x="0" y="0"/>
                      <a:ext cx="5256389" cy="1469672"/>
                    </a:xfrm>
                    <a:prstGeom prst="rect">
                      <a:avLst/>
                    </a:prstGeom>
                    <a:noFill/>
                  </pic:spPr>
                </pic:pic>
              </a:graphicData>
            </a:graphic>
          </wp:inline>
        </w:drawing>
      </w:r>
    </w:p>
    <w:p w:rsidR="00C3380A" w:rsidRPr="0013327C" w:rsidRDefault="00307B91" w:rsidP="00AE0264">
      <w:pPr>
        <w:jc w:val="both"/>
        <w:rPr>
          <w:rFonts w:asciiTheme="majorHAnsi" w:hAnsiTheme="majorHAnsi"/>
        </w:rPr>
      </w:pPr>
      <w:proofErr w:type="gramStart"/>
      <w:r>
        <w:rPr>
          <w:rFonts w:asciiTheme="majorHAnsi" w:hAnsiTheme="majorHAnsi"/>
          <w:b/>
        </w:rPr>
        <w:t xml:space="preserve">Figure </w:t>
      </w:r>
      <w:r w:rsidR="00C3380A" w:rsidRPr="0013327C">
        <w:rPr>
          <w:rFonts w:asciiTheme="majorHAnsi" w:hAnsiTheme="majorHAnsi"/>
          <w:b/>
        </w:rPr>
        <w:t>4.</w:t>
      </w:r>
      <w:r w:rsidR="00054DEB">
        <w:rPr>
          <w:rFonts w:asciiTheme="majorHAnsi" w:hAnsiTheme="majorHAnsi"/>
          <w:b/>
        </w:rPr>
        <w:t>1</w:t>
      </w:r>
      <w:r w:rsidR="004D7C08">
        <w:rPr>
          <w:rFonts w:asciiTheme="majorHAnsi" w:hAnsiTheme="majorHAnsi"/>
          <w:b/>
        </w:rPr>
        <w:t>7</w:t>
      </w:r>
      <w:r w:rsidR="00C3380A" w:rsidRPr="0013327C">
        <w:rPr>
          <w:rFonts w:asciiTheme="majorHAnsi" w:hAnsiTheme="majorHAnsi"/>
          <w:b/>
        </w:rPr>
        <w:t>.</w:t>
      </w:r>
      <w:proofErr w:type="gramEnd"/>
      <w:r w:rsidR="00F14978">
        <w:rPr>
          <w:rFonts w:asciiTheme="majorHAnsi" w:hAnsiTheme="majorHAnsi"/>
          <w:b/>
        </w:rPr>
        <w:t xml:space="preserve"> </w:t>
      </w:r>
      <w:proofErr w:type="gramStart"/>
      <w:r w:rsidR="00F14978">
        <w:rPr>
          <w:rFonts w:asciiTheme="majorHAnsi" w:hAnsiTheme="majorHAnsi"/>
          <w:b/>
        </w:rPr>
        <w:t>Group F</w:t>
      </w:r>
      <w:r w:rsidR="00764800">
        <w:rPr>
          <w:rFonts w:asciiTheme="majorHAnsi" w:hAnsiTheme="majorHAnsi"/>
          <w:b/>
        </w:rPr>
        <w:t xml:space="preserve"> </w:t>
      </w:r>
      <w:r w:rsidR="004A6C97">
        <w:rPr>
          <w:rFonts w:asciiTheme="majorHAnsi" w:hAnsiTheme="majorHAnsi"/>
          <w:b/>
        </w:rPr>
        <w:t>– Increased quantity of peroxisomes per cell</w:t>
      </w:r>
      <w:r w:rsidR="00764800">
        <w:rPr>
          <w:rFonts w:asciiTheme="majorHAnsi" w:hAnsiTheme="majorHAnsi"/>
          <w:b/>
        </w:rPr>
        <w:t>.</w:t>
      </w:r>
      <w:proofErr w:type="gramEnd"/>
      <w:r w:rsidR="00C3380A" w:rsidRPr="0013327C">
        <w:rPr>
          <w:rFonts w:asciiTheme="majorHAnsi" w:hAnsiTheme="majorHAnsi"/>
        </w:rPr>
        <w:t xml:space="preserve"> Cropped images of KDs of S2R+ cells stably transfected with pMt-eGFP-PTS1 grown for 5 days before a 24hr induction with 50µM CuSO</w:t>
      </w:r>
      <w:r w:rsidR="00C3380A" w:rsidRPr="0013327C">
        <w:rPr>
          <w:rFonts w:asciiTheme="majorHAnsi" w:hAnsiTheme="majorHAnsi"/>
          <w:vertAlign w:val="subscript"/>
        </w:rPr>
        <w:t>4</w:t>
      </w:r>
      <w:r w:rsidR="00C3380A" w:rsidRPr="0013327C">
        <w:rPr>
          <w:rFonts w:asciiTheme="majorHAnsi" w:hAnsiTheme="majorHAnsi"/>
        </w:rPr>
        <w:t xml:space="preserve">. The images of “Group F” phenotypes produced z-scores of 1.96 to 4.54. They showed ubiquitously increased peroxisome per cell counts. Nuclear sizes were also </w:t>
      </w:r>
      <w:proofErr w:type="gramStart"/>
      <w:r w:rsidR="00C3380A" w:rsidRPr="0013327C">
        <w:rPr>
          <w:rFonts w:asciiTheme="majorHAnsi" w:hAnsiTheme="majorHAnsi"/>
        </w:rPr>
        <w:t>increased,</w:t>
      </w:r>
      <w:proofErr w:type="gramEnd"/>
      <w:r w:rsidR="00C3380A" w:rsidRPr="0013327C">
        <w:rPr>
          <w:rFonts w:asciiTheme="majorHAnsi" w:hAnsiTheme="majorHAnsi"/>
        </w:rPr>
        <w:t xml:space="preserve"> larger images are shown of Rasputin and CG14749. Bar = 20µm.</w:t>
      </w:r>
    </w:p>
    <w:p w:rsidR="00C3380A" w:rsidRPr="0013327C" w:rsidRDefault="00C3380A" w:rsidP="00AE0264">
      <w:pPr>
        <w:jc w:val="both"/>
        <w:rPr>
          <w:rFonts w:asciiTheme="majorHAnsi" w:hAnsiTheme="majorHAnsi"/>
        </w:rPr>
      </w:pPr>
    </w:p>
    <w:p w:rsidR="00C3380A" w:rsidRPr="0013327C" w:rsidRDefault="00C3380A" w:rsidP="00AE0264">
      <w:pPr>
        <w:jc w:val="both"/>
        <w:rPr>
          <w:rFonts w:asciiTheme="majorHAnsi" w:hAnsiTheme="majorHAnsi"/>
        </w:rPr>
      </w:pPr>
    </w:p>
    <w:p w:rsidR="00E0200E" w:rsidRDefault="008351DF" w:rsidP="00AE0264">
      <w:pPr>
        <w:jc w:val="both"/>
        <w:rPr>
          <w:rFonts w:asciiTheme="majorHAnsi" w:hAnsiTheme="majorHAnsi"/>
          <w:b/>
        </w:rPr>
      </w:pPr>
      <w:r>
        <w:rPr>
          <w:rFonts w:asciiTheme="majorHAnsi" w:hAnsiTheme="majorHAnsi"/>
          <w:b/>
          <w:noProof/>
          <w:lang w:eastAsia="en-GB"/>
        </w:rPr>
        <w:drawing>
          <wp:inline distT="0" distB="0" distL="0" distR="0">
            <wp:extent cx="5196748" cy="4151977"/>
            <wp:effectExtent l="19050" t="0" r="3902"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srcRect/>
                    <a:stretch>
                      <a:fillRect/>
                    </a:stretch>
                  </pic:blipFill>
                  <pic:spPr bwMode="auto">
                    <a:xfrm>
                      <a:off x="0" y="0"/>
                      <a:ext cx="5198203" cy="4153140"/>
                    </a:xfrm>
                    <a:prstGeom prst="rect">
                      <a:avLst/>
                    </a:prstGeom>
                    <a:noFill/>
                  </pic:spPr>
                </pic:pic>
              </a:graphicData>
            </a:graphic>
          </wp:inline>
        </w:drawing>
      </w:r>
    </w:p>
    <w:p w:rsidR="00C3380A" w:rsidRDefault="00307B91" w:rsidP="00AE0264">
      <w:pPr>
        <w:jc w:val="both"/>
        <w:rPr>
          <w:rFonts w:asciiTheme="majorHAnsi" w:hAnsiTheme="majorHAnsi"/>
        </w:rPr>
      </w:pPr>
      <w:proofErr w:type="gramStart"/>
      <w:r>
        <w:rPr>
          <w:rFonts w:asciiTheme="majorHAnsi" w:hAnsiTheme="majorHAnsi"/>
          <w:b/>
        </w:rPr>
        <w:t>Figure 4.</w:t>
      </w:r>
      <w:r w:rsidR="00054DEB">
        <w:rPr>
          <w:rFonts w:asciiTheme="majorHAnsi" w:hAnsiTheme="majorHAnsi"/>
          <w:b/>
        </w:rPr>
        <w:t>1</w:t>
      </w:r>
      <w:r w:rsidR="004D7C08">
        <w:rPr>
          <w:rFonts w:asciiTheme="majorHAnsi" w:hAnsiTheme="majorHAnsi"/>
          <w:b/>
        </w:rPr>
        <w:t>8</w:t>
      </w:r>
      <w:r w:rsidR="00C3380A" w:rsidRPr="0013327C">
        <w:rPr>
          <w:rFonts w:asciiTheme="majorHAnsi" w:hAnsiTheme="majorHAnsi"/>
          <w:b/>
        </w:rPr>
        <w:t>.</w:t>
      </w:r>
      <w:proofErr w:type="gramEnd"/>
      <w:r>
        <w:rPr>
          <w:rFonts w:asciiTheme="majorHAnsi" w:hAnsiTheme="majorHAnsi"/>
          <w:b/>
        </w:rPr>
        <w:t xml:space="preserve"> Group G </w:t>
      </w:r>
      <w:r w:rsidR="00D57C0C">
        <w:rPr>
          <w:rFonts w:asciiTheme="majorHAnsi" w:hAnsiTheme="majorHAnsi"/>
          <w:b/>
        </w:rPr>
        <w:t>– Increase in peroxisome size and intensity, possible up-regulation of expression, ubiquitous cytosolic mislocalisation and increased peroxisome quantity per cell</w:t>
      </w:r>
      <w:r>
        <w:rPr>
          <w:rFonts w:asciiTheme="majorHAnsi" w:hAnsiTheme="majorHAnsi"/>
          <w:b/>
        </w:rPr>
        <w:t>.</w:t>
      </w:r>
      <w:r w:rsidR="00C3380A" w:rsidRPr="0013327C">
        <w:rPr>
          <w:rFonts w:asciiTheme="majorHAnsi" w:hAnsiTheme="majorHAnsi"/>
        </w:rPr>
        <w:t xml:space="preserve"> Cropped images of KDs of S2R+ cells stably transfected with pMt-eGFP-PTS1 grown for 5 days before a 24hr induction with 50µM CuSO</w:t>
      </w:r>
      <w:r w:rsidR="00C3380A" w:rsidRPr="0013327C">
        <w:rPr>
          <w:rFonts w:asciiTheme="majorHAnsi" w:hAnsiTheme="majorHAnsi"/>
          <w:vertAlign w:val="subscript"/>
        </w:rPr>
        <w:t>4</w:t>
      </w:r>
      <w:r w:rsidR="00C3380A" w:rsidRPr="0013327C">
        <w:rPr>
          <w:rFonts w:asciiTheme="majorHAnsi" w:hAnsiTheme="majorHAnsi"/>
        </w:rPr>
        <w:t xml:space="preserve">. Images in Group G increased cytosolic eGFP-PTS1 and very bright peroxisomes. Z-scores range from -1.65 to 4.04 though most are positive. Cellular morphology is affected in all </w:t>
      </w:r>
      <w:proofErr w:type="gramStart"/>
      <w:r w:rsidR="00C3380A" w:rsidRPr="0013327C">
        <w:rPr>
          <w:rFonts w:asciiTheme="majorHAnsi" w:hAnsiTheme="majorHAnsi"/>
        </w:rPr>
        <w:t>cases,</w:t>
      </w:r>
      <w:proofErr w:type="gramEnd"/>
      <w:r w:rsidR="00C3380A" w:rsidRPr="0013327C">
        <w:rPr>
          <w:rFonts w:asciiTheme="majorHAnsi" w:hAnsiTheme="majorHAnsi"/>
        </w:rPr>
        <w:t xml:space="preserve"> cells appear to have increased cross-sectional cytoplasmic area and irregular shape. Negative elongation factor (NELF), </w:t>
      </w:r>
      <w:proofErr w:type="gramStart"/>
      <w:r w:rsidR="00C3380A" w:rsidRPr="0013327C">
        <w:rPr>
          <w:rFonts w:asciiTheme="majorHAnsi" w:hAnsiTheme="majorHAnsi"/>
        </w:rPr>
        <w:t>osa</w:t>
      </w:r>
      <w:proofErr w:type="gramEnd"/>
      <w:r w:rsidR="00C3380A" w:rsidRPr="0013327C">
        <w:rPr>
          <w:rFonts w:asciiTheme="majorHAnsi" w:hAnsiTheme="majorHAnsi"/>
        </w:rPr>
        <w:t xml:space="preserve"> and CG8492 do not have statistically significant z-scores. Bar = 20 µm.</w:t>
      </w:r>
    </w:p>
    <w:p w:rsidR="002B666E" w:rsidRPr="0013327C" w:rsidRDefault="002B666E" w:rsidP="00AE0264">
      <w:pPr>
        <w:jc w:val="both"/>
        <w:rPr>
          <w:rFonts w:asciiTheme="majorHAnsi" w:hAnsiTheme="majorHAnsi"/>
        </w:rPr>
      </w:pPr>
      <w:r>
        <w:rPr>
          <w:rFonts w:asciiTheme="majorHAnsi" w:hAnsiTheme="majorHAnsi"/>
        </w:rPr>
        <w:t xml:space="preserve">One limitation of the screen is that the </w:t>
      </w:r>
      <w:r w:rsidR="0015361A">
        <w:rPr>
          <w:rFonts w:asciiTheme="majorHAnsi" w:hAnsiTheme="majorHAnsi"/>
        </w:rPr>
        <w:t>eGFP-PTS1</w:t>
      </w:r>
      <w:r>
        <w:rPr>
          <w:rFonts w:asciiTheme="majorHAnsi" w:hAnsiTheme="majorHAnsi"/>
        </w:rPr>
        <w:t xml:space="preserve"> fluoresces</w:t>
      </w:r>
      <w:r w:rsidR="00290DCA">
        <w:rPr>
          <w:rFonts w:asciiTheme="majorHAnsi" w:hAnsiTheme="majorHAnsi"/>
        </w:rPr>
        <w:t xml:space="preserve"> indiscriminately with respect to which cellular location or compartment it is in.</w:t>
      </w:r>
      <w:r w:rsidR="0015361A">
        <w:rPr>
          <w:rFonts w:asciiTheme="majorHAnsi" w:hAnsiTheme="majorHAnsi"/>
        </w:rPr>
        <w:t xml:space="preserve"> This is used to determine cytosolic mis-localisation where contrast between diffuse and punctate eGFP is reduced or absent.</w:t>
      </w:r>
      <w:r w:rsidR="005E0F7B">
        <w:rPr>
          <w:rFonts w:asciiTheme="majorHAnsi" w:hAnsiTheme="majorHAnsi"/>
        </w:rPr>
        <w:t xml:space="preserve"> This does not however distinguish between eGFP that is faithfully translocated to the peroxisomal marker and that which is mis-localised to other compartments</w:t>
      </w:r>
      <w:r w:rsidR="008A5EC5">
        <w:rPr>
          <w:rFonts w:asciiTheme="majorHAnsi" w:hAnsiTheme="majorHAnsi"/>
        </w:rPr>
        <w:t xml:space="preserve"> such as the lysosome or vacuole.</w:t>
      </w:r>
      <w:r w:rsidR="00470843">
        <w:rPr>
          <w:rFonts w:asciiTheme="majorHAnsi" w:hAnsiTheme="majorHAnsi"/>
        </w:rPr>
        <w:t xml:space="preserve"> With this lack of distinction it is theoretically possible that cells without peroxisomes may have falsely reported higher </w:t>
      </w:r>
      <w:r w:rsidR="00470843">
        <w:rPr>
          <w:rFonts w:asciiTheme="majorHAnsi" w:hAnsiTheme="majorHAnsi"/>
        </w:rPr>
        <w:lastRenderedPageBreak/>
        <w:t xml:space="preserve">numbers of them if </w:t>
      </w:r>
      <w:r w:rsidR="00113069">
        <w:rPr>
          <w:rFonts w:asciiTheme="majorHAnsi" w:hAnsiTheme="majorHAnsi"/>
        </w:rPr>
        <w:t xml:space="preserve">their lysosomes are filled with the marker protein. Initially this is not a serious concern as in </w:t>
      </w:r>
      <w:r w:rsidR="00D93535" w:rsidRPr="00D93535">
        <w:rPr>
          <w:rFonts w:asciiTheme="majorHAnsi" w:hAnsiTheme="majorHAnsi"/>
          <w:i/>
        </w:rPr>
        <w:t>PEX</w:t>
      </w:r>
      <w:r w:rsidR="00113069">
        <w:rPr>
          <w:rFonts w:asciiTheme="majorHAnsi" w:hAnsiTheme="majorHAnsi"/>
        </w:rPr>
        <w:t xml:space="preserve">1, </w:t>
      </w:r>
      <w:r w:rsidR="00D93535" w:rsidRPr="00D93535">
        <w:rPr>
          <w:rFonts w:asciiTheme="majorHAnsi" w:hAnsiTheme="majorHAnsi"/>
          <w:i/>
        </w:rPr>
        <w:t>PEX</w:t>
      </w:r>
      <w:r w:rsidR="00113069">
        <w:rPr>
          <w:rFonts w:asciiTheme="majorHAnsi" w:hAnsiTheme="majorHAnsi"/>
        </w:rPr>
        <w:t xml:space="preserve">5 </w:t>
      </w:r>
      <w:r w:rsidR="00D93535" w:rsidRPr="00D93535">
        <w:rPr>
          <w:rFonts w:asciiTheme="majorHAnsi" w:hAnsiTheme="majorHAnsi"/>
          <w:i/>
        </w:rPr>
        <w:t>PEX</w:t>
      </w:r>
      <w:r w:rsidR="00113069">
        <w:rPr>
          <w:rFonts w:asciiTheme="majorHAnsi" w:hAnsiTheme="majorHAnsi"/>
        </w:rPr>
        <w:t xml:space="preserve">13 and </w:t>
      </w:r>
      <w:r w:rsidR="00D93535" w:rsidRPr="00D93535">
        <w:rPr>
          <w:rFonts w:asciiTheme="majorHAnsi" w:hAnsiTheme="majorHAnsi"/>
          <w:i/>
        </w:rPr>
        <w:t>PEX</w:t>
      </w:r>
      <w:r w:rsidR="00113069">
        <w:rPr>
          <w:rFonts w:asciiTheme="majorHAnsi" w:hAnsiTheme="majorHAnsi"/>
        </w:rPr>
        <w:t>16</w:t>
      </w:r>
      <w:r w:rsidR="00C834C7">
        <w:rPr>
          <w:rFonts w:asciiTheme="majorHAnsi" w:hAnsiTheme="majorHAnsi"/>
        </w:rPr>
        <w:t xml:space="preserve"> KDs</w:t>
      </w:r>
      <w:r w:rsidR="00113069">
        <w:rPr>
          <w:rFonts w:asciiTheme="majorHAnsi" w:hAnsiTheme="majorHAnsi"/>
        </w:rPr>
        <w:t xml:space="preserve"> </w:t>
      </w:r>
      <w:r w:rsidR="00C834C7">
        <w:rPr>
          <w:rFonts w:asciiTheme="majorHAnsi" w:hAnsiTheme="majorHAnsi"/>
        </w:rPr>
        <w:t>enough of the affected cells show no puncta or puncta too small/dim to be recognised by the software. These cells are abundant in cytosolic marker and so one might expect that lysosomes would be fluorescing if they were accumulating it. This does not however rule out the possibility</w:t>
      </w:r>
      <w:r w:rsidR="00EA2A26">
        <w:rPr>
          <w:rFonts w:asciiTheme="majorHAnsi" w:hAnsiTheme="majorHAnsi"/>
        </w:rPr>
        <w:t xml:space="preserve"> than certain KDs may cause mis-localisation of the fluorescent marker specifically to another compartment to create a punctate accumulation in tandem with a decrease in peroxisomal puncta.</w:t>
      </w:r>
    </w:p>
    <w:p w:rsidR="00C3380A" w:rsidRPr="0013327C" w:rsidRDefault="00C3380A" w:rsidP="00AE0264">
      <w:pPr>
        <w:jc w:val="both"/>
        <w:rPr>
          <w:rFonts w:asciiTheme="majorHAnsi" w:hAnsiTheme="majorHAnsi"/>
        </w:rPr>
      </w:pPr>
    </w:p>
    <w:p w:rsidR="00C3380A" w:rsidRPr="0013327C" w:rsidRDefault="00C3380A" w:rsidP="00AE0264">
      <w:pPr>
        <w:pStyle w:val="Heading2"/>
        <w:jc w:val="both"/>
      </w:pPr>
      <w:r w:rsidRPr="0013327C">
        <w:t xml:space="preserve"> </w:t>
      </w:r>
      <w:bookmarkStart w:id="120" w:name="_Toc348423372"/>
      <w:proofErr w:type="gramStart"/>
      <w:r w:rsidRPr="0013327C">
        <w:t>Evaluation of genomic screen reliability and reproducibility.</w:t>
      </w:r>
      <w:bookmarkEnd w:id="120"/>
      <w:proofErr w:type="gramEnd"/>
    </w:p>
    <w:p w:rsidR="00C3380A" w:rsidRPr="0013327C" w:rsidRDefault="00C3380A" w:rsidP="00AE0264">
      <w:pPr>
        <w:jc w:val="both"/>
        <w:rPr>
          <w:rFonts w:asciiTheme="majorHAnsi" w:hAnsiTheme="majorHAnsi"/>
        </w:rPr>
      </w:pPr>
      <w:r w:rsidRPr="0013327C">
        <w:rPr>
          <w:rFonts w:asciiTheme="majorHAnsi" w:hAnsiTheme="majorHAnsi"/>
        </w:rPr>
        <w:t>The normalisation of the data for the second genome-wide screen allowed a better statistical determination of z-scores. These normalised z-scores would be used for determining statistical hits from the second screen. This also meant that comparisons could be made of the controls based on their distribution as a separate population relative to the rest of the screen. By normalising the data of the first screen the two screens can be directly compared, seeing how the change in assay (from transient to stable transfection) has affected the screen results. Average data can also be made of the two screens to determine the average strength of each probe between the two assays.</w:t>
      </w:r>
    </w:p>
    <w:p w:rsidR="00C3380A" w:rsidRPr="0013327C" w:rsidRDefault="00C3380A" w:rsidP="00AE0264">
      <w:pPr>
        <w:jc w:val="both"/>
        <w:rPr>
          <w:rFonts w:asciiTheme="majorHAnsi" w:hAnsiTheme="majorHAnsi"/>
        </w:rPr>
      </w:pPr>
      <w:r w:rsidRPr="0013327C">
        <w:rPr>
          <w:rFonts w:asciiTheme="majorHAnsi" w:hAnsiTheme="majorHAnsi"/>
        </w:rPr>
        <w:t xml:space="preserve">The following </w:t>
      </w:r>
      <w:r w:rsidR="00AE7EC2">
        <w:rPr>
          <w:rFonts w:asciiTheme="majorHAnsi" w:hAnsiTheme="majorHAnsi"/>
        </w:rPr>
        <w:t>sub-</w:t>
      </w:r>
      <w:r w:rsidRPr="0013327C">
        <w:rPr>
          <w:rFonts w:asciiTheme="majorHAnsi" w:hAnsiTheme="majorHAnsi"/>
        </w:rPr>
        <w:t xml:space="preserve">chapters show interpretations of the data in an attempt to draw conclusions on the reliability of the significant hits. For some graphs and presentations, a program called HTS2 (a data analysis suite based in “R” programming) has been used to generate them.  </w:t>
      </w:r>
    </w:p>
    <w:p w:rsidR="00C3380A" w:rsidRPr="0013327C" w:rsidRDefault="00C3380A" w:rsidP="00AE0264">
      <w:pPr>
        <w:pStyle w:val="Heading2"/>
        <w:jc w:val="both"/>
      </w:pPr>
      <w:bookmarkStart w:id="121" w:name="_Toc348423373"/>
      <w:r w:rsidRPr="0013327C">
        <w:lastRenderedPageBreak/>
        <w:t>Comparison of distributions of probes and controls</w:t>
      </w:r>
      <w:bookmarkEnd w:id="121"/>
    </w:p>
    <w:p w:rsidR="00C3380A" w:rsidRPr="0013327C" w:rsidRDefault="0074762E" w:rsidP="00307B91">
      <w:pPr>
        <w:rPr>
          <w:rFonts w:asciiTheme="majorHAnsi" w:hAnsiTheme="majorHAnsi"/>
        </w:rPr>
      </w:pPr>
      <w:r>
        <w:rPr>
          <w:rFonts w:asciiTheme="majorHAnsi" w:hAnsiTheme="majorHAnsi"/>
          <w:noProof/>
          <w:lang w:eastAsia="en-GB"/>
        </w:rPr>
        <w:drawing>
          <wp:inline distT="0" distB="0" distL="0" distR="0">
            <wp:extent cx="4962525" cy="8456544"/>
            <wp:effectExtent l="19050" t="0" r="0" b="0"/>
            <wp:docPr id="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cstate="print"/>
                    <a:srcRect/>
                    <a:stretch>
                      <a:fillRect/>
                    </a:stretch>
                  </pic:blipFill>
                  <pic:spPr bwMode="auto">
                    <a:xfrm>
                      <a:off x="0" y="0"/>
                      <a:ext cx="4968191" cy="8466199"/>
                    </a:xfrm>
                    <a:prstGeom prst="rect">
                      <a:avLst/>
                    </a:prstGeom>
                    <a:noFill/>
                  </pic:spPr>
                </pic:pic>
              </a:graphicData>
            </a:graphic>
          </wp:inline>
        </w:drawing>
      </w:r>
    </w:p>
    <w:p w:rsidR="00C3380A" w:rsidRPr="0013327C" w:rsidRDefault="00C3380A" w:rsidP="00AE0264">
      <w:pPr>
        <w:jc w:val="both"/>
        <w:rPr>
          <w:rFonts w:asciiTheme="majorHAnsi" w:hAnsiTheme="majorHAnsi"/>
        </w:rPr>
      </w:pPr>
      <w:r w:rsidRPr="0013327C">
        <w:rPr>
          <w:rFonts w:asciiTheme="majorHAnsi" w:hAnsiTheme="majorHAnsi"/>
        </w:rPr>
        <w:lastRenderedPageBreak/>
        <w:t>Figure 4.</w:t>
      </w:r>
      <w:r w:rsidR="00AE7EC2">
        <w:rPr>
          <w:rFonts w:asciiTheme="majorHAnsi" w:hAnsiTheme="majorHAnsi"/>
        </w:rPr>
        <w:t>24</w:t>
      </w:r>
      <w:r w:rsidRPr="0013327C">
        <w:rPr>
          <w:rFonts w:asciiTheme="majorHAnsi" w:hAnsiTheme="majorHAnsi"/>
        </w:rPr>
        <w:t xml:space="preserve"> shows the frequency distributions of the controls, the empty wells (true WT) and the genomic probes between the values of -16 σ and 6 σ (not produced in HTS2). Within these x-axis bounds the modal peaks of all the control probe distributions can be viewed with those of the non-controls’. The distributions show clearly the differences between each other and the stronger the phenotype the greater the distance between the modal peaks. </w:t>
      </w:r>
      <w:r w:rsidR="000C26B2" w:rsidRPr="000C26B2">
        <w:rPr>
          <w:rFonts w:asciiTheme="majorHAnsi" w:hAnsiTheme="majorHAnsi"/>
          <w:i/>
        </w:rPr>
        <w:t>PEX</w:t>
      </w:r>
      <w:r w:rsidRPr="0013327C">
        <w:rPr>
          <w:rFonts w:asciiTheme="majorHAnsi" w:hAnsiTheme="majorHAnsi"/>
        </w:rPr>
        <w:t xml:space="preserve">19 and </w:t>
      </w:r>
      <w:r w:rsidR="000C26B2" w:rsidRPr="000C26B2">
        <w:rPr>
          <w:rFonts w:asciiTheme="majorHAnsi" w:hAnsiTheme="majorHAnsi"/>
          <w:i/>
        </w:rPr>
        <w:t>PEX</w:t>
      </w:r>
      <w:r w:rsidRPr="0013327C">
        <w:rPr>
          <w:rFonts w:asciiTheme="majorHAnsi" w:hAnsiTheme="majorHAnsi"/>
        </w:rPr>
        <w:t xml:space="preserve">5 distributions </w:t>
      </w:r>
      <w:proofErr w:type="gramStart"/>
      <w:r w:rsidRPr="0013327C">
        <w:rPr>
          <w:rFonts w:asciiTheme="majorHAnsi" w:hAnsiTheme="majorHAnsi"/>
        </w:rPr>
        <w:t>overlap  with</w:t>
      </w:r>
      <w:proofErr w:type="gramEnd"/>
      <w:r w:rsidRPr="0013327C">
        <w:rPr>
          <w:rFonts w:asciiTheme="majorHAnsi" w:hAnsiTheme="majorHAnsi"/>
        </w:rPr>
        <w:t xml:space="preserve"> the mean (µ) which shows that while these KDs are capable of producing strongly aberrant phenotypes, they are also  capable of producing average data. Compare this with </w:t>
      </w:r>
      <w:r w:rsidR="000C26B2" w:rsidRPr="000C26B2">
        <w:rPr>
          <w:rFonts w:asciiTheme="majorHAnsi" w:hAnsiTheme="majorHAnsi"/>
          <w:i/>
        </w:rPr>
        <w:t>PEX</w:t>
      </w:r>
      <w:r w:rsidRPr="0013327C">
        <w:rPr>
          <w:rFonts w:asciiTheme="majorHAnsi" w:hAnsiTheme="majorHAnsi"/>
        </w:rPr>
        <w:t>16 or nmd where the distributions are so disparate from the genome wide probes, a low scoring value from these probes would still produce a large z-score because it caused a highly aberrant phenotype.</w:t>
      </w:r>
    </w:p>
    <w:tbl>
      <w:tblPr>
        <w:tblW w:w="6020" w:type="dxa"/>
        <w:jc w:val="center"/>
        <w:tblCellMar>
          <w:left w:w="0" w:type="dxa"/>
          <w:right w:w="0" w:type="dxa"/>
        </w:tblCellMar>
        <w:tblLook w:val="04A0"/>
      </w:tblPr>
      <w:tblGrid>
        <w:gridCol w:w="1866"/>
        <w:gridCol w:w="1304"/>
        <w:gridCol w:w="863"/>
        <w:gridCol w:w="1987"/>
      </w:tblGrid>
      <w:tr w:rsidR="00C3380A" w:rsidRPr="0013327C" w:rsidTr="00BC3B3C">
        <w:trPr>
          <w:trHeight w:val="388"/>
          <w:jc w:val="center"/>
        </w:trPr>
        <w:tc>
          <w:tcPr>
            <w:tcW w:w="1860" w:type="dxa"/>
            <w:tcBorders>
              <w:top w:val="nil"/>
              <w:left w:val="nil"/>
              <w:bottom w:val="nil"/>
              <w:right w:val="nil"/>
            </w:tcBorders>
            <w:shd w:val="clear" w:color="auto" w:fill="auto"/>
            <w:tcMar>
              <w:top w:w="12" w:type="dxa"/>
              <w:left w:w="12" w:type="dxa"/>
              <w:bottom w:w="0" w:type="dxa"/>
              <w:right w:w="12" w:type="dxa"/>
            </w:tcMar>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b/>
                <w:bCs/>
                <w:color w:val="000000"/>
                <w:kern w:val="24"/>
                <w:sz w:val="24"/>
                <w:szCs w:val="24"/>
                <w:lang w:eastAsia="en-GB"/>
              </w:rPr>
              <w:t xml:space="preserve">Control </w:t>
            </w:r>
          </w:p>
        </w:tc>
        <w:tc>
          <w:tcPr>
            <w:tcW w:w="1300" w:type="dxa"/>
            <w:tcBorders>
              <w:top w:val="nil"/>
              <w:left w:val="nil"/>
              <w:bottom w:val="nil"/>
              <w:right w:val="nil"/>
            </w:tcBorders>
            <w:shd w:val="clear" w:color="auto" w:fill="auto"/>
            <w:tcMar>
              <w:top w:w="12" w:type="dxa"/>
              <w:left w:w="12" w:type="dxa"/>
              <w:bottom w:w="0" w:type="dxa"/>
              <w:right w:w="12" w:type="dxa"/>
            </w:tcMar>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b/>
                <w:bCs/>
                <w:color w:val="000000"/>
                <w:kern w:val="24"/>
                <w:sz w:val="24"/>
                <w:szCs w:val="24"/>
                <w:lang w:eastAsia="en-GB"/>
              </w:rPr>
              <w:t>Mean</w:t>
            </w:r>
          </w:p>
        </w:tc>
        <w:tc>
          <w:tcPr>
            <w:tcW w:w="860" w:type="dxa"/>
            <w:tcBorders>
              <w:top w:val="nil"/>
              <w:left w:val="nil"/>
              <w:bottom w:val="nil"/>
              <w:right w:val="nil"/>
            </w:tcBorders>
            <w:shd w:val="clear" w:color="auto" w:fill="auto"/>
            <w:tcMar>
              <w:top w:w="12" w:type="dxa"/>
              <w:left w:w="12" w:type="dxa"/>
              <w:bottom w:w="0" w:type="dxa"/>
              <w:right w:w="12" w:type="dxa"/>
            </w:tcMar>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b/>
                <w:bCs/>
                <w:color w:val="000000"/>
                <w:kern w:val="24"/>
                <w:sz w:val="24"/>
                <w:szCs w:val="24"/>
                <w:lang w:eastAsia="en-GB"/>
              </w:rPr>
              <w:t>SD</w:t>
            </w:r>
          </w:p>
        </w:tc>
        <w:tc>
          <w:tcPr>
            <w:tcW w:w="1980" w:type="dxa"/>
            <w:tcBorders>
              <w:top w:val="nil"/>
              <w:left w:val="nil"/>
              <w:bottom w:val="nil"/>
              <w:right w:val="nil"/>
            </w:tcBorders>
            <w:shd w:val="clear" w:color="auto" w:fill="auto"/>
            <w:tcMar>
              <w:top w:w="12" w:type="dxa"/>
              <w:left w:w="12" w:type="dxa"/>
              <w:bottom w:w="0" w:type="dxa"/>
              <w:right w:w="12" w:type="dxa"/>
            </w:tcMar>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b/>
                <w:bCs/>
                <w:color w:val="000000"/>
                <w:kern w:val="24"/>
                <w:sz w:val="24"/>
                <w:szCs w:val="24"/>
                <w:lang w:eastAsia="en-GB"/>
              </w:rPr>
              <w:t>t-test</w:t>
            </w:r>
            <w:r w:rsidR="00800A66">
              <w:rPr>
                <w:rFonts w:asciiTheme="majorHAnsi" w:eastAsia="Times New Roman" w:hAnsiTheme="majorHAnsi" w:cs="Arial"/>
                <w:b/>
                <w:bCs/>
                <w:color w:val="000000"/>
                <w:kern w:val="24"/>
                <w:sz w:val="24"/>
                <w:szCs w:val="24"/>
                <w:lang w:eastAsia="en-GB"/>
              </w:rPr>
              <w:t xml:space="preserve"> P-value</w:t>
            </w:r>
            <w:r w:rsidRPr="0013327C">
              <w:rPr>
                <w:rFonts w:asciiTheme="majorHAnsi" w:eastAsia="Times New Roman" w:hAnsiTheme="majorHAnsi" w:cs="Arial"/>
                <w:b/>
                <w:bCs/>
                <w:color w:val="000000"/>
                <w:kern w:val="24"/>
                <w:sz w:val="24"/>
                <w:szCs w:val="24"/>
                <w:lang w:eastAsia="en-GB"/>
              </w:rPr>
              <w:t xml:space="preserve"> from Screen Probes</w:t>
            </w:r>
          </w:p>
        </w:tc>
      </w:tr>
      <w:tr w:rsidR="00C3380A" w:rsidRPr="0013327C" w:rsidTr="00BC3B3C">
        <w:trPr>
          <w:trHeight w:val="388"/>
          <w:jc w:val="center"/>
        </w:trPr>
        <w:tc>
          <w:tcPr>
            <w:tcW w:w="1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b/>
                <w:bCs/>
                <w:color w:val="000000"/>
                <w:kern w:val="24"/>
                <w:sz w:val="24"/>
                <w:szCs w:val="24"/>
                <w:lang w:eastAsia="en-GB"/>
              </w:rPr>
              <w:t>nmd</w:t>
            </w:r>
          </w:p>
        </w:tc>
        <w:tc>
          <w:tcPr>
            <w:tcW w:w="130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 xml:space="preserve">-9.51 </w:t>
            </w:r>
          </w:p>
        </w:tc>
        <w:tc>
          <w:tcPr>
            <w:tcW w:w="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1.73</w:t>
            </w:r>
          </w:p>
        </w:tc>
        <w:tc>
          <w:tcPr>
            <w:tcW w:w="198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F3686C" w:rsidP="00AE0264">
            <w:pPr>
              <w:spacing w:after="0" w:line="240" w:lineRule="auto"/>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sz w:val="24"/>
                <w:szCs w:val="24"/>
                <w:lang w:eastAsia="en-GB"/>
              </w:rPr>
              <w:t>7.52x</w:t>
            </w:r>
            <w:r w:rsidR="00C3380A" w:rsidRPr="0013327C">
              <w:rPr>
                <w:rFonts w:asciiTheme="majorHAnsi" w:eastAsia="Times New Roman" w:hAnsiTheme="majorHAnsi" w:cs="Arial"/>
                <w:color w:val="000000"/>
                <w:kern w:val="24"/>
                <w:sz w:val="24"/>
                <w:szCs w:val="24"/>
                <w:lang w:eastAsia="en-GB"/>
              </w:rPr>
              <w:t>10</w:t>
            </w:r>
            <w:r w:rsidR="00C3380A" w:rsidRPr="0013327C">
              <w:rPr>
                <w:rFonts w:asciiTheme="majorHAnsi" w:eastAsia="Times New Roman" w:hAnsiTheme="majorHAnsi" w:cs="Arial"/>
                <w:color w:val="000000"/>
                <w:kern w:val="24"/>
                <w:position w:val="7"/>
                <w:sz w:val="24"/>
                <w:szCs w:val="24"/>
                <w:vertAlign w:val="superscript"/>
                <w:lang w:eastAsia="en-GB"/>
              </w:rPr>
              <w:t>-7</w:t>
            </w:r>
            <w:r w:rsidR="007A450B">
              <w:rPr>
                <w:rFonts w:asciiTheme="majorHAnsi" w:eastAsia="Times New Roman" w:hAnsiTheme="majorHAnsi" w:cs="Arial"/>
                <w:color w:val="000000"/>
                <w:kern w:val="24"/>
                <w:position w:val="7"/>
                <w:sz w:val="24"/>
                <w:szCs w:val="24"/>
                <w:vertAlign w:val="superscript"/>
                <w:lang w:eastAsia="en-GB"/>
              </w:rPr>
              <w:t>2</w:t>
            </w:r>
            <w:r w:rsidR="00C3380A" w:rsidRPr="0013327C">
              <w:rPr>
                <w:rFonts w:asciiTheme="majorHAnsi" w:eastAsia="Times New Roman" w:hAnsiTheme="majorHAnsi" w:cs="Arial"/>
                <w:color w:val="000000"/>
                <w:kern w:val="24"/>
                <w:sz w:val="24"/>
                <w:szCs w:val="24"/>
                <w:lang w:eastAsia="en-GB"/>
              </w:rPr>
              <w:t xml:space="preserve"> </w:t>
            </w:r>
          </w:p>
        </w:tc>
      </w:tr>
      <w:tr w:rsidR="00C3380A" w:rsidRPr="0013327C" w:rsidTr="00BC3B3C">
        <w:trPr>
          <w:trHeight w:val="388"/>
          <w:jc w:val="center"/>
        </w:trPr>
        <w:tc>
          <w:tcPr>
            <w:tcW w:w="1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0C26B2" w:rsidP="00AE0264">
            <w:pPr>
              <w:spacing w:after="0" w:line="240" w:lineRule="auto"/>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b/>
                <w:bCs/>
                <w:i/>
                <w:color w:val="000000"/>
                <w:kern w:val="24"/>
                <w:sz w:val="24"/>
                <w:szCs w:val="24"/>
                <w:lang w:eastAsia="en-GB"/>
              </w:rPr>
              <w:t>PEX</w:t>
            </w:r>
            <w:r w:rsidR="00C3380A" w:rsidRPr="0013327C">
              <w:rPr>
                <w:rFonts w:asciiTheme="majorHAnsi" w:eastAsia="Times New Roman" w:hAnsiTheme="majorHAnsi" w:cs="Arial"/>
                <w:b/>
                <w:bCs/>
                <w:color w:val="000000"/>
                <w:kern w:val="24"/>
                <w:sz w:val="24"/>
                <w:szCs w:val="24"/>
                <w:lang w:eastAsia="en-GB"/>
              </w:rPr>
              <w:t>16</w:t>
            </w:r>
          </w:p>
        </w:tc>
        <w:tc>
          <w:tcPr>
            <w:tcW w:w="130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 xml:space="preserve">-8.60 </w:t>
            </w:r>
          </w:p>
        </w:tc>
        <w:tc>
          <w:tcPr>
            <w:tcW w:w="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2.15</w:t>
            </w:r>
          </w:p>
        </w:tc>
        <w:tc>
          <w:tcPr>
            <w:tcW w:w="198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F3686C" w:rsidP="00AE0264">
            <w:pPr>
              <w:spacing w:after="0" w:line="240" w:lineRule="auto"/>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sz w:val="24"/>
                <w:szCs w:val="24"/>
                <w:lang w:eastAsia="en-GB"/>
              </w:rPr>
              <w:t>8.44x</w:t>
            </w:r>
            <w:r w:rsidR="00C3380A" w:rsidRPr="0013327C">
              <w:rPr>
                <w:rFonts w:asciiTheme="majorHAnsi" w:eastAsia="Times New Roman" w:hAnsiTheme="majorHAnsi" w:cs="Arial"/>
                <w:color w:val="000000"/>
                <w:kern w:val="24"/>
                <w:sz w:val="24"/>
                <w:szCs w:val="24"/>
                <w:lang w:eastAsia="en-GB"/>
              </w:rPr>
              <w:t>10</w:t>
            </w:r>
            <w:r w:rsidR="00C3380A" w:rsidRPr="0013327C">
              <w:rPr>
                <w:rFonts w:asciiTheme="majorHAnsi" w:eastAsia="Times New Roman" w:hAnsiTheme="majorHAnsi" w:cs="Arial"/>
                <w:color w:val="000000"/>
                <w:kern w:val="24"/>
                <w:position w:val="7"/>
                <w:sz w:val="24"/>
                <w:szCs w:val="24"/>
                <w:vertAlign w:val="superscript"/>
                <w:lang w:eastAsia="en-GB"/>
              </w:rPr>
              <w:t>-64</w:t>
            </w:r>
            <w:r w:rsidR="00C3380A" w:rsidRPr="0013327C">
              <w:rPr>
                <w:rFonts w:asciiTheme="majorHAnsi" w:eastAsia="Times New Roman" w:hAnsiTheme="majorHAnsi" w:cs="Arial"/>
                <w:color w:val="000000"/>
                <w:kern w:val="24"/>
                <w:sz w:val="24"/>
                <w:szCs w:val="24"/>
                <w:lang w:eastAsia="en-GB"/>
              </w:rPr>
              <w:t xml:space="preserve"> </w:t>
            </w:r>
          </w:p>
        </w:tc>
      </w:tr>
      <w:tr w:rsidR="00C3380A" w:rsidRPr="0013327C" w:rsidTr="00BC3B3C">
        <w:trPr>
          <w:trHeight w:val="388"/>
          <w:jc w:val="center"/>
        </w:trPr>
        <w:tc>
          <w:tcPr>
            <w:tcW w:w="1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b/>
                <w:bCs/>
                <w:color w:val="000000"/>
                <w:kern w:val="24"/>
                <w:sz w:val="24"/>
                <w:szCs w:val="24"/>
                <w:lang w:eastAsia="en-GB"/>
              </w:rPr>
              <w:t>Drp1</w:t>
            </w:r>
          </w:p>
        </w:tc>
        <w:tc>
          <w:tcPr>
            <w:tcW w:w="130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 xml:space="preserve">-4.52 </w:t>
            </w:r>
          </w:p>
        </w:tc>
        <w:tc>
          <w:tcPr>
            <w:tcW w:w="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1.31</w:t>
            </w:r>
          </w:p>
        </w:tc>
        <w:tc>
          <w:tcPr>
            <w:tcW w:w="198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F3686C" w:rsidP="00AE0264">
            <w:pPr>
              <w:spacing w:after="0" w:line="240" w:lineRule="auto"/>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sz w:val="24"/>
                <w:szCs w:val="24"/>
                <w:lang w:eastAsia="en-GB"/>
              </w:rPr>
              <w:t>9.94x</w:t>
            </w:r>
            <w:r w:rsidR="00C3380A" w:rsidRPr="0013327C">
              <w:rPr>
                <w:rFonts w:asciiTheme="majorHAnsi" w:eastAsia="Times New Roman" w:hAnsiTheme="majorHAnsi" w:cs="Arial"/>
                <w:color w:val="000000"/>
                <w:kern w:val="24"/>
                <w:sz w:val="24"/>
                <w:szCs w:val="24"/>
                <w:lang w:eastAsia="en-GB"/>
              </w:rPr>
              <w:t>10</w:t>
            </w:r>
            <w:r w:rsidR="00C3380A" w:rsidRPr="0013327C">
              <w:rPr>
                <w:rFonts w:asciiTheme="majorHAnsi" w:eastAsia="Times New Roman" w:hAnsiTheme="majorHAnsi" w:cs="Arial"/>
                <w:color w:val="000000"/>
                <w:kern w:val="24"/>
                <w:position w:val="7"/>
                <w:sz w:val="24"/>
                <w:szCs w:val="24"/>
                <w:vertAlign w:val="superscript"/>
                <w:lang w:eastAsia="en-GB"/>
              </w:rPr>
              <w:t>-58</w:t>
            </w:r>
            <w:r w:rsidR="00C3380A" w:rsidRPr="0013327C">
              <w:rPr>
                <w:rFonts w:asciiTheme="majorHAnsi" w:eastAsia="Times New Roman" w:hAnsiTheme="majorHAnsi" w:cs="Arial"/>
                <w:color w:val="000000"/>
                <w:kern w:val="24"/>
                <w:sz w:val="24"/>
                <w:szCs w:val="24"/>
                <w:lang w:eastAsia="en-GB"/>
              </w:rPr>
              <w:t xml:space="preserve"> </w:t>
            </w:r>
          </w:p>
        </w:tc>
      </w:tr>
      <w:tr w:rsidR="00C3380A" w:rsidRPr="0013327C" w:rsidTr="00BC3B3C">
        <w:trPr>
          <w:trHeight w:val="388"/>
          <w:jc w:val="center"/>
        </w:trPr>
        <w:tc>
          <w:tcPr>
            <w:tcW w:w="1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0C26B2" w:rsidP="00AE0264">
            <w:pPr>
              <w:spacing w:after="0" w:line="240" w:lineRule="auto"/>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b/>
                <w:bCs/>
                <w:i/>
                <w:color w:val="000000"/>
                <w:kern w:val="24"/>
                <w:sz w:val="24"/>
                <w:szCs w:val="24"/>
                <w:lang w:eastAsia="en-GB"/>
              </w:rPr>
              <w:t>PEX</w:t>
            </w:r>
            <w:r w:rsidR="00C3380A" w:rsidRPr="0013327C">
              <w:rPr>
                <w:rFonts w:asciiTheme="majorHAnsi" w:eastAsia="Times New Roman" w:hAnsiTheme="majorHAnsi" w:cs="Arial"/>
                <w:b/>
                <w:bCs/>
                <w:color w:val="000000"/>
                <w:kern w:val="24"/>
                <w:sz w:val="24"/>
                <w:szCs w:val="24"/>
                <w:lang w:eastAsia="en-GB"/>
              </w:rPr>
              <w:t>3</w:t>
            </w:r>
          </w:p>
        </w:tc>
        <w:tc>
          <w:tcPr>
            <w:tcW w:w="130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 xml:space="preserve">-3.70 </w:t>
            </w:r>
          </w:p>
        </w:tc>
        <w:tc>
          <w:tcPr>
            <w:tcW w:w="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1.10</w:t>
            </w:r>
          </w:p>
        </w:tc>
        <w:tc>
          <w:tcPr>
            <w:tcW w:w="198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F3686C" w:rsidP="00AE0264">
            <w:pPr>
              <w:spacing w:after="0" w:line="240" w:lineRule="auto"/>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sz w:val="24"/>
                <w:szCs w:val="24"/>
                <w:lang w:eastAsia="en-GB"/>
              </w:rPr>
              <w:t>2.02x</w:t>
            </w:r>
            <w:r w:rsidR="00C3380A" w:rsidRPr="0013327C">
              <w:rPr>
                <w:rFonts w:asciiTheme="majorHAnsi" w:eastAsia="Times New Roman" w:hAnsiTheme="majorHAnsi" w:cs="Arial"/>
                <w:color w:val="000000"/>
                <w:kern w:val="24"/>
                <w:sz w:val="24"/>
                <w:szCs w:val="24"/>
                <w:lang w:eastAsia="en-GB"/>
              </w:rPr>
              <w:t>10</w:t>
            </w:r>
            <w:r w:rsidR="00C3380A" w:rsidRPr="0013327C">
              <w:rPr>
                <w:rFonts w:asciiTheme="majorHAnsi" w:eastAsia="Times New Roman" w:hAnsiTheme="majorHAnsi" w:cs="Arial"/>
                <w:color w:val="000000"/>
                <w:kern w:val="24"/>
                <w:position w:val="7"/>
                <w:sz w:val="24"/>
                <w:szCs w:val="24"/>
                <w:vertAlign w:val="superscript"/>
                <w:lang w:eastAsia="en-GB"/>
              </w:rPr>
              <w:t>-57</w:t>
            </w:r>
            <w:r w:rsidR="00C3380A" w:rsidRPr="0013327C">
              <w:rPr>
                <w:rFonts w:asciiTheme="majorHAnsi" w:eastAsia="Times New Roman" w:hAnsiTheme="majorHAnsi" w:cs="Arial"/>
                <w:color w:val="000000"/>
                <w:kern w:val="24"/>
                <w:sz w:val="24"/>
                <w:szCs w:val="24"/>
                <w:lang w:eastAsia="en-GB"/>
              </w:rPr>
              <w:t xml:space="preserve"> </w:t>
            </w:r>
          </w:p>
        </w:tc>
      </w:tr>
      <w:tr w:rsidR="00C3380A" w:rsidRPr="0013327C" w:rsidTr="00BC3B3C">
        <w:trPr>
          <w:trHeight w:val="388"/>
          <w:jc w:val="center"/>
        </w:trPr>
        <w:tc>
          <w:tcPr>
            <w:tcW w:w="1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0C26B2" w:rsidP="00AE0264">
            <w:pPr>
              <w:spacing w:after="0" w:line="240" w:lineRule="auto"/>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b/>
                <w:bCs/>
                <w:i/>
                <w:color w:val="000000"/>
                <w:kern w:val="24"/>
                <w:sz w:val="24"/>
                <w:szCs w:val="24"/>
                <w:lang w:eastAsia="en-GB"/>
              </w:rPr>
              <w:t>PEX</w:t>
            </w:r>
            <w:r w:rsidR="00C3380A" w:rsidRPr="0013327C">
              <w:rPr>
                <w:rFonts w:asciiTheme="majorHAnsi" w:eastAsia="Times New Roman" w:hAnsiTheme="majorHAnsi" w:cs="Arial"/>
                <w:b/>
                <w:bCs/>
                <w:color w:val="000000"/>
                <w:kern w:val="24"/>
                <w:sz w:val="24"/>
                <w:szCs w:val="24"/>
                <w:lang w:eastAsia="en-GB"/>
              </w:rPr>
              <w:t>5</w:t>
            </w:r>
          </w:p>
        </w:tc>
        <w:tc>
          <w:tcPr>
            <w:tcW w:w="130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 xml:space="preserve">-2.55 </w:t>
            </w:r>
          </w:p>
        </w:tc>
        <w:tc>
          <w:tcPr>
            <w:tcW w:w="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1.38</w:t>
            </w:r>
          </w:p>
        </w:tc>
        <w:tc>
          <w:tcPr>
            <w:tcW w:w="198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F3686C" w:rsidP="00AE0264">
            <w:pPr>
              <w:spacing w:after="0" w:line="240" w:lineRule="auto"/>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sz w:val="24"/>
                <w:szCs w:val="24"/>
                <w:lang w:eastAsia="en-GB"/>
              </w:rPr>
              <w:t>5.51x</w:t>
            </w:r>
            <w:r w:rsidR="00C3380A" w:rsidRPr="0013327C">
              <w:rPr>
                <w:rFonts w:asciiTheme="majorHAnsi" w:eastAsia="Times New Roman" w:hAnsiTheme="majorHAnsi" w:cs="Arial"/>
                <w:color w:val="000000"/>
                <w:kern w:val="24"/>
                <w:sz w:val="24"/>
                <w:szCs w:val="24"/>
                <w:lang w:eastAsia="en-GB"/>
              </w:rPr>
              <w:t>10</w:t>
            </w:r>
            <w:r w:rsidR="00C3380A" w:rsidRPr="0013327C">
              <w:rPr>
                <w:rFonts w:asciiTheme="majorHAnsi" w:eastAsia="Times New Roman" w:hAnsiTheme="majorHAnsi" w:cs="Arial"/>
                <w:color w:val="000000"/>
                <w:kern w:val="24"/>
                <w:position w:val="7"/>
                <w:sz w:val="24"/>
                <w:szCs w:val="24"/>
                <w:vertAlign w:val="superscript"/>
                <w:lang w:eastAsia="en-GB"/>
              </w:rPr>
              <w:t>-33</w:t>
            </w:r>
            <w:r w:rsidR="00C3380A" w:rsidRPr="0013327C">
              <w:rPr>
                <w:rFonts w:asciiTheme="majorHAnsi" w:eastAsia="Times New Roman" w:hAnsiTheme="majorHAnsi" w:cs="Arial"/>
                <w:color w:val="000000"/>
                <w:kern w:val="24"/>
                <w:sz w:val="24"/>
                <w:szCs w:val="24"/>
                <w:lang w:eastAsia="en-GB"/>
              </w:rPr>
              <w:t xml:space="preserve"> </w:t>
            </w:r>
          </w:p>
        </w:tc>
      </w:tr>
      <w:tr w:rsidR="00C3380A" w:rsidRPr="0013327C" w:rsidTr="00BC3B3C">
        <w:trPr>
          <w:trHeight w:val="388"/>
          <w:jc w:val="center"/>
        </w:trPr>
        <w:tc>
          <w:tcPr>
            <w:tcW w:w="1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0C26B2" w:rsidP="00AE0264">
            <w:pPr>
              <w:spacing w:after="0" w:line="240" w:lineRule="auto"/>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b/>
                <w:bCs/>
                <w:i/>
                <w:color w:val="000000"/>
                <w:kern w:val="24"/>
                <w:sz w:val="24"/>
                <w:szCs w:val="24"/>
                <w:lang w:eastAsia="en-GB"/>
              </w:rPr>
              <w:t>PEX</w:t>
            </w:r>
            <w:r w:rsidR="00C3380A" w:rsidRPr="0013327C">
              <w:rPr>
                <w:rFonts w:asciiTheme="majorHAnsi" w:eastAsia="Times New Roman" w:hAnsiTheme="majorHAnsi" w:cs="Arial"/>
                <w:b/>
                <w:bCs/>
                <w:color w:val="000000"/>
                <w:kern w:val="24"/>
                <w:sz w:val="24"/>
                <w:szCs w:val="24"/>
                <w:lang w:eastAsia="en-GB"/>
              </w:rPr>
              <w:t>19</w:t>
            </w:r>
          </w:p>
        </w:tc>
        <w:tc>
          <w:tcPr>
            <w:tcW w:w="130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 xml:space="preserve">-1.63 </w:t>
            </w:r>
          </w:p>
        </w:tc>
        <w:tc>
          <w:tcPr>
            <w:tcW w:w="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3.77</w:t>
            </w:r>
          </w:p>
        </w:tc>
        <w:tc>
          <w:tcPr>
            <w:tcW w:w="198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F3686C" w:rsidP="00AE0264">
            <w:pPr>
              <w:spacing w:after="0" w:line="240" w:lineRule="auto"/>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sz w:val="24"/>
                <w:szCs w:val="24"/>
                <w:lang w:eastAsia="en-GB"/>
              </w:rPr>
              <w:t>1.59x</w:t>
            </w:r>
            <w:r w:rsidR="00C3380A" w:rsidRPr="0013327C">
              <w:rPr>
                <w:rFonts w:asciiTheme="majorHAnsi" w:eastAsia="Times New Roman" w:hAnsiTheme="majorHAnsi" w:cs="Arial"/>
                <w:color w:val="000000"/>
                <w:kern w:val="24"/>
                <w:sz w:val="24"/>
                <w:szCs w:val="24"/>
                <w:lang w:eastAsia="en-GB"/>
              </w:rPr>
              <w:t>10</w:t>
            </w:r>
            <w:r w:rsidR="00C3380A" w:rsidRPr="0013327C">
              <w:rPr>
                <w:rFonts w:asciiTheme="majorHAnsi" w:eastAsia="Times New Roman" w:hAnsiTheme="majorHAnsi" w:cs="Arial"/>
                <w:color w:val="000000"/>
                <w:kern w:val="24"/>
                <w:position w:val="7"/>
                <w:sz w:val="24"/>
                <w:szCs w:val="24"/>
                <w:vertAlign w:val="superscript"/>
                <w:lang w:eastAsia="en-GB"/>
              </w:rPr>
              <w:t>-04</w:t>
            </w:r>
            <w:r w:rsidR="00C3380A" w:rsidRPr="0013327C">
              <w:rPr>
                <w:rFonts w:asciiTheme="majorHAnsi" w:eastAsia="Times New Roman" w:hAnsiTheme="majorHAnsi" w:cs="Arial"/>
                <w:color w:val="000000"/>
                <w:kern w:val="24"/>
                <w:sz w:val="24"/>
                <w:szCs w:val="24"/>
                <w:lang w:eastAsia="en-GB"/>
              </w:rPr>
              <w:t xml:space="preserve"> </w:t>
            </w:r>
          </w:p>
        </w:tc>
      </w:tr>
      <w:tr w:rsidR="00C3380A" w:rsidRPr="0013327C" w:rsidTr="00BC3B3C">
        <w:trPr>
          <w:trHeight w:val="388"/>
          <w:jc w:val="center"/>
        </w:trPr>
        <w:tc>
          <w:tcPr>
            <w:tcW w:w="1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0C26B2" w:rsidP="00AE0264">
            <w:pPr>
              <w:spacing w:after="0" w:line="240" w:lineRule="auto"/>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b/>
                <w:bCs/>
                <w:i/>
                <w:color w:val="000000"/>
                <w:kern w:val="24"/>
                <w:sz w:val="24"/>
                <w:szCs w:val="24"/>
                <w:lang w:eastAsia="en-GB"/>
              </w:rPr>
              <w:t>PEX</w:t>
            </w:r>
            <w:r w:rsidR="00C3380A" w:rsidRPr="0013327C">
              <w:rPr>
                <w:rFonts w:asciiTheme="majorHAnsi" w:eastAsia="Times New Roman" w:hAnsiTheme="majorHAnsi" w:cs="Arial"/>
                <w:b/>
                <w:bCs/>
                <w:color w:val="000000"/>
                <w:kern w:val="24"/>
                <w:sz w:val="24"/>
                <w:szCs w:val="24"/>
                <w:lang w:eastAsia="en-GB"/>
              </w:rPr>
              <w:t>1</w:t>
            </w:r>
            <w:r w:rsidR="00C3380A" w:rsidRPr="0013327C">
              <w:rPr>
                <w:rFonts w:asciiTheme="majorHAnsi" w:eastAsia="Times New Roman" w:hAnsiTheme="majorHAnsi" w:cs="Arial"/>
                <w:b/>
                <w:bCs/>
                <w:color w:val="FF0000"/>
                <w:kern w:val="24"/>
                <w:sz w:val="24"/>
                <w:szCs w:val="24"/>
                <w:lang w:eastAsia="en-GB"/>
              </w:rPr>
              <w:t xml:space="preserve">‡ </w:t>
            </w:r>
          </w:p>
        </w:tc>
        <w:tc>
          <w:tcPr>
            <w:tcW w:w="130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 xml:space="preserve">-0.17 </w:t>
            </w:r>
          </w:p>
        </w:tc>
        <w:tc>
          <w:tcPr>
            <w:tcW w:w="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0.79</w:t>
            </w:r>
          </w:p>
        </w:tc>
        <w:tc>
          <w:tcPr>
            <w:tcW w:w="198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F3686C" w:rsidP="00AE0264">
            <w:pPr>
              <w:spacing w:after="0" w:line="240" w:lineRule="auto"/>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sz w:val="24"/>
                <w:szCs w:val="24"/>
                <w:lang w:eastAsia="en-GB"/>
              </w:rPr>
              <w:t>6.47x</w:t>
            </w:r>
            <w:r w:rsidR="00C3380A" w:rsidRPr="0013327C">
              <w:rPr>
                <w:rFonts w:asciiTheme="majorHAnsi" w:eastAsia="Times New Roman" w:hAnsiTheme="majorHAnsi" w:cs="Arial"/>
                <w:color w:val="000000"/>
                <w:kern w:val="24"/>
                <w:sz w:val="24"/>
                <w:szCs w:val="24"/>
                <w:lang w:eastAsia="en-GB"/>
              </w:rPr>
              <w:t>10</w:t>
            </w:r>
            <w:r w:rsidR="00C3380A" w:rsidRPr="0013327C">
              <w:rPr>
                <w:rFonts w:asciiTheme="majorHAnsi" w:eastAsia="Times New Roman" w:hAnsiTheme="majorHAnsi" w:cs="Arial"/>
                <w:color w:val="000000"/>
                <w:kern w:val="24"/>
                <w:position w:val="7"/>
                <w:sz w:val="24"/>
                <w:szCs w:val="24"/>
                <w:vertAlign w:val="superscript"/>
                <w:lang w:eastAsia="en-GB"/>
              </w:rPr>
              <w:t>-02</w:t>
            </w:r>
            <w:r w:rsidR="00C3380A" w:rsidRPr="0013327C">
              <w:rPr>
                <w:rFonts w:asciiTheme="majorHAnsi" w:eastAsia="Times New Roman" w:hAnsiTheme="majorHAnsi" w:cs="Arial"/>
                <w:color w:val="000000"/>
                <w:kern w:val="24"/>
                <w:sz w:val="24"/>
                <w:szCs w:val="24"/>
                <w:lang w:eastAsia="en-GB"/>
              </w:rPr>
              <w:t xml:space="preserve"> </w:t>
            </w:r>
          </w:p>
        </w:tc>
      </w:tr>
      <w:tr w:rsidR="00C3380A" w:rsidRPr="0013327C" w:rsidTr="00BC3B3C">
        <w:trPr>
          <w:trHeight w:val="388"/>
          <w:jc w:val="center"/>
        </w:trPr>
        <w:tc>
          <w:tcPr>
            <w:tcW w:w="1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b/>
                <w:bCs/>
                <w:color w:val="000000"/>
                <w:kern w:val="24"/>
                <w:sz w:val="24"/>
                <w:szCs w:val="24"/>
                <w:lang w:eastAsia="en-GB"/>
              </w:rPr>
              <w:t>Ints12</w:t>
            </w:r>
          </w:p>
        </w:tc>
        <w:tc>
          <w:tcPr>
            <w:tcW w:w="130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 xml:space="preserve">0.14 </w:t>
            </w:r>
          </w:p>
        </w:tc>
        <w:tc>
          <w:tcPr>
            <w:tcW w:w="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0.68</w:t>
            </w:r>
          </w:p>
        </w:tc>
        <w:tc>
          <w:tcPr>
            <w:tcW w:w="198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F3686C" w:rsidP="00AE0264">
            <w:pPr>
              <w:spacing w:after="0" w:line="240" w:lineRule="auto"/>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sz w:val="24"/>
                <w:szCs w:val="24"/>
                <w:lang w:eastAsia="en-GB"/>
              </w:rPr>
              <w:t>3.04x</w:t>
            </w:r>
            <w:r w:rsidR="00C3380A" w:rsidRPr="0013327C">
              <w:rPr>
                <w:rFonts w:asciiTheme="majorHAnsi" w:eastAsia="Times New Roman" w:hAnsiTheme="majorHAnsi" w:cs="Arial"/>
                <w:color w:val="000000"/>
                <w:kern w:val="24"/>
                <w:sz w:val="24"/>
                <w:szCs w:val="24"/>
                <w:lang w:eastAsia="en-GB"/>
              </w:rPr>
              <w:t>10</w:t>
            </w:r>
            <w:r w:rsidR="00C3380A" w:rsidRPr="0013327C">
              <w:rPr>
                <w:rFonts w:asciiTheme="majorHAnsi" w:eastAsia="Times New Roman" w:hAnsiTheme="majorHAnsi" w:cs="Arial"/>
                <w:color w:val="000000"/>
                <w:kern w:val="24"/>
                <w:position w:val="7"/>
                <w:sz w:val="24"/>
                <w:szCs w:val="24"/>
                <w:vertAlign w:val="superscript"/>
                <w:lang w:eastAsia="en-GB"/>
              </w:rPr>
              <w:t>-11</w:t>
            </w:r>
            <w:r w:rsidR="00C3380A" w:rsidRPr="0013327C">
              <w:rPr>
                <w:rFonts w:asciiTheme="majorHAnsi" w:eastAsia="Times New Roman" w:hAnsiTheme="majorHAnsi" w:cs="Arial"/>
                <w:color w:val="000000"/>
                <w:kern w:val="24"/>
                <w:sz w:val="24"/>
                <w:szCs w:val="24"/>
                <w:lang w:eastAsia="en-GB"/>
              </w:rPr>
              <w:t xml:space="preserve"> </w:t>
            </w:r>
          </w:p>
        </w:tc>
      </w:tr>
      <w:tr w:rsidR="00C3380A" w:rsidRPr="0013327C" w:rsidTr="00BC3B3C">
        <w:trPr>
          <w:trHeight w:val="388"/>
          <w:jc w:val="center"/>
        </w:trPr>
        <w:tc>
          <w:tcPr>
            <w:tcW w:w="1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b/>
                <w:bCs/>
                <w:color w:val="000000"/>
                <w:kern w:val="24"/>
                <w:sz w:val="24"/>
                <w:szCs w:val="24"/>
                <w:lang w:eastAsia="en-GB"/>
              </w:rPr>
              <w:t>Empty</w:t>
            </w:r>
          </w:p>
        </w:tc>
        <w:tc>
          <w:tcPr>
            <w:tcW w:w="130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0.02</w:t>
            </w:r>
          </w:p>
        </w:tc>
        <w:tc>
          <w:tcPr>
            <w:tcW w:w="86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4"/>
                <w:szCs w:val="24"/>
                <w:lang w:eastAsia="en-GB"/>
              </w:rPr>
              <w:t>0.89</w:t>
            </w:r>
          </w:p>
        </w:tc>
        <w:tc>
          <w:tcPr>
            <w:tcW w:w="1980" w:type="dxa"/>
            <w:tcBorders>
              <w:top w:val="nil"/>
              <w:left w:val="nil"/>
              <w:bottom w:val="nil"/>
              <w:right w:val="nil"/>
            </w:tcBorders>
            <w:shd w:val="clear" w:color="auto" w:fill="auto"/>
            <w:tcMar>
              <w:top w:w="12" w:type="dxa"/>
              <w:left w:w="12" w:type="dxa"/>
              <w:bottom w:w="0" w:type="dxa"/>
              <w:right w:w="12" w:type="dxa"/>
            </w:tcMar>
            <w:vAlign w:val="bottom"/>
            <w:hideMark/>
          </w:tcPr>
          <w:p w:rsidR="00C3380A" w:rsidRPr="0013327C" w:rsidRDefault="00F3686C" w:rsidP="00AE0264">
            <w:pPr>
              <w:spacing w:after="0" w:line="240" w:lineRule="auto"/>
              <w:jc w:val="both"/>
              <w:textAlignment w:val="bottom"/>
              <w:rPr>
                <w:rFonts w:asciiTheme="majorHAnsi" w:eastAsia="Times New Roman" w:hAnsiTheme="majorHAnsi" w:cs="Arial"/>
                <w:sz w:val="36"/>
                <w:szCs w:val="36"/>
                <w:lang w:eastAsia="en-GB"/>
              </w:rPr>
            </w:pPr>
            <w:r>
              <w:rPr>
                <w:rFonts w:asciiTheme="majorHAnsi" w:eastAsia="Times New Roman" w:hAnsiTheme="majorHAnsi" w:cs="Arial"/>
                <w:color w:val="000000"/>
                <w:kern w:val="24"/>
                <w:sz w:val="24"/>
                <w:szCs w:val="24"/>
                <w:lang w:eastAsia="en-GB"/>
              </w:rPr>
              <w:t>1.78x</w:t>
            </w:r>
            <w:r w:rsidR="00C3380A" w:rsidRPr="0013327C">
              <w:rPr>
                <w:rFonts w:asciiTheme="majorHAnsi" w:eastAsia="Times New Roman" w:hAnsiTheme="majorHAnsi" w:cs="Arial"/>
                <w:color w:val="000000"/>
                <w:kern w:val="24"/>
                <w:sz w:val="24"/>
                <w:szCs w:val="24"/>
                <w:lang w:eastAsia="en-GB"/>
              </w:rPr>
              <w:t>10</w:t>
            </w:r>
            <w:r w:rsidR="00C3380A" w:rsidRPr="0013327C">
              <w:rPr>
                <w:rFonts w:asciiTheme="majorHAnsi" w:eastAsia="Times New Roman" w:hAnsiTheme="majorHAnsi" w:cs="Arial"/>
                <w:color w:val="000000"/>
                <w:kern w:val="24"/>
                <w:position w:val="7"/>
                <w:sz w:val="24"/>
                <w:szCs w:val="24"/>
                <w:vertAlign w:val="superscript"/>
                <w:lang w:eastAsia="en-GB"/>
              </w:rPr>
              <w:t>-05</w:t>
            </w:r>
            <w:r w:rsidR="00C3380A" w:rsidRPr="0013327C">
              <w:rPr>
                <w:rFonts w:asciiTheme="majorHAnsi" w:eastAsia="Times New Roman" w:hAnsiTheme="majorHAnsi" w:cs="Arial"/>
                <w:color w:val="000000"/>
                <w:kern w:val="24"/>
                <w:sz w:val="24"/>
                <w:szCs w:val="24"/>
                <w:lang w:eastAsia="en-GB"/>
              </w:rPr>
              <w:t xml:space="preserve"> </w:t>
            </w:r>
          </w:p>
        </w:tc>
      </w:tr>
    </w:tbl>
    <w:p w:rsidR="00C3380A" w:rsidRPr="0013327C" w:rsidRDefault="00800A66" w:rsidP="00AE0264">
      <w:pPr>
        <w:jc w:val="both"/>
        <w:rPr>
          <w:rFonts w:asciiTheme="majorHAnsi" w:hAnsiTheme="majorHAnsi"/>
          <w:b/>
        </w:rPr>
      </w:pPr>
      <w:proofErr w:type="gramStart"/>
      <w:r>
        <w:rPr>
          <w:rFonts w:asciiTheme="majorHAnsi" w:hAnsiTheme="majorHAnsi"/>
          <w:b/>
        </w:rPr>
        <w:t>Table</w:t>
      </w:r>
      <w:r w:rsidR="00BC3B3C">
        <w:rPr>
          <w:rFonts w:asciiTheme="majorHAnsi" w:hAnsiTheme="majorHAnsi"/>
          <w:b/>
        </w:rPr>
        <w:t xml:space="preserve"> 4.6</w:t>
      </w:r>
      <w:r w:rsidR="00C3380A" w:rsidRPr="0013327C">
        <w:rPr>
          <w:rFonts w:asciiTheme="majorHAnsi" w:hAnsiTheme="majorHAnsi"/>
          <w:b/>
        </w:rPr>
        <w:t>.</w:t>
      </w:r>
      <w:proofErr w:type="gramEnd"/>
      <w:r w:rsidR="00C3380A" w:rsidRPr="0013327C">
        <w:rPr>
          <w:rFonts w:asciiTheme="majorHAnsi" w:hAnsiTheme="majorHAnsi"/>
          <w:b/>
        </w:rPr>
        <w:t xml:space="preserve"> </w:t>
      </w:r>
      <w:proofErr w:type="gramStart"/>
      <w:r w:rsidR="00C3380A" w:rsidRPr="0013327C">
        <w:rPr>
          <w:rFonts w:asciiTheme="majorHAnsi" w:hAnsiTheme="majorHAnsi"/>
          <w:b/>
        </w:rPr>
        <w:t xml:space="preserve">The mean and standard deviation of each probe’s distributions of normalised data in terms of </w:t>
      </w:r>
      <w:r w:rsidR="00E0200E">
        <w:rPr>
          <w:rFonts w:asciiTheme="majorHAnsi" w:hAnsiTheme="majorHAnsi"/>
          <w:b/>
        </w:rPr>
        <w:t>Z</w:t>
      </w:r>
      <w:r w:rsidR="00C3380A" w:rsidRPr="0013327C">
        <w:rPr>
          <w:rFonts w:asciiTheme="majorHAnsi" w:hAnsiTheme="majorHAnsi"/>
          <w:b/>
        </w:rPr>
        <w:t>-scores</w:t>
      </w:r>
      <w:r w:rsidR="007037D2">
        <w:rPr>
          <w:rFonts w:asciiTheme="majorHAnsi" w:hAnsiTheme="majorHAnsi"/>
          <w:b/>
        </w:rPr>
        <w:t xml:space="preserve"> for Screen 2</w:t>
      </w:r>
      <w:r w:rsidR="00C3380A" w:rsidRPr="0013327C">
        <w:rPr>
          <w:rFonts w:asciiTheme="majorHAnsi" w:hAnsiTheme="majorHAnsi"/>
          <w:b/>
        </w:rPr>
        <w:t>.</w:t>
      </w:r>
      <w:proofErr w:type="gramEnd"/>
      <w:r w:rsidR="00C3380A" w:rsidRPr="0013327C">
        <w:rPr>
          <w:rFonts w:asciiTheme="majorHAnsi" w:hAnsiTheme="majorHAnsi"/>
          <w:b/>
        </w:rPr>
        <w:t xml:space="preserve"> </w:t>
      </w:r>
      <w:r w:rsidR="00C3380A" w:rsidRPr="0013327C">
        <w:rPr>
          <w:rFonts w:asciiTheme="majorHAnsi" w:hAnsiTheme="majorHAnsi"/>
        </w:rPr>
        <w:t xml:space="preserve">Each distribution was compared to the genome-wide screen’s distribution using a two-tailed, multi-variance t-test. </w:t>
      </w:r>
      <w:r w:rsidR="00C3380A" w:rsidRPr="0013327C">
        <w:rPr>
          <w:rFonts w:asciiTheme="majorHAnsi" w:eastAsia="Times New Roman" w:hAnsiTheme="majorHAnsi" w:cs="Arial"/>
          <w:b/>
          <w:bCs/>
          <w:color w:val="FF0000"/>
          <w:kern w:val="24"/>
          <w:sz w:val="24"/>
          <w:szCs w:val="24"/>
          <w:lang w:eastAsia="en-GB"/>
        </w:rPr>
        <w:t xml:space="preserve">‡ </w:t>
      </w:r>
      <w:r w:rsidR="00C3380A" w:rsidRPr="0013327C">
        <w:rPr>
          <w:rFonts w:asciiTheme="majorHAnsi" w:hAnsiTheme="majorHAnsi"/>
        </w:rPr>
        <w:t xml:space="preserve">Only </w:t>
      </w:r>
      <w:r w:rsidR="000C26B2" w:rsidRPr="000C26B2">
        <w:rPr>
          <w:rFonts w:asciiTheme="majorHAnsi" w:hAnsiTheme="majorHAnsi"/>
          <w:i/>
        </w:rPr>
        <w:t>PEX</w:t>
      </w:r>
      <w:r w:rsidR="00C3380A" w:rsidRPr="0013327C">
        <w:rPr>
          <w:rFonts w:asciiTheme="majorHAnsi" w:hAnsiTheme="majorHAnsi"/>
        </w:rPr>
        <w:t xml:space="preserve">1 had a </w:t>
      </w:r>
      <w:r w:rsidR="007A450B">
        <w:rPr>
          <w:rFonts w:asciiTheme="majorHAnsi" w:hAnsiTheme="majorHAnsi"/>
        </w:rPr>
        <w:t>t-test</w:t>
      </w:r>
      <w:r w:rsidR="00C3380A" w:rsidRPr="0013327C">
        <w:rPr>
          <w:rFonts w:asciiTheme="majorHAnsi" w:hAnsiTheme="majorHAnsi"/>
        </w:rPr>
        <w:t xml:space="preserve"> that did not reach a confidence interval of 0.05, all other probes had statistically different distributions.</w:t>
      </w:r>
    </w:p>
    <w:p w:rsidR="00C3380A" w:rsidRPr="0013327C" w:rsidRDefault="00C3380A" w:rsidP="00AE0264">
      <w:pPr>
        <w:jc w:val="both"/>
        <w:rPr>
          <w:rFonts w:asciiTheme="majorHAnsi" w:hAnsiTheme="majorHAnsi"/>
        </w:rPr>
      </w:pPr>
      <w:r w:rsidRPr="0013327C">
        <w:rPr>
          <w:rFonts w:asciiTheme="majorHAnsi" w:hAnsiTheme="majorHAnsi"/>
        </w:rPr>
        <w:t>The frequency distribution is a good visual indicator of the reproducible strength of a probe to cause a deviation in z-score. The HTS2 software has another visualisation graph for looking at the extent of the outlying individual data for each probe. A box-whisker graph shows the distribution of the σ for each probe but without any indication of frequency of the values within. What HTS2 then does is mark on the graph where the outliers for each probe have scored with a hollow ring. This can be seen in Figure 4.</w:t>
      </w:r>
      <w:r w:rsidR="00AE7EC2">
        <w:rPr>
          <w:rFonts w:asciiTheme="majorHAnsi" w:hAnsiTheme="majorHAnsi"/>
        </w:rPr>
        <w:t>26</w:t>
      </w:r>
      <w:r w:rsidRPr="0013327C">
        <w:rPr>
          <w:rFonts w:asciiTheme="majorHAnsi" w:hAnsiTheme="majorHAnsi"/>
        </w:rPr>
        <w:t>.</w:t>
      </w:r>
    </w:p>
    <w:p w:rsidR="00C3380A" w:rsidRPr="0013327C" w:rsidRDefault="00C3380A" w:rsidP="00AE0264">
      <w:pPr>
        <w:jc w:val="both"/>
        <w:rPr>
          <w:rFonts w:asciiTheme="majorHAnsi" w:hAnsiTheme="majorHAnsi"/>
        </w:rPr>
      </w:pPr>
    </w:p>
    <w:p w:rsidR="00C3380A" w:rsidRPr="0013327C" w:rsidRDefault="00C3380A" w:rsidP="00AE0264">
      <w:pPr>
        <w:jc w:val="both"/>
        <w:rPr>
          <w:rFonts w:asciiTheme="majorHAnsi" w:hAnsiTheme="majorHAnsi"/>
        </w:rPr>
      </w:pPr>
      <w:r w:rsidRPr="0013327C">
        <w:rPr>
          <w:rFonts w:asciiTheme="majorHAnsi" w:hAnsiTheme="majorHAnsi"/>
          <w:noProof/>
          <w:lang w:eastAsia="en-GB"/>
        </w:rPr>
        <w:drawing>
          <wp:inline distT="0" distB="0" distL="0" distR="0">
            <wp:extent cx="4831919" cy="2464231"/>
            <wp:effectExtent l="19050" t="0" r="6781" b="0"/>
            <wp:docPr id="199" name="Picture 1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2" cstate="print"/>
                    <a:srcRect/>
                    <a:stretch>
                      <a:fillRect/>
                    </a:stretch>
                  </pic:blipFill>
                  <pic:spPr bwMode="auto">
                    <a:xfrm>
                      <a:off x="0" y="0"/>
                      <a:ext cx="4843775" cy="2470277"/>
                    </a:xfrm>
                    <a:prstGeom prst="rect">
                      <a:avLst/>
                    </a:prstGeom>
                    <a:noFill/>
                    <a:ln w="9525">
                      <a:noFill/>
                      <a:miter lim="800000"/>
                      <a:headEnd/>
                      <a:tailEnd/>
                    </a:ln>
                    <a:effectLst/>
                  </pic:spPr>
                </pic:pic>
              </a:graphicData>
            </a:graphic>
          </wp:inline>
        </w:drawing>
      </w:r>
    </w:p>
    <w:p w:rsidR="00C3380A" w:rsidRPr="0013327C" w:rsidRDefault="00C3380A" w:rsidP="00AE0264">
      <w:pPr>
        <w:jc w:val="both"/>
        <w:rPr>
          <w:rFonts w:asciiTheme="majorHAnsi" w:hAnsiTheme="majorHAnsi"/>
        </w:rPr>
      </w:pPr>
      <w:proofErr w:type="gramStart"/>
      <w:r w:rsidRPr="0013327C">
        <w:rPr>
          <w:rFonts w:asciiTheme="majorHAnsi" w:hAnsiTheme="majorHAnsi"/>
          <w:b/>
        </w:rPr>
        <w:t>Figure</w:t>
      </w:r>
      <w:r w:rsidR="00AE7EC2">
        <w:rPr>
          <w:rFonts w:asciiTheme="majorHAnsi" w:hAnsiTheme="majorHAnsi"/>
          <w:b/>
        </w:rPr>
        <w:t xml:space="preserve"> </w:t>
      </w:r>
      <w:r w:rsidRPr="0013327C">
        <w:rPr>
          <w:rFonts w:asciiTheme="majorHAnsi" w:hAnsiTheme="majorHAnsi"/>
          <w:b/>
        </w:rPr>
        <w:t>4.</w:t>
      </w:r>
      <w:r w:rsidR="00B52A6C">
        <w:rPr>
          <w:rFonts w:asciiTheme="majorHAnsi" w:hAnsiTheme="majorHAnsi"/>
          <w:b/>
        </w:rPr>
        <w:t>20</w:t>
      </w:r>
      <w:r w:rsidRPr="0013327C">
        <w:rPr>
          <w:rFonts w:asciiTheme="majorHAnsi" w:hAnsiTheme="majorHAnsi"/>
          <w:b/>
        </w:rPr>
        <w:t>.</w:t>
      </w:r>
      <w:proofErr w:type="gramEnd"/>
      <w:r w:rsidRPr="0013327C">
        <w:rPr>
          <w:rFonts w:asciiTheme="majorHAnsi" w:hAnsiTheme="majorHAnsi"/>
          <w:b/>
        </w:rPr>
        <w:t xml:space="preserve"> Box-whisker plots showing the distributions of the Screen 2 controls compared to the rest of the screen, measured in standard deviations</w:t>
      </w:r>
      <w:r w:rsidR="007037D2">
        <w:rPr>
          <w:rFonts w:asciiTheme="majorHAnsi" w:hAnsiTheme="majorHAnsi"/>
          <w:b/>
        </w:rPr>
        <w:t>.</w:t>
      </w:r>
      <w:r w:rsidRPr="0013327C">
        <w:rPr>
          <w:rFonts w:asciiTheme="majorHAnsi" w:hAnsiTheme="majorHAnsi"/>
          <w:b/>
        </w:rPr>
        <w:t xml:space="preserve"> (</w:t>
      </w:r>
      <w:proofErr w:type="gramStart"/>
      <w:r w:rsidRPr="0013327C">
        <w:rPr>
          <w:rFonts w:asciiTheme="majorHAnsi" w:hAnsiTheme="majorHAnsi"/>
          <w:b/>
        </w:rPr>
        <w:t>σ</w:t>
      </w:r>
      <w:proofErr w:type="gramEnd"/>
      <w:r w:rsidRPr="0013327C">
        <w:rPr>
          <w:rFonts w:asciiTheme="majorHAnsi" w:hAnsiTheme="majorHAnsi"/>
          <w:b/>
        </w:rPr>
        <w:t>).</w:t>
      </w:r>
      <w:r w:rsidRPr="0013327C">
        <w:rPr>
          <w:rFonts w:asciiTheme="majorHAnsi" w:hAnsiTheme="majorHAnsi"/>
        </w:rPr>
        <w:t xml:space="preserve"> Boxes show the distribution of 1σ, whiskers show distribution of 2σ. Outlying data are shown as rings. The mean for each control is shown as a black line. The genome-wide data are displayed in the same way in the first column.</w:t>
      </w:r>
    </w:p>
    <w:p w:rsidR="00C3380A" w:rsidRPr="0013327C" w:rsidRDefault="00C3380A" w:rsidP="00AE0264">
      <w:pPr>
        <w:jc w:val="both"/>
        <w:rPr>
          <w:rFonts w:asciiTheme="majorHAnsi" w:hAnsiTheme="majorHAnsi"/>
        </w:rPr>
      </w:pPr>
      <w:r w:rsidRPr="0013327C">
        <w:rPr>
          <w:rFonts w:asciiTheme="majorHAnsi" w:hAnsiTheme="majorHAnsi"/>
        </w:rPr>
        <w:t xml:space="preserve">For probes like </w:t>
      </w:r>
      <w:r w:rsidR="000C26B2" w:rsidRPr="000C26B2">
        <w:rPr>
          <w:rFonts w:asciiTheme="majorHAnsi" w:hAnsiTheme="majorHAnsi"/>
          <w:i/>
        </w:rPr>
        <w:t>PEX</w:t>
      </w:r>
      <w:r w:rsidRPr="0013327C">
        <w:rPr>
          <w:rFonts w:asciiTheme="majorHAnsi" w:hAnsiTheme="majorHAnsi"/>
        </w:rPr>
        <w:t xml:space="preserve">1, Ints12, and </w:t>
      </w:r>
      <w:r w:rsidR="000C26B2" w:rsidRPr="000C26B2">
        <w:rPr>
          <w:rFonts w:asciiTheme="majorHAnsi" w:hAnsiTheme="majorHAnsi"/>
          <w:i/>
        </w:rPr>
        <w:t>PEX</w:t>
      </w:r>
      <w:r w:rsidRPr="0013327C">
        <w:rPr>
          <w:rFonts w:asciiTheme="majorHAnsi" w:hAnsiTheme="majorHAnsi"/>
        </w:rPr>
        <w:t xml:space="preserve">19 there appear to be very few outlying data compared to the other four. This would indicate that these outliers have a very large values compared to the variance of the distribution of that probe. These are also the probes with the lowest mean z-score (see figure 4.13.2) and therefore the least effective controls. For the controls nmd, </w:t>
      </w:r>
      <w:r w:rsidR="000C26B2" w:rsidRPr="000C26B2">
        <w:rPr>
          <w:rFonts w:asciiTheme="majorHAnsi" w:hAnsiTheme="majorHAnsi"/>
          <w:i/>
        </w:rPr>
        <w:t>PEX</w:t>
      </w:r>
      <w:r w:rsidR="00E0200E">
        <w:rPr>
          <w:rFonts w:asciiTheme="majorHAnsi" w:hAnsiTheme="majorHAnsi"/>
        </w:rPr>
        <w:t>3, D</w:t>
      </w:r>
      <w:r w:rsidRPr="0013327C">
        <w:rPr>
          <w:rFonts w:asciiTheme="majorHAnsi" w:hAnsiTheme="majorHAnsi"/>
        </w:rPr>
        <w:t xml:space="preserve">rp1,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 xml:space="preserve">16 there is a negative skew, the majority of the outlying data is on the positive side of the whiskers. This indicates that more effective probes produce negative skews as well as a greater deviation of the mean and the standard deviations from the genome-wide data. </w:t>
      </w:r>
    </w:p>
    <w:p w:rsidR="00C3380A" w:rsidRPr="0013327C" w:rsidRDefault="00C3380A" w:rsidP="00AE0264">
      <w:pPr>
        <w:jc w:val="both"/>
        <w:rPr>
          <w:rFonts w:asciiTheme="majorHAnsi" w:hAnsiTheme="majorHAnsi"/>
        </w:rPr>
      </w:pPr>
      <w:r w:rsidRPr="0013327C">
        <w:rPr>
          <w:rFonts w:asciiTheme="majorHAnsi" w:hAnsiTheme="majorHAnsi"/>
        </w:rPr>
        <w:t xml:space="preserve">One observation from figure 4.13.3 is that even the most effective probes, particularly nmd and </w:t>
      </w:r>
      <w:r w:rsidR="000C26B2" w:rsidRPr="000C26B2">
        <w:rPr>
          <w:rFonts w:asciiTheme="majorHAnsi" w:hAnsiTheme="majorHAnsi"/>
          <w:i/>
        </w:rPr>
        <w:t>PEX</w:t>
      </w:r>
      <w:r w:rsidRPr="0013327C">
        <w:rPr>
          <w:rFonts w:asciiTheme="majorHAnsi" w:hAnsiTheme="majorHAnsi"/>
        </w:rPr>
        <w:t xml:space="preserve">16, still have outlying data that register within 1σ, or even on the mean, of the genome-wide data. This shows that even reliably effective probes have the potential to return data that would not deviate from a WT phenotype. If this principle was applied to the probes of the genomic library then there may be a small number of probes that return WT phenotypes when they would otherwise produce significantly different z-scores in the dataset. Similarly Ints12 and </w:t>
      </w:r>
      <w:r w:rsidR="000C26B2" w:rsidRPr="000C26B2">
        <w:rPr>
          <w:rFonts w:asciiTheme="majorHAnsi" w:hAnsiTheme="majorHAnsi"/>
          <w:i/>
        </w:rPr>
        <w:t>PEX</w:t>
      </w:r>
      <w:r w:rsidRPr="0013327C">
        <w:rPr>
          <w:rFonts w:asciiTheme="majorHAnsi" w:hAnsiTheme="majorHAnsi"/>
        </w:rPr>
        <w:t xml:space="preserve">19 each have a value that far exceeds its mean in terms of z-scores. These are due to a large number of cells expressing very low levels of eGFP-PTS1. The similarly high z-score from the </w:t>
      </w:r>
      <w:r w:rsidR="000C26B2" w:rsidRPr="000C26B2">
        <w:rPr>
          <w:rFonts w:asciiTheme="majorHAnsi" w:hAnsiTheme="majorHAnsi"/>
          <w:i/>
        </w:rPr>
        <w:t>PEX</w:t>
      </w:r>
      <w:r w:rsidRPr="0013327C">
        <w:rPr>
          <w:rFonts w:asciiTheme="majorHAnsi" w:hAnsiTheme="majorHAnsi"/>
        </w:rPr>
        <w:t xml:space="preserve">16 </w:t>
      </w:r>
      <w:r w:rsidRPr="0013327C">
        <w:rPr>
          <w:rFonts w:asciiTheme="majorHAnsi" w:hAnsiTheme="majorHAnsi"/>
        </w:rPr>
        <w:lastRenderedPageBreak/>
        <w:t>distribution is an artefact from Plate 48 which has an abnormally high number of KDs with high-scoring negative z-scores (see following chapter).</w:t>
      </w:r>
    </w:p>
    <w:p w:rsidR="00C3380A" w:rsidRPr="0013327C" w:rsidRDefault="00C3380A" w:rsidP="00AE0264">
      <w:pPr>
        <w:pStyle w:val="Heading2"/>
        <w:jc w:val="both"/>
      </w:pPr>
      <w:bookmarkStart w:id="122" w:name="_Toc348423374"/>
      <w:r w:rsidRPr="0013327C">
        <w:t>Plate 48 had a high number of high-scoring knockdowns</w:t>
      </w:r>
      <w:bookmarkEnd w:id="122"/>
    </w:p>
    <w:p w:rsidR="00C3380A" w:rsidRPr="0013327C" w:rsidRDefault="00C3380A" w:rsidP="00AE0264">
      <w:pPr>
        <w:jc w:val="both"/>
        <w:rPr>
          <w:rFonts w:asciiTheme="majorHAnsi" w:hAnsiTheme="majorHAnsi"/>
        </w:rPr>
      </w:pPr>
      <w:r w:rsidRPr="0013327C">
        <w:rPr>
          <w:rFonts w:asciiTheme="majorHAnsi" w:hAnsiTheme="majorHAnsi"/>
        </w:rPr>
        <w:t xml:space="preserve">Once the genome-wide dataset had been normalised and converted to z-scores it was immediately noticed that Plate 48 had the largest single proportion of negatively scoring hits. The HTS2 software was able to visualise the entire genome-wide library of knockdowns in a coloured heat map. Each plate is organised into its 16 x 24 well arrangement and the plates are themselves arranged 1-8 across the top in 7 descending rows. The wells themselves are individually coloured according to their z-scores, those that are grey are between 3 and -3 z-scores. Negative z-scores below -3 are coloured blue getting darker with increasing magnitude, positive z-scores above 3 are coloured orange getting darker (browner) with increasing magnitude. Columns 9 and 17 contained the control probes, arranged as described in </w:t>
      </w:r>
      <w:r w:rsidRPr="001E6DF4">
        <w:rPr>
          <w:rFonts w:asciiTheme="majorHAnsi" w:hAnsiTheme="majorHAnsi"/>
        </w:rPr>
        <w:t xml:space="preserve">chapter 4.6 </w:t>
      </w:r>
      <w:r w:rsidR="001E6DF4" w:rsidRPr="001E6DF4">
        <w:rPr>
          <w:rFonts w:asciiTheme="majorHAnsi" w:hAnsiTheme="majorHAnsi"/>
        </w:rPr>
        <w:t>(p.106)</w:t>
      </w:r>
      <w:r w:rsidR="001E6DF4">
        <w:rPr>
          <w:rFonts w:asciiTheme="majorHAnsi" w:hAnsiTheme="majorHAnsi"/>
        </w:rPr>
        <w:t xml:space="preserve"> </w:t>
      </w:r>
      <w:r w:rsidRPr="001E6DF4">
        <w:rPr>
          <w:rFonts w:asciiTheme="majorHAnsi" w:hAnsiTheme="majorHAnsi"/>
        </w:rPr>
        <w:t>and</w:t>
      </w:r>
      <w:r w:rsidRPr="0013327C">
        <w:rPr>
          <w:rFonts w:asciiTheme="majorHAnsi" w:hAnsiTheme="majorHAnsi"/>
        </w:rPr>
        <w:t xml:space="preserve"> their distinct pattern can be seen in all plates. Plate 48 (column 8, row 7) shows a high density of highly negative z-scores arranged mostly in columns. Upon visual inspection these wells contained very little distinguishable cellular or sub</w:t>
      </w:r>
      <w:r w:rsidR="00E0200E">
        <w:rPr>
          <w:rFonts w:asciiTheme="majorHAnsi" w:hAnsiTheme="majorHAnsi"/>
        </w:rPr>
        <w:t>-</w:t>
      </w:r>
      <w:r w:rsidRPr="0013327C">
        <w:rPr>
          <w:rFonts w:asciiTheme="majorHAnsi" w:hAnsiTheme="majorHAnsi"/>
        </w:rPr>
        <w:t xml:space="preserve">cellular morphology, disseminated Hoechst signal and out of focus GFP channel were the most common images that could be identified. The overall effect was of a disproportionate number of both positively but mainly negatively-scoring KDs with z-scores of high magnitude. This defect only occurred in the odd-numbered columns and not in all wells of that column. As there were statistically, significantly negative z-scores in all columns it was deemed necessary for all of these wells to be visually screened. </w:t>
      </w:r>
    </w:p>
    <w:p w:rsidR="00C3380A" w:rsidRPr="0013327C" w:rsidRDefault="00C3380A" w:rsidP="00AE0264">
      <w:pPr>
        <w:jc w:val="both"/>
        <w:rPr>
          <w:rFonts w:asciiTheme="majorHAnsi" w:hAnsiTheme="majorHAnsi"/>
        </w:rPr>
      </w:pPr>
      <w:r w:rsidRPr="0013327C">
        <w:rPr>
          <w:rFonts w:asciiTheme="majorHAnsi" w:hAnsiTheme="majorHAnsi"/>
        </w:rPr>
        <w:t>The effect that this anomaly had on the distribution of values within the plate can be seen in Figure 4.</w:t>
      </w:r>
      <w:r w:rsidR="0031497E">
        <w:rPr>
          <w:rFonts w:asciiTheme="majorHAnsi" w:hAnsiTheme="majorHAnsi"/>
        </w:rPr>
        <w:t>27</w:t>
      </w:r>
      <w:r w:rsidRPr="0013327C">
        <w:rPr>
          <w:rFonts w:asciiTheme="majorHAnsi" w:hAnsiTheme="majorHAnsi"/>
        </w:rPr>
        <w:t xml:space="preserve">. However the effect that this had on the rest of the genome-wide screen and its KD z-scores could not be gauged without re-calculating the z-score for the entire screen. As less than 1% of the screen had been affected by this anomaly it was thought that re-calculating would cause negligible change to the existing z-scores and so the genome-wide calculation was not altered. 147 </w:t>
      </w:r>
      <w:proofErr w:type="gramStart"/>
      <w:r w:rsidRPr="0013327C">
        <w:rPr>
          <w:rFonts w:asciiTheme="majorHAnsi" w:hAnsiTheme="majorHAnsi"/>
        </w:rPr>
        <w:t>non-control</w:t>
      </w:r>
      <w:proofErr w:type="gramEnd"/>
      <w:r w:rsidRPr="0013327C">
        <w:rPr>
          <w:rFonts w:asciiTheme="majorHAnsi" w:hAnsiTheme="majorHAnsi"/>
        </w:rPr>
        <w:t>, non-empty wells were affected and then visually screened of which 121 were found not to contain cells. Theoretically the mathematical effect that this would have had on the entire screen would have reduced the value of the mean and reduced the magnitude of the negative z-scores (making the assumption that the σ is unchanged). As the z-scores of the screen that were below -1.0 were being visually screened anyway, it was decided that the next lowest 121 KDs be visually screened on top of 3,367 gene</w:t>
      </w:r>
      <w:r w:rsidR="00E0200E">
        <w:rPr>
          <w:rFonts w:asciiTheme="majorHAnsi" w:hAnsiTheme="majorHAnsi"/>
        </w:rPr>
        <w:t xml:space="preserve"> </w:t>
      </w:r>
      <w:r w:rsidRPr="0013327C">
        <w:rPr>
          <w:rFonts w:asciiTheme="majorHAnsi" w:hAnsiTheme="majorHAnsi"/>
        </w:rPr>
        <w:t xml:space="preserve">KDs scoring </w:t>
      </w:r>
      <w:r w:rsidRPr="0013327C">
        <w:rPr>
          <w:rFonts w:asciiTheme="majorHAnsi" w:hAnsiTheme="majorHAnsi"/>
        </w:rPr>
        <w:lastRenderedPageBreak/>
        <w:t>below -1.0, taking the total of positive and negative KDs having been visually screened to 3,839 (21.01%).</w:t>
      </w:r>
    </w:p>
    <w:p w:rsidR="00C3380A" w:rsidRPr="0013327C" w:rsidRDefault="00C3380A" w:rsidP="00AE0264">
      <w:pPr>
        <w:jc w:val="both"/>
        <w:rPr>
          <w:rFonts w:asciiTheme="majorHAnsi" w:hAnsiTheme="majorHAnsi"/>
        </w:rPr>
      </w:pPr>
    </w:p>
    <w:p w:rsidR="00C3380A" w:rsidRPr="0013327C" w:rsidRDefault="00C3380A" w:rsidP="00AE0264">
      <w:pPr>
        <w:jc w:val="both"/>
        <w:rPr>
          <w:rFonts w:asciiTheme="majorHAnsi" w:hAnsiTheme="majorHAnsi"/>
        </w:rPr>
      </w:pPr>
      <w:r w:rsidRPr="0013327C">
        <w:rPr>
          <w:rFonts w:asciiTheme="majorHAnsi" w:hAnsiTheme="majorHAnsi"/>
          <w:noProof/>
          <w:lang w:eastAsia="en-GB"/>
        </w:rPr>
        <w:drawing>
          <wp:inline distT="0" distB="0" distL="0" distR="0">
            <wp:extent cx="4723431" cy="5187875"/>
            <wp:effectExtent l="19050" t="0" r="969" b="0"/>
            <wp:docPr id="200" name="Picture 1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3" cstate="print"/>
                    <a:srcRect/>
                    <a:stretch>
                      <a:fillRect/>
                    </a:stretch>
                  </pic:blipFill>
                  <pic:spPr bwMode="auto">
                    <a:xfrm>
                      <a:off x="0" y="0"/>
                      <a:ext cx="4726094" cy="5190799"/>
                    </a:xfrm>
                    <a:prstGeom prst="rect">
                      <a:avLst/>
                    </a:prstGeom>
                    <a:noFill/>
                    <a:ln w="9525">
                      <a:noFill/>
                      <a:miter lim="800000"/>
                      <a:headEnd/>
                      <a:tailEnd/>
                    </a:ln>
                    <a:effectLst/>
                  </pic:spPr>
                </pic:pic>
              </a:graphicData>
            </a:graphic>
          </wp:inline>
        </w:drawing>
      </w:r>
    </w:p>
    <w:p w:rsidR="00C3380A" w:rsidRPr="0013327C" w:rsidRDefault="007037D2" w:rsidP="00AE0264">
      <w:pPr>
        <w:jc w:val="both"/>
        <w:rPr>
          <w:rFonts w:asciiTheme="majorHAnsi" w:hAnsiTheme="majorHAnsi"/>
        </w:rPr>
      </w:pPr>
      <w:proofErr w:type="gramStart"/>
      <w:r>
        <w:rPr>
          <w:rFonts w:asciiTheme="majorHAnsi" w:hAnsiTheme="majorHAnsi"/>
          <w:b/>
        </w:rPr>
        <w:t>Figure 4.2</w:t>
      </w:r>
      <w:r w:rsidR="00B52A6C">
        <w:rPr>
          <w:rFonts w:asciiTheme="majorHAnsi" w:hAnsiTheme="majorHAnsi"/>
          <w:b/>
        </w:rPr>
        <w:t>1</w:t>
      </w:r>
      <w:r>
        <w:rPr>
          <w:rFonts w:asciiTheme="majorHAnsi" w:hAnsiTheme="majorHAnsi"/>
          <w:b/>
        </w:rPr>
        <w:t>.</w:t>
      </w:r>
      <w:proofErr w:type="gramEnd"/>
      <w:r w:rsidR="00C3380A" w:rsidRPr="0013327C">
        <w:rPr>
          <w:rFonts w:asciiTheme="majorHAnsi" w:hAnsiTheme="majorHAnsi"/>
          <w:b/>
        </w:rPr>
        <w:t xml:space="preserve"> A heatmap of the entire screen showing wells in plates. </w:t>
      </w:r>
      <w:r w:rsidR="00C3380A" w:rsidRPr="0013327C">
        <w:rPr>
          <w:rFonts w:asciiTheme="majorHAnsi" w:hAnsiTheme="majorHAnsi"/>
        </w:rPr>
        <w:t>Plates are arranged 1-53 from left to right, then top to bottom. Low z-scores are shown in blue, high z-scores are shown in orange/brown.</w:t>
      </w:r>
    </w:p>
    <w:p w:rsidR="00C3380A" w:rsidRPr="0013327C" w:rsidRDefault="00C3380A"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913495" cy="2874299"/>
            <wp:effectExtent l="19050" t="0" r="1405" b="0"/>
            <wp:docPr id="2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srcRect/>
                    <a:stretch>
                      <a:fillRect/>
                    </a:stretch>
                  </pic:blipFill>
                  <pic:spPr bwMode="auto">
                    <a:xfrm>
                      <a:off x="0" y="0"/>
                      <a:ext cx="4920007" cy="2878108"/>
                    </a:xfrm>
                    <a:prstGeom prst="rect">
                      <a:avLst/>
                    </a:prstGeom>
                    <a:noFill/>
                  </pic:spPr>
                </pic:pic>
              </a:graphicData>
            </a:graphic>
          </wp:inline>
        </w:drawing>
      </w:r>
    </w:p>
    <w:p w:rsidR="00C3380A" w:rsidRPr="0013327C" w:rsidRDefault="00C3380A" w:rsidP="00AE0264">
      <w:pPr>
        <w:jc w:val="both"/>
        <w:rPr>
          <w:rFonts w:asciiTheme="majorHAnsi" w:hAnsiTheme="majorHAnsi"/>
        </w:rPr>
      </w:pPr>
      <w:proofErr w:type="gramStart"/>
      <w:r w:rsidRPr="0013327C">
        <w:rPr>
          <w:rFonts w:asciiTheme="majorHAnsi" w:hAnsiTheme="majorHAnsi"/>
          <w:b/>
        </w:rPr>
        <w:t>Figure 4.</w:t>
      </w:r>
      <w:r w:rsidR="004F7E7D">
        <w:rPr>
          <w:rFonts w:asciiTheme="majorHAnsi" w:hAnsiTheme="majorHAnsi"/>
          <w:b/>
        </w:rPr>
        <w:t>2</w:t>
      </w:r>
      <w:r w:rsidR="00B52A6C">
        <w:rPr>
          <w:rFonts w:asciiTheme="majorHAnsi" w:hAnsiTheme="majorHAnsi"/>
          <w:b/>
        </w:rPr>
        <w:t>2</w:t>
      </w:r>
      <w:r w:rsidRPr="0013327C">
        <w:rPr>
          <w:rFonts w:asciiTheme="majorHAnsi" w:hAnsiTheme="majorHAnsi"/>
          <w:b/>
        </w:rPr>
        <w:t>.</w:t>
      </w:r>
      <w:proofErr w:type="gramEnd"/>
      <w:r w:rsidRPr="0013327C">
        <w:rPr>
          <w:rFonts w:asciiTheme="majorHAnsi" w:hAnsiTheme="majorHAnsi"/>
          <w:b/>
        </w:rPr>
        <w:t xml:space="preserve"> Box-whisker plots of the distribution of data in each plate.</w:t>
      </w:r>
      <w:r w:rsidRPr="0013327C">
        <w:rPr>
          <w:rFonts w:asciiTheme="majorHAnsi" w:hAnsiTheme="majorHAnsi"/>
        </w:rPr>
        <w:t xml:space="preserve"> Boxes show the distribution of 1σ, whiskers show distribution of 2σ. Mean for each plate is represented by the black line.</w:t>
      </w:r>
    </w:p>
    <w:p w:rsidR="00C3380A" w:rsidRPr="0013327C" w:rsidRDefault="00C3380A" w:rsidP="00AE0264">
      <w:pPr>
        <w:pStyle w:val="Heading2"/>
        <w:jc w:val="both"/>
      </w:pPr>
      <w:bookmarkStart w:id="123" w:name="_Toc348423375"/>
      <w:r w:rsidRPr="0013327C">
        <w:t>Average z-scores across both screens</w:t>
      </w:r>
      <w:bookmarkEnd w:id="123"/>
      <w:r w:rsidRPr="0013327C">
        <w:t xml:space="preserve"> </w:t>
      </w:r>
    </w:p>
    <w:p w:rsidR="00C3380A" w:rsidRPr="0013327C" w:rsidRDefault="00C3380A" w:rsidP="00AE0264">
      <w:pPr>
        <w:jc w:val="both"/>
        <w:rPr>
          <w:rFonts w:asciiTheme="majorHAnsi" w:hAnsiTheme="majorHAnsi"/>
        </w:rPr>
      </w:pPr>
      <w:r w:rsidRPr="0013327C">
        <w:rPr>
          <w:rFonts w:asciiTheme="majorHAnsi" w:hAnsiTheme="majorHAnsi"/>
        </w:rPr>
        <w:t xml:space="preserve">Finally it was decided to see what comparison could be made between the two screens with regards to the most promising candidates for further screening. By taking an average z-score of the KDs of </w:t>
      </w:r>
      <w:r w:rsidR="000C26B2" w:rsidRPr="000C26B2">
        <w:rPr>
          <w:rFonts w:asciiTheme="majorHAnsi" w:hAnsiTheme="majorHAnsi"/>
          <w:i/>
        </w:rPr>
        <w:t>PEX</w:t>
      </w:r>
      <w:r w:rsidRPr="0013327C">
        <w:rPr>
          <w:rFonts w:asciiTheme="majorHAnsi" w:hAnsiTheme="majorHAnsi"/>
        </w:rPr>
        <w:t xml:space="preserve"> genes and genes causing the most aberrant phenotypes it is possible to see which genes have been consistent at producing an effective knockdown in t</w:t>
      </w:r>
      <w:r w:rsidR="0070053A">
        <w:rPr>
          <w:rFonts w:asciiTheme="majorHAnsi" w:hAnsiTheme="majorHAnsi"/>
        </w:rPr>
        <w:t>w</w:t>
      </w:r>
      <w:r w:rsidRPr="0013327C">
        <w:rPr>
          <w:rFonts w:asciiTheme="majorHAnsi" w:hAnsiTheme="majorHAnsi"/>
        </w:rPr>
        <w:t>o independent assays. The HTS2 software has two helpful visualisations for this, one is the Q-Q plot (Q = “quantile”). This compares a given distribution to another in this case the distribution of the average of both genome-wide screens and a theoretical normal distribution.</w:t>
      </w:r>
    </w:p>
    <w:p w:rsidR="00C3380A" w:rsidRPr="0013327C" w:rsidRDefault="00C3380A" w:rsidP="00AE0264">
      <w:pPr>
        <w:jc w:val="both"/>
        <w:rPr>
          <w:rFonts w:asciiTheme="majorHAnsi" w:hAnsiTheme="majorHAnsi"/>
        </w:rPr>
      </w:pPr>
      <w:r w:rsidRPr="0013327C">
        <w:rPr>
          <w:rFonts w:asciiTheme="majorHAnsi" w:hAnsiTheme="majorHAnsi"/>
        </w:rPr>
        <w:t>The Q-Q plot determines if a distribution is more dispersed than, in this case, a theoretical distribution (as opposed to another dataset). Each individual gene KD had its z-score for both genes averaged and plotted in order, lowest to highest, from left to right. If the data were normally distributed then it would lie along the line of fit of theoretical distribution. The shape shown in Figure 4.</w:t>
      </w:r>
      <w:r w:rsidR="001E6DF4">
        <w:rPr>
          <w:rFonts w:asciiTheme="majorHAnsi" w:hAnsiTheme="majorHAnsi"/>
        </w:rPr>
        <w:t>30</w:t>
      </w:r>
      <w:r w:rsidRPr="0013327C">
        <w:rPr>
          <w:rFonts w:asciiTheme="majorHAnsi" w:hAnsiTheme="majorHAnsi"/>
        </w:rPr>
        <w:t xml:space="preserve"> shows deviation from this line of fit implying that the normalised average data have “heavier” tails than a normal distribution would.  This means that outlying data have higher z-scores than outliers in a normal distribution. In this screen the deviation is caused by effective KD of gene function. From looking at the location of the genes marked on the Q-Q plot the </w:t>
      </w:r>
      <w:r w:rsidRPr="0013327C">
        <w:rPr>
          <w:rFonts w:asciiTheme="majorHAnsi" w:hAnsiTheme="majorHAnsi"/>
        </w:rPr>
        <w:lastRenderedPageBreak/>
        <w:t xml:space="preserve">deviation from theoretical normal occurs in the region between </w:t>
      </w:r>
      <w:r w:rsidR="000C26B2" w:rsidRPr="000C26B2">
        <w:rPr>
          <w:rFonts w:asciiTheme="majorHAnsi" w:hAnsiTheme="majorHAnsi"/>
          <w:i/>
        </w:rPr>
        <w:t>PEX</w:t>
      </w:r>
      <w:r w:rsidRPr="0013327C">
        <w:rPr>
          <w:rFonts w:asciiTheme="majorHAnsi" w:hAnsiTheme="majorHAnsi"/>
        </w:rPr>
        <w:t xml:space="preserve">2 and </w:t>
      </w:r>
      <w:r w:rsidR="000C26B2" w:rsidRPr="000C26B2">
        <w:rPr>
          <w:rFonts w:asciiTheme="majorHAnsi" w:hAnsiTheme="majorHAnsi"/>
          <w:i/>
        </w:rPr>
        <w:t>PEX</w:t>
      </w:r>
      <w:r w:rsidRPr="0013327C">
        <w:rPr>
          <w:rFonts w:asciiTheme="majorHAnsi" w:hAnsiTheme="majorHAnsi"/>
        </w:rPr>
        <w:t xml:space="preserve">14 (z-scores of -2.23 and -1.41 respectively). </w:t>
      </w:r>
    </w:p>
    <w:tbl>
      <w:tblPr>
        <w:tblW w:w="8400" w:type="dxa"/>
        <w:tblCellMar>
          <w:left w:w="0" w:type="dxa"/>
          <w:right w:w="0" w:type="dxa"/>
        </w:tblCellMar>
        <w:tblLook w:val="04A0"/>
      </w:tblPr>
      <w:tblGrid>
        <w:gridCol w:w="2380"/>
        <w:gridCol w:w="900"/>
        <w:gridCol w:w="1020"/>
        <w:gridCol w:w="1480"/>
        <w:gridCol w:w="1480"/>
        <w:gridCol w:w="1140"/>
      </w:tblGrid>
      <w:tr w:rsidR="00C3380A" w:rsidRPr="0013327C" w:rsidTr="00AB54FC">
        <w:trPr>
          <w:trHeight w:val="503"/>
        </w:trPr>
        <w:tc>
          <w:tcPr>
            <w:tcW w:w="2380" w:type="dxa"/>
            <w:tcBorders>
              <w:top w:val="single" w:sz="8"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 xml:space="preserve">Gene name </w:t>
            </w:r>
          </w:p>
        </w:tc>
        <w:tc>
          <w:tcPr>
            <w:tcW w:w="900" w:type="dxa"/>
            <w:tcBorders>
              <w:top w:val="single" w:sz="8"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Gene ID</w:t>
            </w:r>
          </w:p>
        </w:tc>
        <w:tc>
          <w:tcPr>
            <w:tcW w:w="1020" w:type="dxa"/>
            <w:tcBorders>
              <w:top w:val="single" w:sz="8"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Probe</w:t>
            </w:r>
          </w:p>
        </w:tc>
        <w:tc>
          <w:tcPr>
            <w:tcW w:w="1480" w:type="dxa"/>
            <w:tcBorders>
              <w:top w:val="single" w:sz="8"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Screen 2 z-score</w:t>
            </w:r>
          </w:p>
        </w:tc>
        <w:tc>
          <w:tcPr>
            <w:tcW w:w="1480" w:type="dxa"/>
            <w:tcBorders>
              <w:top w:val="single" w:sz="8"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Screen 1 z-score</w:t>
            </w:r>
          </w:p>
        </w:tc>
        <w:tc>
          <w:tcPr>
            <w:tcW w:w="1140" w:type="dxa"/>
            <w:tcBorders>
              <w:top w:val="single" w:sz="8"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40" w:lineRule="auto"/>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Ave. z-score</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0C26B2" w:rsidP="00AE0264">
            <w:pPr>
              <w:spacing w:after="0" w:line="273" w:lineRule="atLeast"/>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i/>
                <w:color w:val="000000"/>
                <w:kern w:val="24"/>
                <w:sz w:val="21"/>
                <w:szCs w:val="21"/>
                <w:lang w:eastAsia="en-GB"/>
              </w:rPr>
              <w:t>PEX</w:t>
            </w:r>
            <w:r w:rsidR="00C3380A" w:rsidRPr="0013327C">
              <w:rPr>
                <w:rFonts w:asciiTheme="majorHAnsi" w:eastAsia="Times New Roman" w:hAnsiTheme="majorHAnsi" w:cs="Arial"/>
                <w:color w:val="000000"/>
                <w:kern w:val="24"/>
                <w:sz w:val="21"/>
                <w:szCs w:val="21"/>
                <w:lang w:eastAsia="en-GB"/>
              </w:rPr>
              <w:t>13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CG4663</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BKN20261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-11.96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-14.33</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-13.14</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0C26B2" w:rsidP="00AE0264">
            <w:pPr>
              <w:spacing w:after="0" w:line="273" w:lineRule="atLeast"/>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i/>
                <w:color w:val="000000"/>
                <w:kern w:val="24"/>
                <w:sz w:val="21"/>
                <w:szCs w:val="21"/>
                <w:lang w:eastAsia="en-GB"/>
              </w:rPr>
              <w:t>PEX</w:t>
            </w:r>
            <w:r w:rsidR="00C3380A" w:rsidRPr="0013327C">
              <w:rPr>
                <w:rFonts w:asciiTheme="majorHAnsi" w:eastAsia="Times New Roman" w:hAnsiTheme="majorHAnsi" w:cs="Arial"/>
                <w:color w:val="000000"/>
                <w:kern w:val="24"/>
                <w:sz w:val="21"/>
                <w:szCs w:val="21"/>
                <w:lang w:eastAsia="en-GB"/>
              </w:rPr>
              <w:t>16</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CG3947</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BKN27609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-8.85</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-14.04</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-11.44</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0C26B2" w:rsidP="00AE0264">
            <w:pPr>
              <w:spacing w:after="0" w:line="273" w:lineRule="atLeast"/>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i/>
                <w:color w:val="000000"/>
                <w:kern w:val="24"/>
                <w:sz w:val="21"/>
                <w:szCs w:val="21"/>
                <w:lang w:eastAsia="en-GB"/>
              </w:rPr>
              <w:t>PEX</w:t>
            </w:r>
            <w:r w:rsidR="00C3380A" w:rsidRPr="0013327C">
              <w:rPr>
                <w:rFonts w:asciiTheme="majorHAnsi" w:eastAsia="Times New Roman" w:hAnsiTheme="majorHAnsi" w:cs="Arial"/>
                <w:color w:val="000000"/>
                <w:kern w:val="24"/>
                <w:sz w:val="21"/>
                <w:szCs w:val="21"/>
                <w:lang w:eastAsia="en-GB"/>
              </w:rPr>
              <w:t>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CG14815</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BKN40823</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-2.86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-13.94</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-8.40</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0C26B2" w:rsidP="00AE0264">
            <w:pPr>
              <w:spacing w:after="0" w:line="273" w:lineRule="atLeast"/>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i/>
                <w:color w:val="000000"/>
                <w:kern w:val="24"/>
                <w:sz w:val="21"/>
                <w:szCs w:val="21"/>
                <w:lang w:eastAsia="en-GB"/>
              </w:rPr>
              <w:t>PEX</w:t>
            </w:r>
            <w:r w:rsidR="00C3380A" w:rsidRPr="0013327C">
              <w:rPr>
                <w:rFonts w:asciiTheme="majorHAnsi" w:eastAsia="Times New Roman" w:hAnsiTheme="majorHAnsi" w:cs="Arial"/>
                <w:color w:val="000000"/>
                <w:kern w:val="24"/>
                <w:sz w:val="21"/>
                <w:szCs w:val="21"/>
                <w:lang w:eastAsia="en-GB"/>
              </w:rPr>
              <w:t>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CG6760</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BKN20866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-5.38</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-8.76</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-7.07</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NMD</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CG5395</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BKN22429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-8.49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-5.00</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-6.75</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 xml:space="preserve">moleskin </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CG7935</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BKN27338</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-10.95</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-2.02</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-6.48</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spaghetti squash</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CG3595</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BKN46223</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-7.41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-3.57</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-5.49</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spaghetti squash</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CG3595</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BKN27557</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-5.63</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-4.33</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-4.98</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Tango11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CG30404</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BKN30686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-5.34</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-4.16</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-4.75</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Atlastin</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CG6668</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BKN21206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-6.81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-2.55</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-4.68</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0C26B2" w:rsidP="00AE0264">
            <w:pPr>
              <w:spacing w:after="0" w:line="273" w:lineRule="atLeast"/>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i/>
                <w:color w:val="000000"/>
                <w:kern w:val="24"/>
                <w:sz w:val="21"/>
                <w:szCs w:val="21"/>
                <w:lang w:eastAsia="en-GB"/>
              </w:rPr>
              <w:t>PEX</w:t>
            </w:r>
            <w:r w:rsidR="00C3380A" w:rsidRPr="0013327C">
              <w:rPr>
                <w:rFonts w:asciiTheme="majorHAnsi" w:eastAsia="Times New Roman" w:hAnsiTheme="majorHAnsi" w:cs="Arial"/>
                <w:color w:val="000000"/>
                <w:kern w:val="24"/>
                <w:sz w:val="21"/>
                <w:szCs w:val="21"/>
                <w:lang w:eastAsia="en-GB"/>
              </w:rPr>
              <w:t>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CG6859</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BKN21399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-3.09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-5.30</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-4.20</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 xml:space="preserve">Gemini </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CG30011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BKN22231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-4.10</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-3.26</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-3.68</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Drp1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CG3210</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BKN20979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-4.19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-2.06</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-3.12</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0C26B2" w:rsidP="00AE0264">
            <w:pPr>
              <w:spacing w:after="0" w:line="273" w:lineRule="atLeast"/>
              <w:jc w:val="both"/>
              <w:textAlignment w:val="bottom"/>
              <w:rPr>
                <w:rFonts w:asciiTheme="majorHAnsi" w:eastAsia="Times New Roman" w:hAnsiTheme="majorHAnsi" w:cs="Arial"/>
                <w:sz w:val="36"/>
                <w:szCs w:val="36"/>
                <w:lang w:eastAsia="en-GB"/>
              </w:rPr>
            </w:pPr>
            <w:r w:rsidRPr="000C26B2">
              <w:rPr>
                <w:rFonts w:asciiTheme="majorHAnsi" w:eastAsia="Times New Roman" w:hAnsiTheme="majorHAnsi" w:cs="Arial"/>
                <w:i/>
                <w:color w:val="000000"/>
                <w:kern w:val="24"/>
                <w:sz w:val="21"/>
                <w:szCs w:val="21"/>
                <w:lang w:eastAsia="en-GB"/>
              </w:rPr>
              <w:t>PEX</w:t>
            </w:r>
            <w:r w:rsidR="00C3380A" w:rsidRPr="0013327C">
              <w:rPr>
                <w:rFonts w:asciiTheme="majorHAnsi" w:eastAsia="Times New Roman" w:hAnsiTheme="majorHAnsi" w:cs="Arial"/>
                <w:color w:val="000000"/>
                <w:kern w:val="24"/>
                <w:sz w:val="21"/>
                <w:szCs w:val="21"/>
                <w:lang w:eastAsia="en-GB"/>
              </w:rPr>
              <w:t>11</w:t>
            </w:r>
            <w:r w:rsidR="00C3380A" w:rsidRPr="0013327C">
              <w:rPr>
                <w:rFonts w:asciiTheme="majorHAnsi" w:eastAsia="Times New Roman" w:hAnsiTheme="majorHAnsi" w:cs="Arial"/>
                <w:color w:val="000000"/>
                <w:kern w:val="24"/>
                <w:sz w:val="21"/>
                <w:szCs w:val="21"/>
                <w:lang w:val="el-GR" w:eastAsia="en-GB"/>
              </w:rPr>
              <w:t>β</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CG8315</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BKN21630</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-2.01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-2.62</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-2.31</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archipelago</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 xml:space="preserve">CG15010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BKN27400</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-4.37</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-0.03</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-2.20</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CDK9</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CG5179</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BKN21248</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-3.52</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-0.71</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-2.11</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windbeutel</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CG7225</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BKN22085</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-2.11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-1.86</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-1.98</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[unnamed]</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CG5001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BKN28978</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-2.78</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-1.00</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-1.89</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[unnamed]</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CG4629</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BKN27740</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-1.79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-1.96</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-1.87</w:t>
            </w:r>
          </w:p>
        </w:tc>
      </w:tr>
      <w:tr w:rsidR="00C3380A" w:rsidRPr="0013327C" w:rsidTr="00AB54FC">
        <w:trPr>
          <w:trHeight w:val="286"/>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 xml:space="preserve">tango </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CG11987</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BKN46184</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-3.33</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-0.32</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-1.83</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Pak3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CG14895</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BKN31386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-2.36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-1.08</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-1.72</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[unnamed]</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CG17233</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BKN26774</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-2.10</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-1.33</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-1.72</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par-1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CG8201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BKN40395</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-2.08</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-1.34</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-1.71</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E0200E">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Casein Kinase 1</w:t>
            </w:r>
            <w:r w:rsidR="00E0200E">
              <w:rPr>
                <w:rFonts w:asciiTheme="majorHAnsi" w:eastAsia="Times New Roman" w:hAnsiTheme="majorHAnsi" w:cs="Arial"/>
                <w:color w:val="000000"/>
                <w:kern w:val="24"/>
                <w:sz w:val="21"/>
                <w:szCs w:val="21"/>
                <w:lang w:eastAsia="en-GB"/>
              </w:rPr>
              <w:t>α</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CG2028</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BKN27574</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-2.70</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-0.70</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-1.70</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[unnamed]</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CG12325</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BKN22059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-2.11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-1.16</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-1.64</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osa-eld</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CG7467</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BKN29156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-1.65</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-1.31</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-1.48</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KLHL18 Kelch-like</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CG3571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BKN25744</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-2.05</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0.04</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-1.00</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Alpha-Beta Hydrolase</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CG3488</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BKN46211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-0.50</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-0.60</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-0.55</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[unnamed]</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CG8492</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BKN20396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1.72</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-0.73</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0.49</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[unnamed]</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CG34433</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BKN24984</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1.51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-0.16</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0.67</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Negative Elongation Factor</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CG5874</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BKN45137</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1.29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0.27</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0.78</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Rasputin</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CG9412</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BKN28430</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1.96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-0.19</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0.88</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RNA DEAD-like Helicase</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CG10689</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BKN20322</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2.45</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-0.64</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0.91</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Hsp83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CG1242</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BKN21307</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2.76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1.20</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1.98</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Stonewall</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CG3836</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BKN45199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4.04</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2.03</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3.03</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Ints4</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CG12113</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BKN22862</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3.43</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2.65</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3.04</w:t>
            </w:r>
          </w:p>
        </w:tc>
      </w:tr>
      <w:tr w:rsidR="00C3380A" w:rsidRPr="0013327C" w:rsidTr="00AB54FC">
        <w:trPr>
          <w:trHeight w:val="273"/>
        </w:trPr>
        <w:tc>
          <w:tcPr>
            <w:tcW w:w="238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 xml:space="preserve">Female Sterile 1 Homeotic </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CG2252</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BKN21636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3.54</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3.27</w:t>
            </w:r>
          </w:p>
        </w:tc>
        <w:tc>
          <w:tcPr>
            <w:tcW w:w="1140" w:type="dxa"/>
            <w:tcBorders>
              <w:top w:val="single" w:sz="4" w:space="0" w:color="000000"/>
              <w:left w:val="single" w:sz="4" w:space="0" w:color="000000"/>
              <w:bottom w:val="single" w:sz="4"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73"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3.41</w:t>
            </w:r>
          </w:p>
        </w:tc>
      </w:tr>
      <w:tr w:rsidR="00C3380A" w:rsidRPr="0013327C" w:rsidTr="00AB54FC">
        <w:trPr>
          <w:trHeight w:val="286"/>
        </w:trPr>
        <w:tc>
          <w:tcPr>
            <w:tcW w:w="2380" w:type="dxa"/>
            <w:tcBorders>
              <w:top w:val="single" w:sz="4" w:space="0" w:color="000000"/>
              <w:left w:val="single" w:sz="8" w:space="0" w:color="000000"/>
              <w:bottom w:val="single" w:sz="8"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[unnamed]</w:t>
            </w:r>
          </w:p>
        </w:tc>
        <w:tc>
          <w:tcPr>
            <w:tcW w:w="900" w:type="dxa"/>
            <w:tcBorders>
              <w:top w:val="single" w:sz="4" w:space="0" w:color="000000"/>
              <w:left w:val="single" w:sz="4" w:space="0" w:color="000000"/>
              <w:bottom w:val="single" w:sz="8"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CG14749</w:t>
            </w:r>
          </w:p>
        </w:tc>
        <w:tc>
          <w:tcPr>
            <w:tcW w:w="1020" w:type="dxa"/>
            <w:tcBorders>
              <w:top w:val="single" w:sz="4" w:space="0" w:color="000000"/>
              <w:left w:val="single" w:sz="4" w:space="0" w:color="000000"/>
              <w:bottom w:val="single" w:sz="8"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BKN45103</w:t>
            </w:r>
          </w:p>
        </w:tc>
        <w:tc>
          <w:tcPr>
            <w:tcW w:w="1480" w:type="dxa"/>
            <w:tcBorders>
              <w:top w:val="single" w:sz="4" w:space="0" w:color="000000"/>
              <w:left w:val="single" w:sz="4" w:space="0" w:color="000000"/>
              <w:bottom w:val="single" w:sz="8"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4.54</w:t>
            </w:r>
          </w:p>
        </w:tc>
        <w:tc>
          <w:tcPr>
            <w:tcW w:w="1480" w:type="dxa"/>
            <w:tcBorders>
              <w:top w:val="single" w:sz="4" w:space="0" w:color="000000"/>
              <w:left w:val="single" w:sz="4" w:space="0" w:color="000000"/>
              <w:bottom w:val="single" w:sz="8" w:space="0" w:color="000000"/>
              <w:right w:val="single" w:sz="4"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2.34</w:t>
            </w:r>
          </w:p>
        </w:tc>
        <w:tc>
          <w:tcPr>
            <w:tcW w:w="1140" w:type="dxa"/>
            <w:tcBorders>
              <w:top w:val="single" w:sz="4" w:space="0" w:color="000000"/>
              <w:left w:val="single" w:sz="4" w:space="0" w:color="000000"/>
              <w:bottom w:val="single" w:sz="8" w:space="0" w:color="000000"/>
              <w:right w:val="single" w:sz="8" w:space="0" w:color="000000"/>
            </w:tcBorders>
            <w:shd w:val="clear" w:color="auto" w:fill="auto"/>
            <w:tcMar>
              <w:top w:w="8" w:type="dxa"/>
              <w:left w:w="8" w:type="dxa"/>
              <w:bottom w:w="0" w:type="dxa"/>
              <w:right w:w="8" w:type="dxa"/>
            </w:tcMar>
            <w:vAlign w:val="bottom"/>
            <w:hideMark/>
          </w:tcPr>
          <w:p w:rsidR="00C3380A" w:rsidRPr="0013327C" w:rsidRDefault="00C3380A" w:rsidP="00AE0264">
            <w:pPr>
              <w:spacing w:after="0" w:line="286" w:lineRule="atLeast"/>
              <w:jc w:val="both"/>
              <w:textAlignment w:val="bottom"/>
              <w:rPr>
                <w:rFonts w:asciiTheme="majorHAnsi" w:eastAsia="Times New Roman" w:hAnsiTheme="majorHAnsi" w:cs="Arial"/>
                <w:sz w:val="36"/>
                <w:szCs w:val="36"/>
                <w:lang w:eastAsia="en-GB"/>
              </w:rPr>
            </w:pPr>
            <w:r w:rsidRPr="0013327C">
              <w:rPr>
                <w:rFonts w:asciiTheme="majorHAnsi" w:eastAsia="Times New Roman" w:hAnsiTheme="majorHAnsi" w:cs="Arial"/>
                <w:color w:val="000000"/>
                <w:kern w:val="24"/>
                <w:sz w:val="21"/>
                <w:szCs w:val="21"/>
                <w:lang w:eastAsia="en-GB"/>
              </w:rPr>
              <w:t>3.44</w:t>
            </w:r>
          </w:p>
        </w:tc>
      </w:tr>
    </w:tbl>
    <w:p w:rsidR="00C3380A" w:rsidRPr="0013327C" w:rsidRDefault="00C3380A" w:rsidP="00AE0264">
      <w:pPr>
        <w:jc w:val="both"/>
        <w:rPr>
          <w:rFonts w:asciiTheme="majorHAnsi" w:hAnsiTheme="majorHAnsi"/>
        </w:rPr>
      </w:pPr>
    </w:p>
    <w:p w:rsidR="004F7E7D" w:rsidRPr="009F1752" w:rsidRDefault="009F1752" w:rsidP="004F7E7D">
      <w:pPr>
        <w:rPr>
          <w:rFonts w:asciiTheme="majorHAnsi" w:hAnsiTheme="majorHAnsi"/>
          <w:b/>
        </w:rPr>
      </w:pPr>
      <w:proofErr w:type="gramStart"/>
      <w:r>
        <w:rPr>
          <w:rFonts w:asciiTheme="majorHAnsi" w:hAnsiTheme="majorHAnsi"/>
          <w:b/>
        </w:rPr>
        <w:t xml:space="preserve">Table </w:t>
      </w:r>
      <w:r w:rsidR="00B53387">
        <w:rPr>
          <w:rFonts w:asciiTheme="majorHAnsi" w:hAnsiTheme="majorHAnsi"/>
          <w:b/>
        </w:rPr>
        <w:t>4.7.</w:t>
      </w:r>
      <w:proofErr w:type="gramEnd"/>
      <w:r>
        <w:rPr>
          <w:rFonts w:asciiTheme="majorHAnsi" w:hAnsiTheme="majorHAnsi"/>
          <w:b/>
        </w:rPr>
        <w:t xml:space="preserve"> </w:t>
      </w:r>
      <w:r w:rsidR="004F7E7D" w:rsidRPr="009F1752">
        <w:rPr>
          <w:rFonts w:asciiTheme="majorHAnsi" w:hAnsiTheme="majorHAnsi"/>
          <w:b/>
        </w:rPr>
        <w:t xml:space="preserve"> </w:t>
      </w:r>
      <w:proofErr w:type="gramStart"/>
      <w:r w:rsidR="004F7E7D" w:rsidRPr="009F1752">
        <w:rPr>
          <w:rFonts w:asciiTheme="majorHAnsi" w:hAnsiTheme="majorHAnsi"/>
          <w:b/>
        </w:rPr>
        <w:t>The complete hitlist of Screen 2.</w:t>
      </w:r>
      <w:proofErr w:type="gramEnd"/>
    </w:p>
    <w:p w:rsidR="00C3380A" w:rsidRPr="009F1752" w:rsidRDefault="00E0200E" w:rsidP="004F7E7D">
      <w:pPr>
        <w:rPr>
          <w:rFonts w:asciiTheme="majorHAnsi" w:hAnsiTheme="majorHAnsi"/>
        </w:rPr>
      </w:pPr>
      <w:r w:rsidRPr="009F1752">
        <w:rPr>
          <w:rFonts w:asciiTheme="majorHAnsi" w:hAnsiTheme="majorHAnsi"/>
        </w:rPr>
        <w:lastRenderedPageBreak/>
        <w:t>T</w:t>
      </w:r>
      <w:r w:rsidR="00C3380A" w:rsidRPr="009F1752">
        <w:rPr>
          <w:rFonts w:asciiTheme="majorHAnsi" w:hAnsiTheme="majorHAnsi"/>
        </w:rPr>
        <w:t xml:space="preserve">he assay is overly sensitive to outlying WT phenotypes. The screen is particularly sensitive to negatively affected values. </w:t>
      </w:r>
    </w:p>
    <w:p w:rsidR="00C3380A" w:rsidRPr="0013327C" w:rsidRDefault="00C3380A" w:rsidP="00AE0264">
      <w:pPr>
        <w:jc w:val="both"/>
        <w:rPr>
          <w:rFonts w:asciiTheme="majorHAnsi" w:hAnsiTheme="majorHAnsi"/>
        </w:rPr>
      </w:pPr>
      <w:r w:rsidRPr="0013327C">
        <w:rPr>
          <w:rFonts w:asciiTheme="majorHAnsi" w:hAnsiTheme="majorHAnsi"/>
          <w:noProof/>
          <w:lang w:eastAsia="en-GB"/>
        </w:rPr>
        <w:drawing>
          <wp:inline distT="0" distB="0" distL="0" distR="0">
            <wp:extent cx="4940408" cy="5501898"/>
            <wp:effectExtent l="19050" t="0" r="0" b="0"/>
            <wp:docPr id="202"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77125" cy="7620000"/>
                      <a:chOff x="144463" y="0"/>
                      <a:chExt cx="7477125" cy="7620000"/>
                    </a:xfrm>
                  </a:grpSpPr>
                  <a:grpSp>
                    <a:nvGrpSpPr>
                      <a:cNvPr id="109" name="Group 108"/>
                      <a:cNvGrpSpPr/>
                    </a:nvGrpSpPr>
                    <a:grpSpPr>
                      <a:xfrm>
                        <a:off x="144463" y="0"/>
                        <a:ext cx="7477125" cy="7620000"/>
                        <a:chOff x="144463" y="0"/>
                        <a:chExt cx="7477125" cy="7620000"/>
                      </a:xfrm>
                    </a:grpSpPr>
                    <a:pic>
                      <a:nvPicPr>
                        <a:cNvPr id="2050" name="Picture 2"/>
                        <a:cNvPicPr>
                          <a:picLocks noChangeAspect="1" noChangeArrowheads="1"/>
                        </a:cNvPicPr>
                      </a:nvPicPr>
                      <a:blipFill>
                        <a:blip r:embed="rId115" cstate="print"/>
                        <a:srcRect/>
                        <a:stretch>
                          <a:fillRect/>
                        </a:stretch>
                      </a:blipFill>
                      <a:spPr bwMode="auto">
                        <a:xfrm>
                          <a:off x="144463" y="0"/>
                          <a:ext cx="7477125" cy="7620000"/>
                        </a:xfrm>
                        <a:prstGeom prst="rect">
                          <a:avLst/>
                        </a:prstGeom>
                        <a:noFill/>
                        <a:ln w="9525">
                          <a:noFill/>
                          <a:miter lim="800000"/>
                          <a:headEnd/>
                          <a:tailEnd/>
                        </a:ln>
                        <a:effectLst/>
                      </a:spPr>
                    </a:pic>
                    <a:cxnSp>
                      <a:nvCxnSpPr>
                        <a:cNvPr id="6" name="Straight Connector 5"/>
                        <a:cNvCxnSpPr/>
                      </a:nvCxnSpPr>
                      <a:spPr>
                        <a:xfrm>
                          <a:off x="1979712" y="4077072"/>
                          <a:ext cx="576064" cy="2376264"/>
                        </a:xfrm>
                        <a:prstGeom prst="line">
                          <a:avLst/>
                        </a:prstGeom>
                      </a:spPr>
                      <a:style>
                        <a:lnRef idx="1">
                          <a:schemeClr val="accent1"/>
                        </a:lnRef>
                        <a:fillRef idx="0">
                          <a:schemeClr val="accent1"/>
                        </a:fillRef>
                        <a:effectRef idx="0">
                          <a:schemeClr val="accent1"/>
                        </a:effectRef>
                        <a:fontRef idx="minor">
                          <a:schemeClr val="tx1"/>
                        </a:fontRef>
                      </a:style>
                    </a:cxnSp>
                    <a:sp>
                      <a:nvSpPr>
                        <a:cNvPr id="7" name="TextBox 6"/>
                        <a:cNvSpPr txBox="1"/>
                      </a:nvSpPr>
                      <a:spPr>
                        <a:xfrm>
                          <a:off x="2483768" y="6381328"/>
                          <a:ext cx="1800200"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PEX13: -13.14</a:t>
                            </a:r>
                            <a:endParaRPr lang="en-GB" sz="1400" dirty="0"/>
                          </a:p>
                        </a:txBody>
                        <a:useSpRect/>
                      </a:txSp>
                    </a:sp>
                    <a:cxnSp>
                      <a:nvCxnSpPr>
                        <a:cNvPr id="10" name="Straight Connector 9"/>
                        <a:cNvCxnSpPr/>
                      </a:nvCxnSpPr>
                      <a:spPr>
                        <a:xfrm>
                          <a:off x="2195736" y="3789040"/>
                          <a:ext cx="576064" cy="2304256"/>
                        </a:xfrm>
                        <a:prstGeom prst="line">
                          <a:avLst/>
                        </a:prstGeom>
                      </a:spPr>
                      <a:style>
                        <a:lnRef idx="1">
                          <a:schemeClr val="accent1"/>
                        </a:lnRef>
                        <a:fillRef idx="0">
                          <a:schemeClr val="accent1"/>
                        </a:fillRef>
                        <a:effectRef idx="0">
                          <a:schemeClr val="accent1"/>
                        </a:effectRef>
                        <a:fontRef idx="minor">
                          <a:schemeClr val="tx1"/>
                        </a:fontRef>
                      </a:style>
                    </a:cxnSp>
                    <a:sp>
                      <a:nvSpPr>
                        <a:cNvPr id="11" name="TextBox 10"/>
                        <a:cNvSpPr txBox="1"/>
                      </a:nvSpPr>
                      <a:spPr>
                        <a:xfrm>
                          <a:off x="2699792" y="6021288"/>
                          <a:ext cx="1440160"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PEX16: -11.44</a:t>
                            </a:r>
                            <a:endParaRPr lang="en-GB" dirty="0"/>
                          </a:p>
                        </a:txBody>
                        <a:useSpRect/>
                      </a:txSp>
                    </a:sp>
                    <a:cxnSp>
                      <a:nvCxnSpPr>
                        <a:cNvPr id="13" name="Straight Connector 12"/>
                        <a:cNvCxnSpPr/>
                      </a:nvCxnSpPr>
                      <a:spPr>
                        <a:xfrm>
                          <a:off x="2411760" y="3212976"/>
                          <a:ext cx="504056" cy="2520280"/>
                        </a:xfrm>
                        <a:prstGeom prst="line">
                          <a:avLst/>
                        </a:prstGeom>
                      </a:spPr>
                      <a:style>
                        <a:lnRef idx="1">
                          <a:schemeClr val="accent1"/>
                        </a:lnRef>
                        <a:fillRef idx="0">
                          <a:schemeClr val="accent1"/>
                        </a:fillRef>
                        <a:effectRef idx="0">
                          <a:schemeClr val="accent1"/>
                        </a:effectRef>
                        <a:fontRef idx="minor">
                          <a:schemeClr val="tx1"/>
                        </a:fontRef>
                      </a:style>
                    </a:cxnSp>
                    <a:sp>
                      <a:nvSpPr>
                        <a:cNvPr id="14" name="TextBox 13"/>
                        <a:cNvSpPr txBox="1"/>
                      </a:nvSpPr>
                      <a:spPr>
                        <a:xfrm>
                          <a:off x="2843808" y="5661248"/>
                          <a:ext cx="1224136"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PEX5: -8.40</a:t>
                            </a:r>
                            <a:endParaRPr lang="en-GB" dirty="0"/>
                          </a:p>
                        </a:txBody>
                        <a:useSpRect/>
                      </a:txSp>
                    </a:sp>
                    <a:cxnSp>
                      <a:nvCxnSpPr>
                        <a:cNvPr id="16" name="Straight Connector 15"/>
                        <a:cNvCxnSpPr/>
                      </a:nvCxnSpPr>
                      <a:spPr>
                        <a:xfrm>
                          <a:off x="2483768" y="2852936"/>
                          <a:ext cx="576064" cy="2448272"/>
                        </a:xfrm>
                        <a:prstGeom prst="line">
                          <a:avLst/>
                        </a:prstGeom>
                      </a:spPr>
                      <a:style>
                        <a:lnRef idx="1">
                          <a:schemeClr val="accent1"/>
                        </a:lnRef>
                        <a:fillRef idx="0">
                          <a:schemeClr val="accent1"/>
                        </a:fillRef>
                        <a:effectRef idx="0">
                          <a:schemeClr val="accent1"/>
                        </a:effectRef>
                        <a:fontRef idx="minor">
                          <a:schemeClr val="tx1"/>
                        </a:fontRef>
                      </a:style>
                    </a:cxnSp>
                    <a:sp>
                      <a:nvSpPr>
                        <a:cNvPr id="24" name="TextBox 23"/>
                        <a:cNvSpPr txBox="1"/>
                      </a:nvSpPr>
                      <a:spPr>
                        <a:xfrm>
                          <a:off x="2987824" y="5301208"/>
                          <a:ext cx="1368152"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PEX1: -7.07</a:t>
                            </a:r>
                            <a:endParaRPr lang="en-GB" dirty="0"/>
                          </a:p>
                        </a:txBody>
                        <a:useSpRect/>
                      </a:txSp>
                    </a:sp>
                    <a:cxnSp>
                      <a:nvCxnSpPr>
                        <a:cNvPr id="26" name="Straight Connector 25"/>
                        <a:cNvCxnSpPr/>
                      </a:nvCxnSpPr>
                      <a:spPr>
                        <a:xfrm>
                          <a:off x="2627784" y="2708920"/>
                          <a:ext cx="504056" cy="2304256"/>
                        </a:xfrm>
                        <a:prstGeom prst="line">
                          <a:avLst/>
                        </a:prstGeom>
                      </a:spPr>
                      <a:style>
                        <a:lnRef idx="1">
                          <a:schemeClr val="accent1"/>
                        </a:lnRef>
                        <a:fillRef idx="0">
                          <a:schemeClr val="accent1"/>
                        </a:fillRef>
                        <a:effectRef idx="0">
                          <a:schemeClr val="accent1"/>
                        </a:effectRef>
                        <a:fontRef idx="minor">
                          <a:schemeClr val="tx1"/>
                        </a:fontRef>
                      </a:style>
                    </a:cxnSp>
                    <a:sp>
                      <a:nvSpPr>
                        <a:cNvPr id="27" name="TextBox 26"/>
                        <a:cNvSpPr txBox="1"/>
                      </a:nvSpPr>
                      <a:spPr>
                        <a:xfrm>
                          <a:off x="3059832" y="4941168"/>
                          <a:ext cx="1296144"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err="1"/>
                              <a:t>n</a:t>
                            </a:r>
                            <a:r>
                              <a:rPr lang="en-GB" sz="1400" dirty="0" err="1" smtClean="0"/>
                              <a:t>md</a:t>
                            </a:r>
                            <a:r>
                              <a:rPr lang="en-GB" sz="1400" dirty="0" smtClean="0"/>
                              <a:t>: -6.75</a:t>
                            </a:r>
                            <a:endParaRPr lang="en-GB" dirty="0"/>
                          </a:p>
                        </a:txBody>
                        <a:useSpRect/>
                      </a:txSp>
                    </a:sp>
                    <a:cxnSp>
                      <a:nvCxnSpPr>
                        <a:cNvPr id="29" name="Straight Connector 28"/>
                        <a:cNvCxnSpPr/>
                      </a:nvCxnSpPr>
                      <a:spPr>
                        <a:xfrm>
                          <a:off x="2627784" y="2564904"/>
                          <a:ext cx="576064" cy="2160240"/>
                        </a:xfrm>
                        <a:prstGeom prst="line">
                          <a:avLst/>
                        </a:prstGeom>
                      </a:spPr>
                      <a:style>
                        <a:lnRef idx="1">
                          <a:schemeClr val="accent1"/>
                        </a:lnRef>
                        <a:fillRef idx="0">
                          <a:schemeClr val="accent1"/>
                        </a:fillRef>
                        <a:effectRef idx="0">
                          <a:schemeClr val="accent1"/>
                        </a:effectRef>
                        <a:fontRef idx="minor">
                          <a:schemeClr val="tx1"/>
                        </a:fontRef>
                      </a:style>
                    </a:cxnSp>
                    <a:cxnSp>
                      <a:nvCxnSpPr>
                        <a:cNvPr id="31" name="Straight Connector 30"/>
                        <a:cNvCxnSpPr/>
                      </a:nvCxnSpPr>
                      <a:spPr>
                        <a:xfrm>
                          <a:off x="2699792" y="2492896"/>
                          <a:ext cx="504056" cy="2232248"/>
                        </a:xfrm>
                        <a:prstGeom prst="line">
                          <a:avLst/>
                        </a:prstGeom>
                      </a:spPr>
                      <a:style>
                        <a:lnRef idx="1">
                          <a:schemeClr val="accent1"/>
                        </a:lnRef>
                        <a:fillRef idx="0">
                          <a:schemeClr val="accent1"/>
                        </a:fillRef>
                        <a:effectRef idx="0">
                          <a:schemeClr val="accent1"/>
                        </a:effectRef>
                        <a:fontRef idx="minor">
                          <a:schemeClr val="tx1"/>
                        </a:fontRef>
                      </a:style>
                    </a:cxnSp>
                    <a:sp>
                      <a:nvSpPr>
                        <a:cNvPr id="32" name="TextBox 31"/>
                        <a:cNvSpPr txBox="1"/>
                      </a:nvSpPr>
                      <a:spPr>
                        <a:xfrm>
                          <a:off x="3131840" y="4653136"/>
                          <a:ext cx="1512168"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err="1" smtClean="0"/>
                              <a:t>sqh</a:t>
                            </a:r>
                            <a:r>
                              <a:rPr lang="en-GB" sz="1400" dirty="0" smtClean="0"/>
                              <a:t>: -5.49, -4.98 </a:t>
                            </a:r>
                            <a:endParaRPr lang="en-GB" sz="1400" dirty="0"/>
                          </a:p>
                        </a:txBody>
                        <a:useSpRect/>
                      </a:txSp>
                    </a:sp>
                    <a:cxnSp>
                      <a:nvCxnSpPr>
                        <a:cNvPr id="41" name="Straight Connector 40"/>
                        <a:cNvCxnSpPr/>
                      </a:nvCxnSpPr>
                      <a:spPr>
                        <a:xfrm>
                          <a:off x="2771800" y="2348880"/>
                          <a:ext cx="504056" cy="2088232"/>
                        </a:xfrm>
                        <a:prstGeom prst="line">
                          <a:avLst/>
                        </a:prstGeom>
                      </a:spPr>
                      <a:style>
                        <a:lnRef idx="1">
                          <a:schemeClr val="accent1"/>
                        </a:lnRef>
                        <a:fillRef idx="0">
                          <a:schemeClr val="accent1"/>
                        </a:fillRef>
                        <a:effectRef idx="0">
                          <a:schemeClr val="accent1"/>
                        </a:effectRef>
                        <a:fontRef idx="minor">
                          <a:schemeClr val="tx1"/>
                        </a:fontRef>
                      </a:style>
                    </a:cxnSp>
                    <a:sp>
                      <a:nvSpPr>
                        <a:cNvPr id="42" name="TextBox 41"/>
                        <a:cNvSpPr txBox="1"/>
                      </a:nvSpPr>
                      <a:spPr>
                        <a:xfrm>
                          <a:off x="3203848" y="4365104"/>
                          <a:ext cx="1512168"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err="1" smtClean="0"/>
                              <a:t>Tango11</a:t>
                            </a:r>
                            <a:r>
                              <a:rPr lang="en-GB" sz="1400" dirty="0" smtClean="0"/>
                              <a:t>: -4.75</a:t>
                            </a:r>
                            <a:endParaRPr lang="en-GB" dirty="0"/>
                          </a:p>
                        </a:txBody>
                        <a:useSpRect/>
                      </a:txSp>
                    </a:sp>
                    <a:cxnSp>
                      <a:nvCxnSpPr>
                        <a:cNvPr id="44" name="Straight Connector 43"/>
                        <a:cNvCxnSpPr/>
                      </a:nvCxnSpPr>
                      <a:spPr>
                        <a:xfrm>
                          <a:off x="2843808" y="2348880"/>
                          <a:ext cx="504056" cy="1728192"/>
                        </a:xfrm>
                        <a:prstGeom prst="line">
                          <a:avLst/>
                        </a:prstGeom>
                      </a:spPr>
                      <a:style>
                        <a:lnRef idx="1">
                          <a:schemeClr val="accent1"/>
                        </a:lnRef>
                        <a:fillRef idx="0">
                          <a:schemeClr val="accent1"/>
                        </a:fillRef>
                        <a:effectRef idx="0">
                          <a:schemeClr val="accent1"/>
                        </a:effectRef>
                        <a:fontRef idx="minor">
                          <a:schemeClr val="tx1"/>
                        </a:fontRef>
                      </a:style>
                    </a:cxnSp>
                    <a:sp>
                      <a:nvSpPr>
                        <a:cNvPr id="45" name="TextBox 44"/>
                        <a:cNvSpPr txBox="1"/>
                      </a:nvSpPr>
                      <a:spPr>
                        <a:xfrm>
                          <a:off x="3275856" y="4057327"/>
                          <a:ext cx="1440160"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err="1" smtClean="0"/>
                              <a:t>Atlastin</a:t>
                            </a:r>
                            <a:r>
                              <a:rPr lang="en-GB" sz="1400" dirty="0" smtClean="0"/>
                              <a:t>: -4.68</a:t>
                            </a:r>
                            <a:endParaRPr lang="en-GB" dirty="0"/>
                          </a:p>
                        </a:txBody>
                        <a:useSpRect/>
                      </a:txSp>
                    </a:sp>
                    <a:cxnSp>
                      <a:nvCxnSpPr>
                        <a:cNvPr id="47" name="Straight Connector 46"/>
                        <a:cNvCxnSpPr/>
                      </a:nvCxnSpPr>
                      <a:spPr>
                        <a:xfrm>
                          <a:off x="2843808" y="2132856"/>
                          <a:ext cx="576064" cy="1728192"/>
                        </a:xfrm>
                        <a:prstGeom prst="line">
                          <a:avLst/>
                        </a:prstGeom>
                      </a:spPr>
                      <a:style>
                        <a:lnRef idx="1">
                          <a:schemeClr val="accent1"/>
                        </a:lnRef>
                        <a:fillRef idx="0">
                          <a:schemeClr val="accent1"/>
                        </a:fillRef>
                        <a:effectRef idx="0">
                          <a:schemeClr val="accent1"/>
                        </a:effectRef>
                        <a:fontRef idx="minor">
                          <a:schemeClr val="tx1"/>
                        </a:fontRef>
                      </a:style>
                    </a:cxnSp>
                    <a:sp>
                      <a:nvSpPr>
                        <a:cNvPr id="48" name="TextBox 47"/>
                        <a:cNvSpPr txBox="1"/>
                      </a:nvSpPr>
                      <a:spPr>
                        <a:xfrm>
                          <a:off x="3347864" y="3789040"/>
                          <a:ext cx="1728192"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PEX3: -4.20</a:t>
                            </a:r>
                            <a:endParaRPr lang="en-GB" dirty="0"/>
                          </a:p>
                        </a:txBody>
                        <a:useSpRect/>
                      </a:txSp>
                    </a:sp>
                    <a:cxnSp>
                      <a:nvCxnSpPr>
                        <a:cNvPr id="51" name="Straight Connector 50"/>
                        <a:cNvCxnSpPr/>
                      </a:nvCxnSpPr>
                      <a:spPr>
                        <a:xfrm>
                          <a:off x="2915816" y="2060848"/>
                          <a:ext cx="648072" cy="1512168"/>
                        </a:xfrm>
                        <a:prstGeom prst="line">
                          <a:avLst/>
                        </a:prstGeom>
                      </a:spPr>
                      <a:style>
                        <a:lnRef idx="1">
                          <a:schemeClr val="accent1"/>
                        </a:lnRef>
                        <a:fillRef idx="0">
                          <a:schemeClr val="accent1"/>
                        </a:fillRef>
                        <a:effectRef idx="0">
                          <a:schemeClr val="accent1"/>
                        </a:effectRef>
                        <a:fontRef idx="minor">
                          <a:schemeClr val="tx1"/>
                        </a:fontRef>
                      </a:style>
                    </a:cxnSp>
                    <a:sp>
                      <a:nvSpPr>
                        <a:cNvPr id="52" name="TextBox 51"/>
                        <a:cNvSpPr txBox="1"/>
                      </a:nvSpPr>
                      <a:spPr>
                        <a:xfrm>
                          <a:off x="3491880" y="3481263"/>
                          <a:ext cx="1584176"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err="1" smtClean="0"/>
                              <a:t>Drp1</a:t>
                            </a:r>
                            <a:r>
                              <a:rPr lang="en-GB" sz="1400" dirty="0" smtClean="0"/>
                              <a:t>: -3.12</a:t>
                            </a:r>
                            <a:endParaRPr lang="en-GB" dirty="0"/>
                          </a:p>
                        </a:txBody>
                        <a:useSpRect/>
                      </a:txSp>
                    </a:sp>
                    <a:cxnSp>
                      <a:nvCxnSpPr>
                        <a:cNvPr id="54" name="Straight Connector 53"/>
                        <a:cNvCxnSpPr/>
                      </a:nvCxnSpPr>
                      <a:spPr>
                        <a:xfrm>
                          <a:off x="3059832" y="1916832"/>
                          <a:ext cx="648072" cy="1152128"/>
                        </a:xfrm>
                        <a:prstGeom prst="line">
                          <a:avLst/>
                        </a:prstGeom>
                      </a:spPr>
                      <a:style>
                        <a:lnRef idx="1">
                          <a:schemeClr val="accent1"/>
                        </a:lnRef>
                        <a:fillRef idx="0">
                          <a:schemeClr val="accent1"/>
                        </a:fillRef>
                        <a:effectRef idx="0">
                          <a:schemeClr val="accent1"/>
                        </a:effectRef>
                        <a:fontRef idx="minor">
                          <a:schemeClr val="tx1"/>
                        </a:fontRef>
                      </a:style>
                    </a:cxnSp>
                    <a:sp>
                      <a:nvSpPr>
                        <a:cNvPr id="55" name="TextBox 54"/>
                        <a:cNvSpPr txBox="1"/>
                      </a:nvSpPr>
                      <a:spPr>
                        <a:xfrm>
                          <a:off x="3635896" y="2977207"/>
                          <a:ext cx="1800200"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PEX11</a:t>
                            </a:r>
                            <a:r>
                              <a:rPr lang="el-GR" sz="1400" dirty="0" smtClean="0"/>
                              <a:t>β</a:t>
                            </a:r>
                            <a:r>
                              <a:rPr lang="en-GB" sz="1400" dirty="0" smtClean="0"/>
                              <a:t>: -2.31</a:t>
                            </a:r>
                            <a:endParaRPr lang="en-GB" sz="1400" dirty="0"/>
                          </a:p>
                        </a:txBody>
                        <a:useSpRect/>
                      </a:txSp>
                    </a:sp>
                    <a:cxnSp>
                      <a:nvCxnSpPr>
                        <a:cNvPr id="57" name="Straight Connector 56"/>
                        <a:cNvCxnSpPr/>
                      </a:nvCxnSpPr>
                      <a:spPr>
                        <a:xfrm>
                          <a:off x="2987824" y="1916832"/>
                          <a:ext cx="648072" cy="1368152"/>
                        </a:xfrm>
                        <a:prstGeom prst="line">
                          <a:avLst/>
                        </a:prstGeom>
                      </a:spPr>
                      <a:style>
                        <a:lnRef idx="1">
                          <a:schemeClr val="accent1"/>
                        </a:lnRef>
                        <a:fillRef idx="0">
                          <a:schemeClr val="accent1"/>
                        </a:fillRef>
                        <a:effectRef idx="0">
                          <a:schemeClr val="accent1"/>
                        </a:effectRef>
                        <a:fontRef idx="minor">
                          <a:schemeClr val="tx1"/>
                        </a:fontRef>
                      </a:style>
                    </a:cxnSp>
                    <a:sp>
                      <a:nvSpPr>
                        <a:cNvPr id="60" name="TextBox 59"/>
                        <a:cNvSpPr txBox="1"/>
                      </a:nvSpPr>
                      <a:spPr>
                        <a:xfrm>
                          <a:off x="3563888" y="3212976"/>
                          <a:ext cx="1368152"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PEX19: -2.77</a:t>
                            </a:r>
                            <a:endParaRPr lang="en-GB" dirty="0"/>
                          </a:p>
                        </a:txBody>
                        <a:useSpRect/>
                      </a:txSp>
                    </a:sp>
                    <a:sp>
                      <a:nvSpPr>
                        <a:cNvPr id="66" name="TextBox 65"/>
                        <a:cNvSpPr txBox="1"/>
                      </a:nvSpPr>
                      <a:spPr>
                        <a:xfrm>
                          <a:off x="4283968" y="1988840"/>
                          <a:ext cx="1368152"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PEX12: -0.50</a:t>
                            </a:r>
                            <a:endParaRPr lang="en-GB" dirty="0"/>
                          </a:p>
                        </a:txBody>
                        <a:useSpRect/>
                      </a:txSp>
                    </a:sp>
                    <a:sp>
                      <a:nvSpPr>
                        <a:cNvPr id="70" name="TextBox 69"/>
                        <a:cNvSpPr txBox="1"/>
                      </a:nvSpPr>
                      <a:spPr>
                        <a:xfrm>
                          <a:off x="3995936" y="2401143"/>
                          <a:ext cx="1872208"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PEX10: -1.33</a:t>
                            </a:r>
                            <a:endParaRPr lang="en-GB" dirty="0"/>
                          </a:p>
                        </a:txBody>
                        <a:useSpRect/>
                      </a:txSp>
                    </a:sp>
                    <a:sp>
                      <a:nvSpPr>
                        <a:cNvPr id="79" name="TextBox 78"/>
                        <a:cNvSpPr txBox="1"/>
                      </a:nvSpPr>
                      <a:spPr>
                        <a:xfrm>
                          <a:off x="3707904" y="2761183"/>
                          <a:ext cx="1656184"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PEX2: -2.23</a:t>
                            </a:r>
                            <a:endParaRPr lang="en-GB" dirty="0"/>
                          </a:p>
                        </a:txBody>
                        <a:useSpRect/>
                      </a:txSp>
                    </a:sp>
                    <a:sp>
                      <a:nvSpPr>
                        <a:cNvPr id="82" name="TextBox 81"/>
                        <a:cNvSpPr txBox="1"/>
                      </a:nvSpPr>
                      <a:spPr>
                        <a:xfrm>
                          <a:off x="3851920" y="2564904"/>
                          <a:ext cx="1656184"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PEX14: -1.41</a:t>
                            </a:r>
                            <a:endParaRPr lang="en-GB" dirty="0"/>
                          </a:p>
                        </a:txBody>
                        <a:useSpRect/>
                      </a:txSp>
                    </a:sp>
                    <a:sp>
                      <a:nvSpPr>
                        <a:cNvPr id="83" name="TextBox 82"/>
                        <a:cNvSpPr txBox="1"/>
                      </a:nvSpPr>
                      <a:spPr>
                        <a:xfrm>
                          <a:off x="4139952" y="2204864"/>
                          <a:ext cx="1512168"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PEX11</a:t>
                            </a:r>
                            <a:r>
                              <a:rPr lang="el-GR" sz="1400" dirty="0" smtClean="0"/>
                              <a:t>γ</a:t>
                            </a:r>
                            <a:r>
                              <a:rPr lang="en-GB" sz="1400" dirty="0" smtClean="0"/>
                              <a:t>: -0.57</a:t>
                            </a:r>
                            <a:endParaRPr lang="en-GB" sz="1400" dirty="0"/>
                          </a:p>
                        </a:txBody>
                        <a:useSpRect/>
                      </a:txSp>
                    </a:sp>
                    <a:sp>
                      <a:nvSpPr>
                        <a:cNvPr id="84" name="TextBox 83"/>
                        <a:cNvSpPr txBox="1"/>
                      </a:nvSpPr>
                      <a:spPr>
                        <a:xfrm>
                          <a:off x="4427984" y="1825079"/>
                          <a:ext cx="1872208"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PEX7: 0.00</a:t>
                            </a:r>
                            <a:endParaRPr lang="en-GB" dirty="0"/>
                          </a:p>
                        </a:txBody>
                        <a:useSpRect/>
                      </a:txSp>
                    </a:sp>
                    <a:sp>
                      <a:nvSpPr>
                        <a:cNvPr id="85" name="TextBox 84"/>
                        <a:cNvSpPr txBox="1"/>
                      </a:nvSpPr>
                      <a:spPr>
                        <a:xfrm>
                          <a:off x="5004048" y="1628800"/>
                          <a:ext cx="1656184"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t>PEX6: 0.76</a:t>
                            </a:r>
                            <a:endParaRPr lang="en-GB" dirty="0"/>
                          </a:p>
                        </a:txBody>
                        <a:useSpRect/>
                      </a:txSp>
                    </a:sp>
                    <a:cxnSp>
                      <a:nvCxnSpPr>
                        <a:cNvPr id="87" name="Straight Connector 86"/>
                        <a:cNvCxnSpPr/>
                      </a:nvCxnSpPr>
                      <a:spPr>
                        <a:xfrm>
                          <a:off x="3203848" y="1772816"/>
                          <a:ext cx="576064" cy="1080120"/>
                        </a:xfrm>
                        <a:prstGeom prst="line">
                          <a:avLst/>
                        </a:prstGeom>
                      </a:spPr>
                      <a:style>
                        <a:lnRef idx="1">
                          <a:schemeClr val="accent1"/>
                        </a:lnRef>
                        <a:fillRef idx="0">
                          <a:schemeClr val="accent1"/>
                        </a:fillRef>
                        <a:effectRef idx="0">
                          <a:schemeClr val="accent1"/>
                        </a:effectRef>
                        <a:fontRef idx="minor">
                          <a:schemeClr val="tx1"/>
                        </a:fontRef>
                      </a:style>
                    </a:cxnSp>
                    <a:cxnSp>
                      <a:nvCxnSpPr>
                        <a:cNvPr id="90" name="Straight Connector 89"/>
                        <a:cNvCxnSpPr/>
                      </a:nvCxnSpPr>
                      <a:spPr>
                        <a:xfrm flipH="1" flipV="1">
                          <a:off x="3491880" y="1700808"/>
                          <a:ext cx="432048" cy="936104"/>
                        </a:xfrm>
                        <a:prstGeom prst="line">
                          <a:avLst/>
                        </a:prstGeom>
                      </a:spPr>
                      <a:style>
                        <a:lnRef idx="1">
                          <a:schemeClr val="accent1"/>
                        </a:lnRef>
                        <a:fillRef idx="0">
                          <a:schemeClr val="accent1"/>
                        </a:fillRef>
                        <a:effectRef idx="0">
                          <a:schemeClr val="accent1"/>
                        </a:effectRef>
                        <a:fontRef idx="minor">
                          <a:schemeClr val="tx1"/>
                        </a:fontRef>
                      </a:style>
                    </a:cxnSp>
                    <a:cxnSp>
                      <a:nvCxnSpPr>
                        <a:cNvPr id="93" name="Straight Connector 92"/>
                        <a:cNvCxnSpPr/>
                      </a:nvCxnSpPr>
                      <a:spPr>
                        <a:xfrm>
                          <a:off x="3563888" y="1700808"/>
                          <a:ext cx="504056" cy="792088"/>
                        </a:xfrm>
                        <a:prstGeom prst="line">
                          <a:avLst/>
                        </a:prstGeom>
                      </a:spPr>
                      <a:style>
                        <a:lnRef idx="1">
                          <a:schemeClr val="accent1"/>
                        </a:lnRef>
                        <a:fillRef idx="0">
                          <a:schemeClr val="accent1"/>
                        </a:fillRef>
                        <a:effectRef idx="0">
                          <a:schemeClr val="accent1"/>
                        </a:effectRef>
                        <a:fontRef idx="minor">
                          <a:schemeClr val="tx1"/>
                        </a:fontRef>
                      </a:style>
                    </a:cxnSp>
                    <a:cxnSp>
                      <a:nvCxnSpPr>
                        <a:cNvPr id="98" name="Straight Connector 97"/>
                        <a:cNvCxnSpPr/>
                      </a:nvCxnSpPr>
                      <a:spPr>
                        <a:xfrm flipH="1" flipV="1">
                          <a:off x="3779912" y="1628800"/>
                          <a:ext cx="432048" cy="648072"/>
                        </a:xfrm>
                        <a:prstGeom prst="line">
                          <a:avLst/>
                        </a:prstGeom>
                      </a:spPr>
                      <a:style>
                        <a:lnRef idx="1">
                          <a:schemeClr val="accent1"/>
                        </a:lnRef>
                        <a:fillRef idx="0">
                          <a:schemeClr val="accent1"/>
                        </a:fillRef>
                        <a:effectRef idx="0">
                          <a:schemeClr val="accent1"/>
                        </a:effectRef>
                        <a:fontRef idx="minor">
                          <a:schemeClr val="tx1"/>
                        </a:fontRef>
                      </a:style>
                    </a:cxnSp>
                    <a:cxnSp>
                      <a:nvCxnSpPr>
                        <a:cNvPr id="101" name="Straight Connector 100"/>
                        <a:cNvCxnSpPr>
                          <a:endCxn id="66" idx="1"/>
                        </a:cNvCxnSpPr>
                      </a:nvCxnSpPr>
                      <a:spPr>
                        <a:xfrm>
                          <a:off x="3851920" y="1628800"/>
                          <a:ext cx="432048" cy="513929"/>
                        </a:xfrm>
                        <a:prstGeom prst="line">
                          <a:avLst/>
                        </a:prstGeom>
                      </a:spPr>
                      <a:style>
                        <a:lnRef idx="1">
                          <a:schemeClr val="accent1"/>
                        </a:lnRef>
                        <a:fillRef idx="0">
                          <a:schemeClr val="accent1"/>
                        </a:fillRef>
                        <a:effectRef idx="0">
                          <a:schemeClr val="accent1"/>
                        </a:effectRef>
                        <a:fontRef idx="minor">
                          <a:schemeClr val="tx1"/>
                        </a:fontRef>
                      </a:style>
                    </a:cxnSp>
                    <a:cxnSp>
                      <a:nvCxnSpPr>
                        <a:cNvPr id="103" name="Straight Connector 102"/>
                        <a:cNvCxnSpPr/>
                      </a:nvCxnSpPr>
                      <a:spPr>
                        <a:xfrm flipH="1" flipV="1">
                          <a:off x="4139952" y="1556792"/>
                          <a:ext cx="360040" cy="360040"/>
                        </a:xfrm>
                        <a:prstGeom prst="line">
                          <a:avLst/>
                        </a:prstGeom>
                      </a:spPr>
                      <a:style>
                        <a:lnRef idx="1">
                          <a:schemeClr val="accent1"/>
                        </a:lnRef>
                        <a:fillRef idx="0">
                          <a:schemeClr val="accent1"/>
                        </a:fillRef>
                        <a:effectRef idx="0">
                          <a:schemeClr val="accent1"/>
                        </a:effectRef>
                        <a:fontRef idx="minor">
                          <a:schemeClr val="tx1"/>
                        </a:fontRef>
                      </a:style>
                    </a:cxnSp>
                    <a:cxnSp>
                      <a:nvCxnSpPr>
                        <a:cNvPr id="106" name="Straight Connector 105"/>
                        <a:cNvCxnSpPr/>
                      </a:nvCxnSpPr>
                      <a:spPr>
                        <a:xfrm flipH="1" flipV="1">
                          <a:off x="4788024" y="1412777"/>
                          <a:ext cx="288032" cy="360039"/>
                        </a:xfrm>
                        <a:prstGeom prst="line">
                          <a:avLst/>
                        </a:prstGeom>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C3380A" w:rsidRPr="0013327C" w:rsidRDefault="00C3380A" w:rsidP="00AE0264">
      <w:pPr>
        <w:jc w:val="both"/>
        <w:rPr>
          <w:rFonts w:asciiTheme="majorHAnsi" w:hAnsiTheme="majorHAnsi"/>
        </w:rPr>
      </w:pPr>
      <w:proofErr w:type="gramStart"/>
      <w:r w:rsidRPr="0013327C">
        <w:rPr>
          <w:rFonts w:asciiTheme="majorHAnsi" w:hAnsiTheme="majorHAnsi"/>
          <w:b/>
        </w:rPr>
        <w:t>Figure 4.</w:t>
      </w:r>
      <w:r w:rsidR="009F1752">
        <w:rPr>
          <w:rFonts w:asciiTheme="majorHAnsi" w:hAnsiTheme="majorHAnsi"/>
          <w:b/>
        </w:rPr>
        <w:t>2</w:t>
      </w:r>
      <w:r w:rsidR="00B52A6C">
        <w:rPr>
          <w:rFonts w:asciiTheme="majorHAnsi" w:hAnsiTheme="majorHAnsi"/>
          <w:b/>
        </w:rPr>
        <w:t>3</w:t>
      </w:r>
      <w:r w:rsidR="004F7E7D">
        <w:rPr>
          <w:rFonts w:asciiTheme="majorHAnsi" w:hAnsiTheme="majorHAnsi"/>
          <w:b/>
        </w:rPr>
        <w:t>.</w:t>
      </w:r>
      <w:proofErr w:type="gramEnd"/>
      <w:r w:rsidR="004F7E7D">
        <w:rPr>
          <w:rFonts w:asciiTheme="majorHAnsi" w:hAnsiTheme="majorHAnsi"/>
          <w:b/>
        </w:rPr>
        <w:t xml:space="preserve"> </w:t>
      </w:r>
      <w:r w:rsidRPr="0013327C">
        <w:rPr>
          <w:rFonts w:asciiTheme="majorHAnsi" w:hAnsiTheme="majorHAnsi"/>
          <w:b/>
        </w:rPr>
        <w:t xml:space="preserve"> </w:t>
      </w:r>
      <w:proofErr w:type="gramStart"/>
      <w:r w:rsidR="00A95CDF" w:rsidRPr="0013327C">
        <w:rPr>
          <w:rFonts w:asciiTheme="majorHAnsi" w:hAnsiTheme="majorHAnsi"/>
          <w:b/>
        </w:rPr>
        <w:t>A Q-Q plot showing theoretical quantiles against the normalised</w:t>
      </w:r>
      <w:r w:rsidR="00A95CDF">
        <w:rPr>
          <w:rFonts w:asciiTheme="majorHAnsi" w:hAnsiTheme="majorHAnsi"/>
          <w:b/>
        </w:rPr>
        <w:t xml:space="preserve"> Z</w:t>
      </w:r>
      <w:r w:rsidR="00A95CDF" w:rsidRPr="0013327C">
        <w:rPr>
          <w:rFonts w:asciiTheme="majorHAnsi" w:hAnsiTheme="majorHAnsi"/>
          <w:b/>
        </w:rPr>
        <w:t>-scores of the average of the two genome-wide screens.</w:t>
      </w:r>
      <w:proofErr w:type="gramEnd"/>
      <w:r w:rsidR="00A95CDF" w:rsidRPr="0013327C">
        <w:rPr>
          <w:rFonts w:asciiTheme="majorHAnsi" w:hAnsiTheme="majorHAnsi"/>
          <w:b/>
        </w:rPr>
        <w:t xml:space="preserve"> </w:t>
      </w:r>
      <w:r w:rsidRPr="0013327C">
        <w:rPr>
          <w:rFonts w:asciiTheme="majorHAnsi" w:hAnsiTheme="majorHAnsi"/>
        </w:rPr>
        <w:t>Controls (n=848) are shown in red, genome-wide screen (n=19504</w:t>
      </w:r>
      <w:proofErr w:type="gramStart"/>
      <w:r w:rsidRPr="0013327C">
        <w:rPr>
          <w:rFonts w:asciiTheme="majorHAnsi" w:hAnsiTheme="majorHAnsi"/>
        </w:rPr>
        <w:t>)are</w:t>
      </w:r>
      <w:proofErr w:type="gramEnd"/>
      <w:r w:rsidRPr="0013327C">
        <w:rPr>
          <w:rFonts w:asciiTheme="majorHAnsi" w:hAnsiTheme="majorHAnsi"/>
        </w:rPr>
        <w:t xml:space="preserve"> shown in black. Included are the locations of the average z-scores for KDs of the </w:t>
      </w:r>
      <w:r w:rsidR="000C26B2" w:rsidRPr="000C26B2">
        <w:rPr>
          <w:rFonts w:asciiTheme="majorHAnsi" w:hAnsiTheme="majorHAnsi"/>
          <w:i/>
        </w:rPr>
        <w:t>PEX</w:t>
      </w:r>
      <w:r w:rsidRPr="0013327C">
        <w:rPr>
          <w:rFonts w:asciiTheme="majorHAnsi" w:hAnsiTheme="majorHAnsi"/>
        </w:rPr>
        <w:t xml:space="preserve"> gene homologues and the three main gene KDs to come out of both screens (nmd, sqh and atl). The data shows that on average the two screens cause a more dispersed distribution than is normal. </w:t>
      </w:r>
    </w:p>
    <w:p w:rsidR="00C3380A" w:rsidRPr="0013327C" w:rsidRDefault="00C3380A" w:rsidP="00AE0264">
      <w:pPr>
        <w:pStyle w:val="Heading2"/>
        <w:jc w:val="both"/>
      </w:pPr>
      <w:bookmarkStart w:id="124" w:name="_Toc348423376"/>
      <w:r w:rsidRPr="0013327C">
        <w:t>Discussion</w:t>
      </w:r>
      <w:bookmarkEnd w:id="124"/>
    </w:p>
    <w:p w:rsidR="00C3380A" w:rsidRPr="0013327C" w:rsidRDefault="00C3380A" w:rsidP="00AE0264">
      <w:pPr>
        <w:jc w:val="both"/>
        <w:rPr>
          <w:rFonts w:asciiTheme="majorHAnsi" w:hAnsiTheme="majorHAnsi"/>
        </w:rPr>
      </w:pPr>
      <w:r w:rsidRPr="0013327C">
        <w:rPr>
          <w:rFonts w:asciiTheme="majorHAnsi" w:hAnsiTheme="majorHAnsi"/>
        </w:rPr>
        <w:t xml:space="preserve">The second genome-wide screen in </w:t>
      </w:r>
      <w:r w:rsidRPr="0013327C">
        <w:rPr>
          <w:rFonts w:asciiTheme="majorHAnsi" w:hAnsiTheme="majorHAnsi"/>
          <w:i/>
        </w:rPr>
        <w:t xml:space="preserve">D. melanogaster </w:t>
      </w:r>
      <w:r w:rsidRPr="0013327C">
        <w:rPr>
          <w:rFonts w:asciiTheme="majorHAnsi" w:hAnsiTheme="majorHAnsi"/>
        </w:rPr>
        <w:t xml:space="preserve">was able to obtain further candidate genes for investigation. The screen identified 37 gene KDs from 38 probes </w:t>
      </w:r>
      <w:r w:rsidRPr="0013327C">
        <w:rPr>
          <w:rFonts w:asciiTheme="majorHAnsi" w:hAnsiTheme="majorHAnsi"/>
        </w:rPr>
        <w:lastRenderedPageBreak/>
        <w:t xml:space="preserve">including 7 known </w:t>
      </w:r>
      <w:r w:rsidR="000C26B2" w:rsidRPr="000C26B2">
        <w:rPr>
          <w:rFonts w:asciiTheme="majorHAnsi" w:hAnsiTheme="majorHAnsi"/>
          <w:i/>
        </w:rPr>
        <w:t>PEX</w:t>
      </w:r>
      <w:r w:rsidRPr="0013327C">
        <w:rPr>
          <w:rFonts w:asciiTheme="majorHAnsi" w:hAnsiTheme="majorHAnsi"/>
        </w:rPr>
        <w:t xml:space="preserve"> gene homologues and two genes known to be involved in </w:t>
      </w:r>
      <w:r w:rsidR="00A95CDF" w:rsidRPr="0013327C">
        <w:rPr>
          <w:rFonts w:asciiTheme="majorHAnsi" w:hAnsiTheme="majorHAnsi"/>
        </w:rPr>
        <w:t>peroxisome</w:t>
      </w:r>
      <w:r w:rsidRPr="0013327C">
        <w:rPr>
          <w:rFonts w:asciiTheme="majorHAnsi" w:hAnsiTheme="majorHAnsi"/>
        </w:rPr>
        <w:t xml:space="preserve"> biogenesis, multiplication or inheritance; these were confirmed visually from 21% of the screen.</w:t>
      </w:r>
    </w:p>
    <w:p w:rsidR="00C3380A" w:rsidRPr="0013327C" w:rsidRDefault="00C3380A" w:rsidP="00AE0264">
      <w:pPr>
        <w:jc w:val="both"/>
        <w:rPr>
          <w:rFonts w:asciiTheme="majorHAnsi" w:hAnsiTheme="majorHAnsi"/>
        </w:rPr>
      </w:pPr>
      <w:r w:rsidRPr="0013327C">
        <w:rPr>
          <w:rFonts w:asciiTheme="majorHAnsi" w:hAnsiTheme="majorHAnsi"/>
        </w:rPr>
        <w:t>Initially these data sound promising but it has been observed upon visual screening of several of the aberrant phenotypes that some of the z-scores have been produced by wells with disproportionally high numbers of cells expressing very low levels of eGFP-PTS1. The assay was induced with a decreased concentration of CuSO</w:t>
      </w:r>
      <w:r w:rsidRPr="0013327C">
        <w:rPr>
          <w:rFonts w:asciiTheme="majorHAnsi" w:hAnsiTheme="majorHAnsi"/>
          <w:vertAlign w:val="subscript"/>
        </w:rPr>
        <w:t>4</w:t>
      </w:r>
      <w:r w:rsidRPr="0013327C">
        <w:rPr>
          <w:rFonts w:asciiTheme="majorHAnsi" w:hAnsiTheme="majorHAnsi"/>
        </w:rPr>
        <w:t xml:space="preserve"> to prevent the over-expression of the reporter, and the sensitivity of the analysis software was increased to detect the reporter in cells with reduced expression. There could still be observed in some wells colonies of cells which have been reported as statistically significant yet have very dimly visible WT phenotypes. </w:t>
      </w:r>
    </w:p>
    <w:p w:rsidR="00C3380A" w:rsidRPr="0013327C" w:rsidRDefault="00C3380A" w:rsidP="00AE0264">
      <w:pPr>
        <w:jc w:val="both"/>
        <w:rPr>
          <w:rFonts w:asciiTheme="majorHAnsi" w:hAnsiTheme="majorHAnsi"/>
        </w:rPr>
      </w:pPr>
      <w:r w:rsidRPr="0013327C">
        <w:rPr>
          <w:rFonts w:asciiTheme="majorHAnsi" w:hAnsiTheme="majorHAnsi"/>
        </w:rPr>
        <w:t>From data returned it was then decided that secondary screening would be the next stage. This involved visually determining the best candidate probes and put</w:t>
      </w:r>
      <w:r w:rsidR="00A95CDF">
        <w:rPr>
          <w:rFonts w:asciiTheme="majorHAnsi" w:hAnsiTheme="majorHAnsi"/>
        </w:rPr>
        <w:t>ting</w:t>
      </w:r>
      <w:r w:rsidRPr="0013327C">
        <w:rPr>
          <w:rFonts w:asciiTheme="majorHAnsi" w:hAnsiTheme="majorHAnsi"/>
        </w:rPr>
        <w:t xml:space="preserve"> them into a custom-designed 384 well plate and perform</w:t>
      </w:r>
      <w:r w:rsidR="00A95CDF">
        <w:rPr>
          <w:rFonts w:asciiTheme="majorHAnsi" w:hAnsiTheme="majorHAnsi"/>
        </w:rPr>
        <w:t>ing</w:t>
      </w:r>
      <w:r w:rsidRPr="0013327C">
        <w:rPr>
          <w:rFonts w:asciiTheme="majorHAnsi" w:hAnsiTheme="majorHAnsi"/>
        </w:rPr>
        <w:t xml:space="preserve"> the assay on them one final time in triplicate. This was made possible with the help of the SRSF and its staff. This final stage of screening would determine which genes would be the focus of subsequent experiments, and the direction of future work.</w:t>
      </w:r>
    </w:p>
    <w:p w:rsidR="00C3380A" w:rsidRPr="0013327C" w:rsidRDefault="00C3380A" w:rsidP="00AE0264">
      <w:pPr>
        <w:jc w:val="both"/>
        <w:rPr>
          <w:rFonts w:asciiTheme="majorHAnsi" w:hAnsiTheme="majorHAnsi"/>
        </w:rPr>
      </w:pPr>
    </w:p>
    <w:p w:rsidR="00C3380A" w:rsidRPr="0013327C" w:rsidRDefault="00C3380A" w:rsidP="00AE0264">
      <w:pPr>
        <w:jc w:val="both"/>
        <w:rPr>
          <w:rFonts w:asciiTheme="majorHAnsi" w:hAnsiTheme="majorHAnsi"/>
        </w:rPr>
      </w:pPr>
    </w:p>
    <w:p w:rsidR="00597427" w:rsidRPr="0013327C" w:rsidRDefault="00597427" w:rsidP="00AE0264">
      <w:pPr>
        <w:jc w:val="both"/>
        <w:rPr>
          <w:rFonts w:asciiTheme="majorHAnsi" w:hAnsiTheme="majorHAnsi"/>
        </w:rPr>
      </w:pPr>
    </w:p>
    <w:p w:rsidR="00AB54FC" w:rsidRPr="0013327C" w:rsidRDefault="00AB54FC" w:rsidP="00AE0264">
      <w:pPr>
        <w:jc w:val="both"/>
        <w:rPr>
          <w:rFonts w:asciiTheme="majorHAnsi" w:hAnsiTheme="majorHAnsi"/>
        </w:rPr>
      </w:pPr>
    </w:p>
    <w:p w:rsidR="00AB54FC" w:rsidRPr="0013327C" w:rsidRDefault="00AB54FC" w:rsidP="00AE0264">
      <w:pPr>
        <w:jc w:val="both"/>
        <w:rPr>
          <w:rFonts w:asciiTheme="majorHAnsi" w:hAnsiTheme="majorHAnsi"/>
        </w:rPr>
      </w:pPr>
    </w:p>
    <w:p w:rsidR="00AB54FC" w:rsidRDefault="00AB54FC" w:rsidP="00AE0264">
      <w:pPr>
        <w:jc w:val="both"/>
        <w:rPr>
          <w:rFonts w:asciiTheme="majorHAnsi" w:hAnsiTheme="majorHAnsi"/>
        </w:rPr>
      </w:pPr>
    </w:p>
    <w:p w:rsidR="00742B07" w:rsidRDefault="00742B07" w:rsidP="00AE0264">
      <w:pPr>
        <w:jc w:val="both"/>
        <w:rPr>
          <w:rFonts w:asciiTheme="majorHAnsi" w:hAnsiTheme="majorHAnsi"/>
        </w:rPr>
      </w:pPr>
    </w:p>
    <w:p w:rsidR="00742B07" w:rsidRDefault="00742B07" w:rsidP="00AE0264">
      <w:pPr>
        <w:jc w:val="both"/>
        <w:rPr>
          <w:rFonts w:asciiTheme="majorHAnsi" w:hAnsiTheme="majorHAnsi"/>
        </w:rPr>
      </w:pPr>
    </w:p>
    <w:p w:rsidR="00742B07" w:rsidRPr="0013327C" w:rsidRDefault="00742B07" w:rsidP="00AE0264">
      <w:pPr>
        <w:jc w:val="both"/>
        <w:rPr>
          <w:rFonts w:asciiTheme="majorHAnsi" w:hAnsiTheme="majorHAnsi"/>
        </w:rPr>
      </w:pPr>
    </w:p>
    <w:p w:rsidR="00597427" w:rsidRPr="0013327C" w:rsidRDefault="00597427" w:rsidP="00AE0264">
      <w:pPr>
        <w:pStyle w:val="Heading1"/>
        <w:jc w:val="both"/>
      </w:pPr>
      <w:bookmarkStart w:id="125" w:name="_Toc348423377"/>
      <w:r w:rsidRPr="0013327C">
        <w:lastRenderedPageBreak/>
        <w:t>Secondary screening and subsequent labwork</w:t>
      </w:r>
      <w:bookmarkEnd w:id="125"/>
    </w:p>
    <w:p w:rsidR="00597427" w:rsidRPr="0013327C" w:rsidRDefault="00597427" w:rsidP="00AE0264">
      <w:pPr>
        <w:pStyle w:val="Heading2"/>
        <w:jc w:val="both"/>
        <w:rPr>
          <w:sz w:val="22"/>
        </w:rPr>
      </w:pPr>
      <w:bookmarkStart w:id="126" w:name="_Toc348423378"/>
      <w:r w:rsidRPr="0013327C">
        <w:rPr>
          <w:sz w:val="22"/>
        </w:rPr>
        <w:t>Introduction</w:t>
      </w:r>
      <w:bookmarkEnd w:id="126"/>
    </w:p>
    <w:p w:rsidR="00597427" w:rsidRPr="0013327C" w:rsidRDefault="00597427" w:rsidP="00AE0264">
      <w:pPr>
        <w:jc w:val="both"/>
        <w:rPr>
          <w:rFonts w:asciiTheme="majorHAnsi" w:hAnsiTheme="majorHAnsi"/>
        </w:rPr>
      </w:pPr>
      <w:r w:rsidRPr="0013327C">
        <w:rPr>
          <w:rFonts w:asciiTheme="majorHAnsi" w:hAnsiTheme="majorHAnsi"/>
        </w:rPr>
        <w:t>Analysis of the second genome-wide screen produced several results:</w:t>
      </w:r>
    </w:p>
    <w:p w:rsidR="00597427" w:rsidRPr="0013327C" w:rsidRDefault="00597427" w:rsidP="00AE0264">
      <w:pPr>
        <w:pStyle w:val="ListParagraph"/>
        <w:numPr>
          <w:ilvl w:val="0"/>
          <w:numId w:val="15"/>
        </w:numPr>
        <w:jc w:val="both"/>
        <w:rPr>
          <w:rFonts w:asciiTheme="majorHAnsi" w:hAnsiTheme="majorHAnsi"/>
        </w:rPr>
      </w:pPr>
      <w:r w:rsidRPr="0013327C">
        <w:rPr>
          <w:rFonts w:asciiTheme="majorHAnsi" w:hAnsiTheme="majorHAnsi"/>
        </w:rPr>
        <w:t xml:space="preserve">Some long dsRNA probes targeting certain </w:t>
      </w:r>
      <w:r w:rsidR="000C26B2" w:rsidRPr="000C26B2">
        <w:rPr>
          <w:rFonts w:asciiTheme="majorHAnsi" w:hAnsiTheme="majorHAnsi"/>
          <w:i/>
        </w:rPr>
        <w:t>PEX</w:t>
      </w:r>
      <w:r w:rsidRPr="0013327C">
        <w:rPr>
          <w:rFonts w:asciiTheme="majorHAnsi" w:hAnsiTheme="majorHAnsi"/>
        </w:rPr>
        <w:t xml:space="preserve"> gene homologues were functional in producing aberrant phenotypes in the eGFP-PTS1-based assay when counting peroxisomes per cell.</w:t>
      </w:r>
    </w:p>
    <w:p w:rsidR="00597427" w:rsidRPr="0013327C" w:rsidRDefault="00597427" w:rsidP="00AE0264">
      <w:pPr>
        <w:pStyle w:val="ListParagraph"/>
        <w:numPr>
          <w:ilvl w:val="0"/>
          <w:numId w:val="15"/>
        </w:numPr>
        <w:jc w:val="both"/>
        <w:rPr>
          <w:rFonts w:asciiTheme="majorHAnsi" w:hAnsiTheme="majorHAnsi"/>
        </w:rPr>
      </w:pPr>
      <w:r w:rsidRPr="0013327C">
        <w:rPr>
          <w:rFonts w:asciiTheme="majorHAnsi" w:hAnsiTheme="majorHAnsi"/>
        </w:rPr>
        <w:t>Three novel genes discovered in the first screen produced the same distinct KD phenotypes in Screen 2, revealing aberrations in the eGFP-PTS1 assay (nmd, Atlastin, spaghetti squash).</w:t>
      </w:r>
    </w:p>
    <w:p w:rsidR="00597427" w:rsidRPr="0013327C" w:rsidRDefault="00597427" w:rsidP="00AE0264">
      <w:pPr>
        <w:pStyle w:val="ListParagraph"/>
        <w:numPr>
          <w:ilvl w:val="0"/>
          <w:numId w:val="15"/>
        </w:numPr>
        <w:jc w:val="both"/>
        <w:rPr>
          <w:rFonts w:asciiTheme="majorHAnsi" w:hAnsiTheme="majorHAnsi"/>
        </w:rPr>
      </w:pPr>
      <w:r w:rsidRPr="0013327C">
        <w:rPr>
          <w:rFonts w:asciiTheme="majorHAnsi" w:hAnsiTheme="majorHAnsi"/>
        </w:rPr>
        <w:t xml:space="preserve">Visual screening of KDs of genes with z-scores less than -1 and greater than 2 produced a list of genes that caused aberrant phenotypes in a large number of cells within each well. These KDs were not ubiquitously </w:t>
      </w:r>
      <w:r w:rsidR="00A95CDF" w:rsidRPr="0013327C">
        <w:rPr>
          <w:rFonts w:asciiTheme="majorHAnsi" w:hAnsiTheme="majorHAnsi"/>
        </w:rPr>
        <w:t>affected</w:t>
      </w:r>
      <w:r w:rsidRPr="0013327C">
        <w:rPr>
          <w:rFonts w:asciiTheme="majorHAnsi" w:hAnsiTheme="majorHAnsi"/>
        </w:rPr>
        <w:t xml:space="preserve"> nor were the phenotypes consistently produced in the cells. There were</w:t>
      </w:r>
      <w:r w:rsidR="00A95CDF">
        <w:rPr>
          <w:rFonts w:asciiTheme="majorHAnsi" w:hAnsiTheme="majorHAnsi"/>
        </w:rPr>
        <w:t>,</w:t>
      </w:r>
      <w:r w:rsidRPr="0013327C">
        <w:rPr>
          <w:rFonts w:asciiTheme="majorHAnsi" w:hAnsiTheme="majorHAnsi"/>
        </w:rPr>
        <w:t xml:space="preserve"> however</w:t>
      </w:r>
      <w:r w:rsidR="00A95CDF">
        <w:rPr>
          <w:rFonts w:asciiTheme="majorHAnsi" w:hAnsiTheme="majorHAnsi"/>
        </w:rPr>
        <w:t>,</w:t>
      </w:r>
      <w:r w:rsidRPr="0013327C">
        <w:rPr>
          <w:rFonts w:asciiTheme="majorHAnsi" w:hAnsiTheme="majorHAnsi"/>
        </w:rPr>
        <w:t xml:space="preserve"> enough cells showing similar non-WT phenotypes within each KD to suggest that further screening on them may yield more candidates from this assay.</w:t>
      </w:r>
    </w:p>
    <w:p w:rsidR="00597427" w:rsidRPr="0013327C" w:rsidRDefault="00597427" w:rsidP="00AE0264">
      <w:pPr>
        <w:jc w:val="both"/>
        <w:rPr>
          <w:rFonts w:asciiTheme="majorHAnsi" w:hAnsiTheme="majorHAnsi"/>
        </w:rPr>
      </w:pPr>
      <w:r w:rsidRPr="0013327C">
        <w:rPr>
          <w:rFonts w:asciiTheme="majorHAnsi" w:hAnsiTheme="majorHAnsi"/>
        </w:rPr>
        <w:t xml:space="preserve">To make use of this list secondary screening would be used to test the probes with outlying z-scores from the analyses of both screens. A custom-designed 384-well plate would be seeded with approximately 250 probes from the BKN library of the best candidates. The plate would be made into 27 copies from which multiple experiments could be conducted in future research as well as in the current project. For this secondary screen the </w:t>
      </w:r>
      <w:r w:rsidR="00A95CDF" w:rsidRPr="0013327C">
        <w:rPr>
          <w:rFonts w:asciiTheme="majorHAnsi" w:hAnsiTheme="majorHAnsi"/>
        </w:rPr>
        <w:t>plate would</w:t>
      </w:r>
      <w:r w:rsidRPr="0013327C">
        <w:rPr>
          <w:rFonts w:asciiTheme="majorHAnsi" w:hAnsiTheme="majorHAnsi"/>
        </w:rPr>
        <w:t xml:space="preserve"> be screened in triplicate using the assay from the second genome-wide screen, the stably transfected eGFP-PTS1 with con</w:t>
      </w:r>
      <w:r w:rsidR="00A95CDF">
        <w:rPr>
          <w:rFonts w:asciiTheme="majorHAnsi" w:hAnsiTheme="majorHAnsi"/>
        </w:rPr>
        <w:t>trolled expression using the pMt</w:t>
      </w:r>
      <w:r w:rsidRPr="0013327C">
        <w:rPr>
          <w:rFonts w:asciiTheme="majorHAnsi" w:hAnsiTheme="majorHAnsi"/>
        </w:rPr>
        <w:t xml:space="preserve"> promoter. The analysis of the secondary screen is given in this chapter.</w:t>
      </w:r>
    </w:p>
    <w:p w:rsidR="00597427" w:rsidRPr="0013327C" w:rsidRDefault="00597427" w:rsidP="00AE0264">
      <w:pPr>
        <w:jc w:val="both"/>
        <w:rPr>
          <w:rFonts w:asciiTheme="majorHAnsi" w:hAnsiTheme="majorHAnsi"/>
        </w:rPr>
      </w:pPr>
    </w:p>
    <w:p w:rsidR="00597427" w:rsidRPr="0013327C" w:rsidRDefault="00597427" w:rsidP="00AE0264">
      <w:pPr>
        <w:pStyle w:val="Heading2"/>
        <w:jc w:val="both"/>
      </w:pPr>
      <w:bookmarkStart w:id="127" w:name="_Toc348423379"/>
      <w:r w:rsidRPr="0013327C">
        <w:t>Selection of samples for the Secondary Screen plate</w:t>
      </w:r>
      <w:bookmarkEnd w:id="127"/>
    </w:p>
    <w:p w:rsidR="00597427" w:rsidRPr="0013327C" w:rsidRDefault="00597427" w:rsidP="00AE0264">
      <w:pPr>
        <w:jc w:val="both"/>
        <w:rPr>
          <w:rFonts w:asciiTheme="majorHAnsi" w:hAnsiTheme="majorHAnsi"/>
        </w:rPr>
      </w:pPr>
      <w:r w:rsidRPr="0013327C">
        <w:rPr>
          <w:rFonts w:asciiTheme="majorHAnsi" w:hAnsiTheme="majorHAnsi"/>
        </w:rPr>
        <w:t xml:space="preserve">The </w:t>
      </w:r>
      <w:proofErr w:type="gramStart"/>
      <w:r w:rsidRPr="0013327C">
        <w:rPr>
          <w:rFonts w:asciiTheme="majorHAnsi" w:hAnsiTheme="majorHAnsi"/>
        </w:rPr>
        <w:t>gene KDs from both screens were</w:t>
      </w:r>
      <w:proofErr w:type="gramEnd"/>
      <w:r w:rsidRPr="0013327C">
        <w:rPr>
          <w:rFonts w:asciiTheme="majorHAnsi" w:hAnsiTheme="majorHAnsi"/>
        </w:rPr>
        <w:t xml:space="preserve"> averaged and z-scores compiled smallest to largest. The 384-well micro-titre plate that was to be seeded and copied is henceforth referred to as the Secondary Screen plate. The plate had assigned for it 275 wells for candidate probes. This meant that the plate could contain 1.4% of the non-control genome-wide probes. During visual screening of statistically significant z-scores, including those added after </w:t>
      </w:r>
      <w:r w:rsidR="00A67185">
        <w:rPr>
          <w:rFonts w:asciiTheme="majorHAnsi" w:hAnsiTheme="majorHAnsi"/>
        </w:rPr>
        <w:t xml:space="preserve">visual screening of </w:t>
      </w:r>
      <w:r w:rsidRPr="0013327C">
        <w:rPr>
          <w:rFonts w:asciiTheme="majorHAnsi" w:hAnsiTheme="majorHAnsi"/>
        </w:rPr>
        <w:t xml:space="preserve">Plate 48, KDs of genes which were of potential interest were highlighted and compiled into a shortlisted database. The </w:t>
      </w:r>
      <w:r w:rsidRPr="0013327C">
        <w:rPr>
          <w:rFonts w:asciiTheme="majorHAnsi" w:hAnsiTheme="majorHAnsi"/>
        </w:rPr>
        <w:lastRenderedPageBreak/>
        <w:t xml:space="preserve">candidates from Screen 2 (see Chapter 4.12) were analysed, selected and segregated from this list. The list contained 598 probes which caused KDs that may have produced phenotypes of interest in a proportion of the cells. The list had to be downsized visually to a shortlist of 275 of the best candidates including those from Chapter 4.2. 18 probes were included to the shortlist before the final visual screen took place. These were homologues of 9 peroxins that consistently failed to produce an aberrant phenotype in the two screens, plus 3 peroxisomal membrane proteins required for transmembrane solute transfer. The rest were 6 genes whose proteins were considered hits in a yeast two-hybrid screen for </w:t>
      </w:r>
      <w:r w:rsidR="00AE38C3" w:rsidRPr="00AE38C3">
        <w:rPr>
          <w:rFonts w:asciiTheme="majorHAnsi" w:hAnsiTheme="majorHAnsi"/>
          <w:i/>
        </w:rPr>
        <w:t>D. melanogaster</w:t>
      </w:r>
      <w:r w:rsidR="00AE38C3">
        <w:rPr>
          <w:rFonts w:asciiTheme="majorHAnsi" w:hAnsiTheme="majorHAnsi"/>
        </w:rPr>
        <w:t xml:space="preserve"> protein </w:t>
      </w:r>
      <w:r w:rsidRPr="0013327C">
        <w:rPr>
          <w:rFonts w:asciiTheme="majorHAnsi" w:hAnsiTheme="majorHAnsi"/>
        </w:rPr>
        <w:t xml:space="preserve">interactions with </w:t>
      </w:r>
      <w:r w:rsidR="009924A5">
        <w:rPr>
          <w:rFonts w:asciiTheme="majorHAnsi" w:hAnsiTheme="majorHAnsi"/>
          <w:i/>
        </w:rPr>
        <w:t xml:space="preserve">S. cerevisiae </w:t>
      </w:r>
      <w:r w:rsidRPr="0013327C">
        <w:rPr>
          <w:rFonts w:asciiTheme="majorHAnsi" w:hAnsiTheme="majorHAnsi"/>
        </w:rPr>
        <w:t>Pex3p. The summary of which is given in Figure 5.2.1.</w:t>
      </w:r>
    </w:p>
    <w:p w:rsidR="00597427" w:rsidRPr="0013327C" w:rsidRDefault="00597427" w:rsidP="00AE0264">
      <w:pPr>
        <w:jc w:val="both"/>
        <w:rPr>
          <w:rFonts w:asciiTheme="majorHAnsi" w:hAnsiTheme="majorHAnsi"/>
          <w:b/>
        </w:rPr>
      </w:pPr>
      <w:r w:rsidRPr="0013327C">
        <w:rPr>
          <w:rFonts w:asciiTheme="majorHAnsi" w:hAnsiTheme="majorHAnsi"/>
          <w:b/>
          <w:noProof/>
          <w:lang w:eastAsia="en-GB"/>
        </w:rPr>
        <w:drawing>
          <wp:inline distT="0" distB="0" distL="0" distR="0">
            <wp:extent cx="4619296" cy="3342052"/>
            <wp:effectExtent l="0" t="0" r="0" b="0"/>
            <wp:docPr id="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srcRect/>
                    <a:stretch>
                      <a:fillRect/>
                    </a:stretch>
                  </pic:blipFill>
                  <pic:spPr bwMode="auto">
                    <a:xfrm>
                      <a:off x="0" y="0"/>
                      <a:ext cx="4611519" cy="3336426"/>
                    </a:xfrm>
                    <a:prstGeom prst="rect">
                      <a:avLst/>
                    </a:prstGeom>
                    <a:noFill/>
                  </pic:spPr>
                </pic:pic>
              </a:graphicData>
            </a:graphic>
          </wp:inline>
        </w:drawing>
      </w:r>
    </w:p>
    <w:p w:rsidR="00597427" w:rsidRPr="0013327C" w:rsidRDefault="00B53387" w:rsidP="00AE0264">
      <w:pPr>
        <w:jc w:val="both"/>
        <w:rPr>
          <w:rFonts w:asciiTheme="majorHAnsi" w:hAnsiTheme="majorHAnsi"/>
        </w:rPr>
      </w:pPr>
      <w:proofErr w:type="gramStart"/>
      <w:r>
        <w:rPr>
          <w:rFonts w:asciiTheme="majorHAnsi" w:hAnsiTheme="majorHAnsi"/>
          <w:b/>
        </w:rPr>
        <w:t>Table</w:t>
      </w:r>
      <w:r w:rsidR="00597427" w:rsidRPr="0013327C">
        <w:rPr>
          <w:rFonts w:asciiTheme="majorHAnsi" w:hAnsiTheme="majorHAnsi"/>
          <w:b/>
        </w:rPr>
        <w:t xml:space="preserve"> 5.1.</w:t>
      </w:r>
      <w:proofErr w:type="gramEnd"/>
      <w:r w:rsidR="00597427" w:rsidRPr="0013327C">
        <w:rPr>
          <w:rFonts w:asciiTheme="majorHAnsi" w:hAnsiTheme="majorHAnsi"/>
          <w:b/>
        </w:rPr>
        <w:t xml:space="preserve"> The list of genes included for seeding into the Secondary Screen plate prior to final visual screening.</w:t>
      </w:r>
      <w:r w:rsidR="00597427" w:rsidRPr="0013327C">
        <w:rPr>
          <w:rFonts w:asciiTheme="majorHAnsi" w:hAnsiTheme="majorHAnsi"/>
        </w:rPr>
        <w:t xml:space="preserve"> 6 genes were homologues of candidate </w:t>
      </w:r>
      <w:r w:rsidR="00597427" w:rsidRPr="0013327C">
        <w:rPr>
          <w:rFonts w:asciiTheme="majorHAnsi" w:hAnsiTheme="majorHAnsi"/>
          <w:i/>
        </w:rPr>
        <w:t>S. cerevisiae</w:t>
      </w:r>
      <w:r w:rsidR="00597427" w:rsidRPr="0013327C">
        <w:rPr>
          <w:rFonts w:asciiTheme="majorHAnsi" w:hAnsiTheme="majorHAnsi"/>
        </w:rPr>
        <w:t xml:space="preserve"> genes that showed an interaction with Pex3p in a yeast 2-hybrid screen</w:t>
      </w:r>
      <w:r w:rsidR="009924A5">
        <w:rPr>
          <w:rFonts w:asciiTheme="majorHAnsi" w:hAnsiTheme="majorHAnsi"/>
        </w:rPr>
        <w:t xml:space="preserve"> conducted previously for our laboratory</w:t>
      </w:r>
      <w:r w:rsidR="00597427" w:rsidRPr="0013327C">
        <w:rPr>
          <w:rFonts w:asciiTheme="majorHAnsi" w:hAnsiTheme="majorHAnsi"/>
        </w:rPr>
        <w:t xml:space="preserve">. 3 were peroxisomal membrane proteins associated with transmembrane transport of solutes across the peroxisomal membrane. 9 were genes homologous to </w:t>
      </w:r>
      <w:r w:rsidR="00597427" w:rsidRPr="0013327C">
        <w:rPr>
          <w:rFonts w:asciiTheme="majorHAnsi" w:hAnsiTheme="majorHAnsi"/>
          <w:i/>
        </w:rPr>
        <w:t>H. sapiens</w:t>
      </w:r>
      <w:r w:rsidR="00597427" w:rsidRPr="0013327C">
        <w:rPr>
          <w:rFonts w:asciiTheme="majorHAnsi" w:hAnsiTheme="majorHAnsi"/>
        </w:rPr>
        <w:t xml:space="preserve"> or </w:t>
      </w:r>
      <w:r w:rsidR="00597427" w:rsidRPr="0013327C">
        <w:rPr>
          <w:rFonts w:asciiTheme="majorHAnsi" w:hAnsiTheme="majorHAnsi"/>
          <w:i/>
        </w:rPr>
        <w:t>S. cerevisiae</w:t>
      </w:r>
      <w:r w:rsidR="00597427" w:rsidRPr="0013327C">
        <w:rPr>
          <w:rFonts w:asciiTheme="majorHAnsi" w:hAnsiTheme="majorHAnsi"/>
        </w:rPr>
        <w:t xml:space="preserve"> peroxins. None were hits in Screen 2.</w:t>
      </w:r>
    </w:p>
    <w:p w:rsidR="00597427" w:rsidRPr="0013327C" w:rsidRDefault="00597427" w:rsidP="00AE0264">
      <w:pPr>
        <w:jc w:val="both"/>
        <w:rPr>
          <w:rFonts w:asciiTheme="majorHAnsi" w:hAnsiTheme="majorHAnsi"/>
        </w:rPr>
      </w:pPr>
      <w:proofErr w:type="gramStart"/>
      <w:r w:rsidRPr="0013327C">
        <w:rPr>
          <w:rFonts w:asciiTheme="majorHAnsi" w:hAnsiTheme="majorHAnsi"/>
        </w:rPr>
        <w:t>The final visual screen then shortlisted 257 probes for addition to the Secondary Screen plate.</w:t>
      </w:r>
      <w:proofErr w:type="gramEnd"/>
      <w:r w:rsidRPr="0013327C">
        <w:rPr>
          <w:rFonts w:asciiTheme="majorHAnsi" w:hAnsiTheme="majorHAnsi"/>
        </w:rPr>
        <w:t xml:space="preserve"> These included the candidate genes from Chapter 4.12. The list was compiled and then submitted to the SRSF for plate design and probe seeding.</w:t>
      </w:r>
    </w:p>
    <w:p w:rsidR="00597427" w:rsidRPr="0013327C" w:rsidRDefault="00597427" w:rsidP="00AE0264">
      <w:pPr>
        <w:pStyle w:val="Heading2"/>
        <w:jc w:val="both"/>
      </w:pPr>
      <w:bookmarkStart w:id="128" w:name="_Toc348423380"/>
      <w:r w:rsidRPr="0013327C">
        <w:lastRenderedPageBreak/>
        <w:t>Choosing the control probes for the Secondary Screen secondary screening plate</w:t>
      </w:r>
      <w:bookmarkEnd w:id="128"/>
    </w:p>
    <w:p w:rsidR="00597427" w:rsidRPr="0013327C" w:rsidRDefault="00597427" w:rsidP="00AE0264">
      <w:pPr>
        <w:jc w:val="both"/>
        <w:rPr>
          <w:rFonts w:asciiTheme="majorHAnsi" w:hAnsiTheme="majorHAnsi"/>
        </w:rPr>
      </w:pPr>
      <w:r w:rsidRPr="0013327C">
        <w:rPr>
          <w:rFonts w:asciiTheme="majorHAnsi" w:hAnsiTheme="majorHAnsi"/>
        </w:rPr>
        <w:t xml:space="preserve">The secondary screening plate for this project was the fifth to be designed and seeded by the SRSF and so had been named Secondary Screen (custom plate 5) by them. The Secondary Screen plate was to be treated like any other plate in that it would be loaded with fifteen controls as like the two screens in columns 9 and 17. It would be filled with as many candidate probes as possible to maximise the number of genes that could be analysed. As the plate is to have a large number of tests, it needs to have a significant number of negative controls to provide low z-scores for the analyses to be made on them. Two negative controls would be used. The first was a probe targeting luciferase (FBgn0043065). This is a foreign gene from </w:t>
      </w:r>
      <w:r w:rsidRPr="0013327C">
        <w:rPr>
          <w:rFonts w:asciiTheme="majorHAnsi" w:hAnsiTheme="majorHAnsi"/>
          <w:i/>
        </w:rPr>
        <w:t>Renilla reniformis</w:t>
      </w:r>
      <w:r w:rsidRPr="0013327C">
        <w:rPr>
          <w:rFonts w:asciiTheme="majorHAnsi" w:hAnsiTheme="majorHAnsi"/>
        </w:rPr>
        <w:t xml:space="preserve"> and is used as a negatively-scoring positive control in luciferase based screens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"10.1073/pnas.0605210103", "abstract" : "Posttranscriptional silencing by RNAi is initiated by dsRNAs that are processed into siRNAs that ultimately target homologous mRNAs for degradation. We used luciferase reporter constructs and a cultured cell-based assay to perform a genomewide screen for components of the RNAi pathway in Drosophila melanogaster. The screen identified seven genes that affect the RNAi response, five with previously described function (AGO2, Tis11, Hsc70-3, Hsc70-4, and hdc) and two annotated genes (CG17265 and CG10883).", "author" : [ { "dropping-particle" : "", "family" : "Dorner", "given" : "Silke", "non-dropping-particle" : "", "parse-names" : false, "suffix" : "" }, { "dropping-particle" : "", "family" : "Lum", "given" : "Lawrence", "non-dropping-particle" : "", "parse-names" : false, "suffix" : "" }, { "dropping-particle" : "", "family" : "Kim", "given" : "Michelle", "non-dropping-particle" : "", "parse-names" : false, "suffix" : "" }, { "dropping-particle" : "", "family" : "Paro", "given" : "Renato", "non-dropping-particle" : "", "parse-names" : false, "suffix" : "" }, { "dropping-particle" : "", "family" : "Beachy", "given" : "Philip a", "non-dropping-particle" : "", "parse-names" : false, "suffix" : "" }, { "dropping-particle" : "", "family" : "Green", "given" : "Rachel", "non-dropping-particle" : "", "parse-names" : false, "suffix" : "" } ], "container-title" : "Proceedings of the National Academy of Sciences of the United States of America", "id" : "ITEM-1", "issue" : "32", "issued" : { "date-parts" : [ [ "2006", "8", "8" ] ] }, "page" : "11880-5", "title" : "A genomewide screen for components of the RNAi pathway in Drosophila cultured cells.", "type" : "article-journal", "volume" : "103" }, "uris" : [ "http://www.mendeley.com/documents/?uuid=11376e37-be61-44c7-94d8-cedf157332e0" ] } ], "mendeley" : { "previouslyFormattedCitation" : "(Dorner et al. 2006)" }, "properties" : { "noteIndex" : 0 }, "schema" : "https://github.com/citation-style-language/schema/raw/master/csl-citation.json" }</w:instrText>
      </w:r>
      <w:r w:rsidR="009A1FEC" w:rsidRPr="0013327C">
        <w:rPr>
          <w:rFonts w:asciiTheme="majorHAnsi" w:hAnsiTheme="majorHAnsi"/>
        </w:rPr>
        <w:fldChar w:fldCharType="separate"/>
      </w:r>
      <w:r w:rsidR="00E5134C" w:rsidRPr="00E5134C">
        <w:rPr>
          <w:rFonts w:asciiTheme="majorHAnsi" w:hAnsiTheme="majorHAnsi"/>
          <w:noProof/>
        </w:rPr>
        <w:t xml:space="preserve">(Dorner </w:t>
      </w:r>
      <w:r w:rsidR="00466108" w:rsidRPr="00466108">
        <w:rPr>
          <w:rFonts w:asciiTheme="majorHAnsi" w:hAnsiTheme="majorHAnsi"/>
          <w:i/>
          <w:noProof/>
        </w:rPr>
        <w:t>et al</w:t>
      </w:r>
      <w:r w:rsidR="00E5134C" w:rsidRPr="00E5134C">
        <w:rPr>
          <w:rFonts w:asciiTheme="majorHAnsi" w:hAnsiTheme="majorHAnsi"/>
          <w:noProof/>
        </w:rPr>
        <w:t>. 2006)</w:t>
      </w:r>
      <w:r w:rsidR="009A1FEC" w:rsidRPr="0013327C">
        <w:rPr>
          <w:rFonts w:asciiTheme="majorHAnsi" w:hAnsiTheme="majorHAnsi"/>
        </w:rPr>
        <w:fldChar w:fldCharType="end"/>
      </w:r>
      <w:r w:rsidRPr="0013327C">
        <w:rPr>
          <w:rFonts w:asciiTheme="majorHAnsi" w:hAnsiTheme="majorHAnsi"/>
        </w:rPr>
        <w:t>. In a GFP-based screen such as this, the luciferase is intended as a negative control. It is abbreviated to Rluc (</w:t>
      </w:r>
      <w:r w:rsidRPr="0013327C">
        <w:rPr>
          <w:rFonts w:asciiTheme="majorHAnsi" w:hAnsiTheme="majorHAnsi"/>
          <w:i/>
        </w:rPr>
        <w:t>Renilla</w:t>
      </w:r>
      <w:r w:rsidRPr="0013327C">
        <w:rPr>
          <w:rFonts w:asciiTheme="majorHAnsi" w:hAnsiTheme="majorHAnsi"/>
        </w:rPr>
        <w:t xml:space="preserve"> luciferin 2-mono-oxygenase). A second negative control is ZKZ686.3, a </w:t>
      </w:r>
      <w:r w:rsidRPr="0013327C">
        <w:rPr>
          <w:rFonts w:asciiTheme="majorHAnsi" w:hAnsiTheme="majorHAnsi"/>
          <w:i/>
        </w:rPr>
        <w:t>C. elegans</w:t>
      </w:r>
      <w:r w:rsidRPr="0013327C">
        <w:rPr>
          <w:rFonts w:asciiTheme="majorHAnsi" w:hAnsiTheme="majorHAnsi"/>
        </w:rPr>
        <w:t xml:space="preserve">–targeting control used in the assay plate that is not designed to target any specific </w:t>
      </w:r>
      <w:r w:rsidRPr="0013327C">
        <w:rPr>
          <w:rFonts w:asciiTheme="majorHAnsi" w:hAnsiTheme="majorHAnsi"/>
          <w:i/>
        </w:rPr>
        <w:t>D. melanogaster</w:t>
      </w:r>
      <w:r w:rsidRPr="0013327C">
        <w:rPr>
          <w:rFonts w:asciiTheme="majorHAnsi" w:hAnsiTheme="majorHAnsi"/>
        </w:rPr>
        <w:t xml:space="preserve"> genes. Finally a positive control for the plate was that of GFP. As GFP and eGFP differ by only one point mutation the GFP probe should effectively target eGFP. The final numbers for controls to be loaded into the plate were 30 copies of Rluc, 30 copies of ZKZ686.3 and five copies of GFP probe. On the day of seeding the secondary screen 2 each of 8 controls</w:t>
      </w:r>
      <w:proofErr w:type="gramStart"/>
      <w:r w:rsidRPr="0013327C">
        <w:rPr>
          <w:rFonts w:asciiTheme="majorHAnsi" w:hAnsiTheme="majorHAnsi"/>
        </w:rPr>
        <w:t>,  designed</w:t>
      </w:r>
      <w:proofErr w:type="gramEnd"/>
      <w:r w:rsidRPr="0013327C">
        <w:rPr>
          <w:rFonts w:asciiTheme="majorHAnsi" w:hAnsiTheme="majorHAnsi"/>
        </w:rPr>
        <w:t xml:space="preserve"> on the E-RNAi website would be loaded into the control wells (“E-RNAi” controls, total 16). In total 81 wells were taken up with controls of Rluc, ZKZ686.3 (60 negative) and GFP (5 positive) plus the E-RNAi ones.  In addition to this 28 wells were left empty to ensure WT phenotypes would be counted. 109 wells in total would have controls or be empty, over 25% of the plate. This added to the 275 wells to be filled with candidate genes totalled 384. </w:t>
      </w:r>
    </w:p>
    <w:p w:rsidR="00597427" w:rsidRPr="0013327C" w:rsidRDefault="00597427" w:rsidP="00AE0264">
      <w:pPr>
        <w:jc w:val="both"/>
        <w:rPr>
          <w:rFonts w:asciiTheme="majorHAnsi" w:hAnsiTheme="majorHAnsi"/>
        </w:rPr>
      </w:pPr>
      <w:r w:rsidRPr="0013327C">
        <w:rPr>
          <w:rFonts w:asciiTheme="majorHAnsi" w:hAnsiTheme="majorHAnsi"/>
        </w:rPr>
        <w:t xml:space="preserve">The 8 E-RNAi –derived controls needed to be chosen before adding to the Secondary Screen plate.  </w:t>
      </w:r>
      <w:r w:rsidR="000C26B2" w:rsidRPr="000C26B2">
        <w:rPr>
          <w:rFonts w:asciiTheme="majorHAnsi" w:hAnsiTheme="majorHAnsi"/>
          <w:i/>
        </w:rPr>
        <w:t>PEX</w:t>
      </w:r>
      <w:r w:rsidRPr="0013327C">
        <w:rPr>
          <w:rFonts w:asciiTheme="majorHAnsi" w:hAnsiTheme="majorHAnsi"/>
        </w:rPr>
        <w:t xml:space="preserve">1 was re-synthesised from the first amplicon that was created for it (designed using E-RNAi). The primers for the synthesis of an amplicon to produce the </w:t>
      </w:r>
      <w:r w:rsidR="000C26B2" w:rsidRPr="000C26B2">
        <w:rPr>
          <w:rFonts w:asciiTheme="majorHAnsi" w:hAnsiTheme="majorHAnsi"/>
          <w:i/>
        </w:rPr>
        <w:t>PEX</w:t>
      </w:r>
      <w:r w:rsidRPr="0013327C">
        <w:rPr>
          <w:rFonts w:asciiTheme="majorHAnsi" w:hAnsiTheme="majorHAnsi"/>
        </w:rPr>
        <w:t xml:space="preserve">1 probe from the BKN library (BKN20866) were acquired from the SRSF as it had proved to be effective in producing a high magnitude average z-score across both screens. The </w:t>
      </w:r>
      <w:r w:rsidR="000C26B2" w:rsidRPr="000C26B2">
        <w:rPr>
          <w:rFonts w:asciiTheme="majorHAnsi" w:hAnsiTheme="majorHAnsi"/>
          <w:i/>
        </w:rPr>
        <w:t>PEX</w:t>
      </w:r>
      <w:r w:rsidRPr="0013327C">
        <w:rPr>
          <w:rFonts w:asciiTheme="majorHAnsi" w:hAnsiTheme="majorHAnsi"/>
        </w:rPr>
        <w:t xml:space="preserve">19 probe was redesigned on E-RNAi in the hope that a second design might be more effective. A probe targeting sqh was designed. Though at this point not considered a </w:t>
      </w:r>
      <w:r w:rsidR="000C26B2" w:rsidRPr="000C26B2">
        <w:rPr>
          <w:rFonts w:asciiTheme="majorHAnsi" w:hAnsiTheme="majorHAnsi"/>
          <w:i/>
        </w:rPr>
        <w:t>PEX</w:t>
      </w:r>
      <w:r w:rsidRPr="0013327C">
        <w:rPr>
          <w:rFonts w:asciiTheme="majorHAnsi" w:hAnsiTheme="majorHAnsi"/>
        </w:rPr>
        <w:t xml:space="preserve">-like phenotype it produced one of the strongest aberrations and so its inclusion was desirable from a statistical point of view. The four were all tested on </w:t>
      </w:r>
      <w:r w:rsidRPr="0013327C">
        <w:rPr>
          <w:rFonts w:asciiTheme="majorHAnsi" w:hAnsiTheme="majorHAnsi"/>
        </w:rPr>
        <w:lastRenderedPageBreak/>
        <w:t>S2R+ cells expressing stably transfected eGFP-PTS1 in a 6-day KD experiment in 6-well plates</w:t>
      </w:r>
      <w:r w:rsidR="00B53387" w:rsidRPr="00B53387">
        <w:rPr>
          <w:rFonts w:asciiTheme="majorHAnsi" w:hAnsiTheme="majorHAnsi"/>
        </w:rPr>
        <w:t>.</w:t>
      </w:r>
      <w:r w:rsidRPr="0013327C">
        <w:rPr>
          <w:rFonts w:asciiTheme="majorHAnsi" w:hAnsiTheme="majorHAnsi"/>
        </w:rPr>
        <w:t xml:space="preserve"> With the exception of </w:t>
      </w:r>
      <w:r w:rsidR="000C26B2" w:rsidRPr="000C26B2">
        <w:rPr>
          <w:rFonts w:asciiTheme="majorHAnsi" w:hAnsiTheme="majorHAnsi"/>
          <w:i/>
        </w:rPr>
        <w:t>PEX</w:t>
      </w:r>
      <w:r w:rsidRPr="0013327C">
        <w:rPr>
          <w:rFonts w:asciiTheme="majorHAnsi" w:hAnsiTheme="majorHAnsi"/>
        </w:rPr>
        <w:t xml:space="preserve">19 the efficacy of the newly synthesised probes had much improved and the BKN </w:t>
      </w:r>
      <w:r w:rsidR="000C26B2" w:rsidRPr="000C26B2">
        <w:rPr>
          <w:rFonts w:asciiTheme="majorHAnsi" w:hAnsiTheme="majorHAnsi"/>
          <w:i/>
        </w:rPr>
        <w:t>PEX</w:t>
      </w:r>
      <w:r w:rsidRPr="0013327C">
        <w:rPr>
          <w:rFonts w:asciiTheme="majorHAnsi" w:hAnsiTheme="majorHAnsi"/>
        </w:rPr>
        <w:t xml:space="preserve">1 appeared to be as effective as the E-RNAi designed one. Both probes had caused peroxisomes to be very dim on a background of cytosolic eGFP-PTS1 as seen with the BKN20866 probe in the second genome-wide screen. The new, smaller </w:t>
      </w:r>
      <w:r w:rsidR="000C26B2" w:rsidRPr="000C26B2">
        <w:rPr>
          <w:rFonts w:asciiTheme="majorHAnsi" w:hAnsiTheme="majorHAnsi"/>
          <w:i/>
        </w:rPr>
        <w:t>PEX</w:t>
      </w:r>
      <w:r w:rsidRPr="0013327C">
        <w:rPr>
          <w:rFonts w:asciiTheme="majorHAnsi" w:hAnsiTheme="majorHAnsi"/>
        </w:rPr>
        <w:t xml:space="preserve">19 probe seemed to cause no noticeable improvement on the original </w:t>
      </w:r>
      <w:proofErr w:type="gramStart"/>
      <w:r w:rsidRPr="0013327C">
        <w:rPr>
          <w:rFonts w:asciiTheme="majorHAnsi" w:hAnsiTheme="majorHAnsi"/>
        </w:rPr>
        <w:t>design,</w:t>
      </w:r>
      <w:proofErr w:type="gramEnd"/>
      <w:r w:rsidRPr="0013327C">
        <w:rPr>
          <w:rFonts w:asciiTheme="majorHAnsi" w:hAnsiTheme="majorHAnsi"/>
        </w:rPr>
        <w:t xml:space="preserve"> an apparent fall in peroxisome number was visible in most cells. It was decided not to use this probe in favour of more effective ones. The sqh probe produced very strong visual aberrations in the 6-well experiment. The two </w:t>
      </w:r>
      <w:r w:rsidR="000C26B2" w:rsidRPr="000C26B2">
        <w:rPr>
          <w:rFonts w:asciiTheme="majorHAnsi" w:hAnsiTheme="majorHAnsi"/>
          <w:i/>
        </w:rPr>
        <w:t>PEX</w:t>
      </w:r>
      <w:r w:rsidRPr="0013327C">
        <w:rPr>
          <w:rFonts w:asciiTheme="majorHAnsi" w:hAnsiTheme="majorHAnsi"/>
        </w:rPr>
        <w:t xml:space="preserve">1 probes and the sqh probe were used alongside five of the probes shown to be effective controls in the previous screen: nmd, </w:t>
      </w:r>
      <w:r w:rsidR="000C26B2" w:rsidRPr="000C26B2">
        <w:rPr>
          <w:rFonts w:asciiTheme="majorHAnsi" w:hAnsiTheme="majorHAnsi"/>
          <w:i/>
        </w:rPr>
        <w:t>PEX</w:t>
      </w:r>
      <w:r w:rsidRPr="0013327C">
        <w:rPr>
          <w:rFonts w:asciiTheme="majorHAnsi" w:hAnsiTheme="majorHAnsi"/>
        </w:rPr>
        <w:t xml:space="preserve">16, Drp1, </w:t>
      </w:r>
      <w:r w:rsidR="000C26B2" w:rsidRPr="000C26B2">
        <w:rPr>
          <w:rFonts w:asciiTheme="majorHAnsi" w:hAnsiTheme="majorHAnsi"/>
          <w:i/>
        </w:rPr>
        <w:t>PEX</w:t>
      </w:r>
      <w:r w:rsidRPr="0013327C">
        <w:rPr>
          <w:rFonts w:asciiTheme="majorHAnsi" w:hAnsiTheme="majorHAnsi"/>
        </w:rPr>
        <w:t xml:space="preserve">3 and </w:t>
      </w:r>
      <w:r w:rsidR="000C26B2" w:rsidRPr="000C26B2">
        <w:rPr>
          <w:rFonts w:asciiTheme="majorHAnsi" w:hAnsiTheme="majorHAnsi"/>
          <w:i/>
        </w:rPr>
        <w:t>PEX</w:t>
      </w:r>
      <w:r w:rsidRPr="0013327C">
        <w:rPr>
          <w:rFonts w:asciiTheme="majorHAnsi" w:hAnsiTheme="majorHAnsi"/>
        </w:rPr>
        <w:t>5</w:t>
      </w:r>
      <w:proofErr w:type="gramStart"/>
      <w:r w:rsidRPr="0013327C">
        <w:rPr>
          <w:rFonts w:asciiTheme="majorHAnsi" w:hAnsiTheme="majorHAnsi"/>
        </w:rPr>
        <w:t>.(</w:t>
      </w:r>
      <w:proofErr w:type="gramEnd"/>
      <w:r w:rsidRPr="0013327C">
        <w:rPr>
          <w:rFonts w:asciiTheme="majorHAnsi" w:hAnsiTheme="majorHAnsi"/>
        </w:rPr>
        <w:t>see table 5.3.1)</w:t>
      </w:r>
    </w:p>
    <w:p w:rsidR="00597427" w:rsidRPr="0013327C" w:rsidRDefault="00597427" w:rsidP="00742B07">
      <w:pPr>
        <w:jc w:val="center"/>
        <w:rPr>
          <w:rFonts w:asciiTheme="majorHAnsi" w:hAnsiTheme="majorHAnsi"/>
        </w:rPr>
      </w:pPr>
      <w:r w:rsidRPr="0013327C">
        <w:rPr>
          <w:rFonts w:asciiTheme="majorHAnsi" w:hAnsiTheme="majorHAnsi"/>
          <w:noProof/>
          <w:lang w:eastAsia="en-GB"/>
        </w:rPr>
        <w:drawing>
          <wp:inline distT="0" distB="0" distL="0" distR="0">
            <wp:extent cx="3053590" cy="2387600"/>
            <wp:effectExtent l="0" t="0" r="0" b="0"/>
            <wp:docPr id="1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srcRect/>
                    <a:stretch>
                      <a:fillRect/>
                    </a:stretch>
                  </pic:blipFill>
                  <pic:spPr bwMode="auto">
                    <a:xfrm>
                      <a:off x="0" y="0"/>
                      <a:ext cx="3060096" cy="2392687"/>
                    </a:xfrm>
                    <a:prstGeom prst="rect">
                      <a:avLst/>
                    </a:prstGeom>
                    <a:noFill/>
                  </pic:spPr>
                </pic:pic>
              </a:graphicData>
            </a:graphic>
          </wp:inline>
        </w:drawing>
      </w:r>
    </w:p>
    <w:p w:rsidR="00597427" w:rsidRPr="0013327C" w:rsidRDefault="009119C6" w:rsidP="00AE0264">
      <w:pPr>
        <w:jc w:val="both"/>
        <w:rPr>
          <w:rFonts w:asciiTheme="majorHAnsi" w:hAnsiTheme="majorHAnsi"/>
        </w:rPr>
      </w:pPr>
      <w:proofErr w:type="gramStart"/>
      <w:r>
        <w:rPr>
          <w:rFonts w:asciiTheme="majorHAnsi" w:hAnsiTheme="majorHAnsi"/>
          <w:b/>
        </w:rPr>
        <w:t>Table</w:t>
      </w:r>
      <w:r w:rsidR="00742B07">
        <w:rPr>
          <w:rFonts w:asciiTheme="majorHAnsi" w:hAnsiTheme="majorHAnsi"/>
          <w:b/>
        </w:rPr>
        <w:t xml:space="preserve"> 5</w:t>
      </w:r>
      <w:r w:rsidR="00323086">
        <w:rPr>
          <w:rFonts w:asciiTheme="majorHAnsi" w:hAnsiTheme="majorHAnsi"/>
          <w:b/>
        </w:rPr>
        <w:t>.2</w:t>
      </w:r>
      <w:r w:rsidR="00597427" w:rsidRPr="0013327C">
        <w:rPr>
          <w:rFonts w:asciiTheme="majorHAnsi" w:hAnsiTheme="majorHAnsi"/>
          <w:b/>
        </w:rPr>
        <w:t>.</w:t>
      </w:r>
      <w:proofErr w:type="gramEnd"/>
      <w:r w:rsidR="00597427" w:rsidRPr="0013327C">
        <w:rPr>
          <w:rFonts w:asciiTheme="majorHAnsi" w:hAnsiTheme="majorHAnsi"/>
          <w:b/>
        </w:rPr>
        <w:t xml:space="preserve"> </w:t>
      </w:r>
      <w:proofErr w:type="gramStart"/>
      <w:r w:rsidR="00597427" w:rsidRPr="00A95CDF">
        <w:rPr>
          <w:rFonts w:asciiTheme="majorHAnsi" w:hAnsiTheme="majorHAnsi"/>
          <w:b/>
        </w:rPr>
        <w:t xml:space="preserve">A table showing the quantities of the controls, and sample probes to be </w:t>
      </w:r>
      <w:r w:rsidR="00742B07" w:rsidRPr="00A95CDF">
        <w:rPr>
          <w:rFonts w:asciiTheme="majorHAnsi" w:hAnsiTheme="majorHAnsi"/>
          <w:b/>
        </w:rPr>
        <w:t>a</w:t>
      </w:r>
      <w:r w:rsidR="00597427" w:rsidRPr="00A95CDF">
        <w:rPr>
          <w:rFonts w:asciiTheme="majorHAnsi" w:hAnsiTheme="majorHAnsi"/>
          <w:b/>
        </w:rPr>
        <w:t>dded to the Secondary Screen plate.</w:t>
      </w:r>
      <w:proofErr w:type="gramEnd"/>
    </w:p>
    <w:p w:rsidR="00597427" w:rsidRPr="0013327C" w:rsidRDefault="00597427" w:rsidP="00AE0264">
      <w:pPr>
        <w:jc w:val="both"/>
        <w:rPr>
          <w:rFonts w:asciiTheme="majorHAnsi" w:hAnsiTheme="majorHAnsi"/>
        </w:rPr>
      </w:pPr>
      <w:r w:rsidRPr="0013327C">
        <w:rPr>
          <w:rFonts w:asciiTheme="majorHAnsi" w:hAnsiTheme="majorHAnsi"/>
        </w:rPr>
        <w:t>The E-RNAi</w:t>
      </w:r>
      <w:r w:rsidR="001535D0">
        <w:rPr>
          <w:rFonts w:asciiTheme="majorHAnsi" w:hAnsiTheme="majorHAnsi"/>
        </w:rPr>
        <w:t>-derived</w:t>
      </w:r>
      <w:r w:rsidRPr="0013327C">
        <w:rPr>
          <w:rFonts w:asciiTheme="majorHAnsi" w:hAnsiTheme="majorHAnsi"/>
        </w:rPr>
        <w:t xml:space="preserve"> probes that were included </w:t>
      </w:r>
      <w:r w:rsidR="001535D0">
        <w:rPr>
          <w:rFonts w:asciiTheme="majorHAnsi" w:hAnsiTheme="majorHAnsi"/>
        </w:rPr>
        <w:t>for the secondary screening were</w:t>
      </w:r>
      <w:r w:rsidRPr="0013327C">
        <w:rPr>
          <w:rFonts w:asciiTheme="majorHAnsi" w:hAnsiTheme="majorHAnsi"/>
        </w:rPr>
        <w:t>:</w:t>
      </w:r>
      <w:r w:rsidR="001535D0">
        <w:rPr>
          <w:rFonts w:asciiTheme="majorHAnsi" w:hAnsiTheme="majorHAnsi"/>
        </w:rPr>
        <w:t xml:space="preserve"> </w:t>
      </w:r>
      <w:r w:rsidR="00D93535" w:rsidRPr="00D93535">
        <w:rPr>
          <w:rFonts w:asciiTheme="majorHAnsi" w:hAnsiTheme="majorHAnsi"/>
          <w:i/>
        </w:rPr>
        <w:t>PEX</w:t>
      </w:r>
      <w:r w:rsidR="001535D0">
        <w:rPr>
          <w:rFonts w:asciiTheme="majorHAnsi" w:hAnsiTheme="majorHAnsi"/>
        </w:rPr>
        <w:t xml:space="preserve">1 (A09, O17), </w:t>
      </w:r>
      <w:r w:rsidR="00D93535" w:rsidRPr="00D93535">
        <w:rPr>
          <w:rFonts w:asciiTheme="majorHAnsi" w:hAnsiTheme="majorHAnsi"/>
          <w:i/>
        </w:rPr>
        <w:t>PEX</w:t>
      </w:r>
      <w:r w:rsidR="001535D0">
        <w:rPr>
          <w:rFonts w:asciiTheme="majorHAnsi" w:hAnsiTheme="majorHAnsi"/>
        </w:rPr>
        <w:t>1</w:t>
      </w:r>
      <w:r w:rsidR="00005967">
        <w:rPr>
          <w:rFonts w:asciiTheme="majorHAnsi" w:hAnsiTheme="majorHAnsi"/>
        </w:rPr>
        <w:t xml:space="preserve"> (BKN20866 –C09, M17), </w:t>
      </w:r>
      <w:r w:rsidR="00D93535" w:rsidRPr="00D93535">
        <w:rPr>
          <w:rFonts w:asciiTheme="majorHAnsi" w:hAnsiTheme="majorHAnsi"/>
          <w:i/>
        </w:rPr>
        <w:t>PEX</w:t>
      </w:r>
      <w:r w:rsidR="00005967">
        <w:rPr>
          <w:rFonts w:asciiTheme="majorHAnsi" w:hAnsiTheme="majorHAnsi"/>
        </w:rPr>
        <w:t xml:space="preserve">3 (E09, K17), </w:t>
      </w:r>
      <w:r w:rsidR="00D93535" w:rsidRPr="00D93535">
        <w:rPr>
          <w:rFonts w:asciiTheme="majorHAnsi" w:hAnsiTheme="majorHAnsi"/>
          <w:i/>
        </w:rPr>
        <w:t>PEX</w:t>
      </w:r>
      <w:r w:rsidR="00005967">
        <w:rPr>
          <w:rFonts w:asciiTheme="majorHAnsi" w:hAnsiTheme="majorHAnsi"/>
        </w:rPr>
        <w:t xml:space="preserve">5 (G09, I17), </w:t>
      </w:r>
      <w:r w:rsidR="00D93535" w:rsidRPr="00D93535">
        <w:rPr>
          <w:rFonts w:asciiTheme="majorHAnsi" w:hAnsiTheme="majorHAnsi"/>
          <w:i/>
        </w:rPr>
        <w:t>PEX</w:t>
      </w:r>
      <w:r w:rsidR="00005967">
        <w:rPr>
          <w:rFonts w:asciiTheme="majorHAnsi" w:hAnsiTheme="majorHAnsi"/>
        </w:rPr>
        <w:t xml:space="preserve">16 (I09, G17), Drp1 (K09, E17), nmd (M09, C17) and sqh (O09, A17). </w:t>
      </w:r>
      <w:r w:rsidR="00C94924">
        <w:rPr>
          <w:rFonts w:asciiTheme="majorHAnsi" w:hAnsiTheme="majorHAnsi"/>
        </w:rPr>
        <w:t xml:space="preserve">BKN20866 </w:t>
      </w:r>
      <w:r w:rsidR="00EA5273">
        <w:rPr>
          <w:rFonts w:asciiTheme="majorHAnsi" w:hAnsiTheme="majorHAnsi"/>
        </w:rPr>
        <w:t xml:space="preserve">is the </w:t>
      </w:r>
      <w:r w:rsidR="00D93535" w:rsidRPr="00D93535">
        <w:rPr>
          <w:rFonts w:asciiTheme="majorHAnsi" w:hAnsiTheme="majorHAnsi"/>
          <w:i/>
        </w:rPr>
        <w:t>PEX</w:t>
      </w:r>
      <w:r w:rsidR="00EA5273">
        <w:rPr>
          <w:rFonts w:asciiTheme="majorHAnsi" w:hAnsiTheme="majorHAnsi"/>
        </w:rPr>
        <w:t xml:space="preserve">1 probe taken from the library as a control to guage the relative efficacy between it and the comparatively poor </w:t>
      </w:r>
      <w:r w:rsidR="00D93535" w:rsidRPr="00D93535">
        <w:rPr>
          <w:rFonts w:asciiTheme="majorHAnsi" w:hAnsiTheme="majorHAnsi"/>
          <w:i/>
        </w:rPr>
        <w:t>PEX</w:t>
      </w:r>
      <w:r w:rsidR="00EA5273">
        <w:rPr>
          <w:rFonts w:asciiTheme="majorHAnsi" w:hAnsiTheme="majorHAnsi"/>
        </w:rPr>
        <w:t>1 probe designed independently</w:t>
      </w:r>
      <w:r w:rsidR="00E550E7">
        <w:rPr>
          <w:rFonts w:asciiTheme="majorHAnsi" w:hAnsiTheme="majorHAnsi"/>
        </w:rPr>
        <w:t xml:space="preserve">. </w:t>
      </w:r>
      <w:r w:rsidR="00005967">
        <w:rPr>
          <w:rFonts w:asciiTheme="majorHAnsi" w:hAnsiTheme="majorHAnsi"/>
        </w:rPr>
        <w:t xml:space="preserve">The brackets denote the locations of </w:t>
      </w:r>
      <w:r w:rsidR="00C94924">
        <w:rPr>
          <w:rFonts w:asciiTheme="majorHAnsi" w:hAnsiTheme="majorHAnsi"/>
        </w:rPr>
        <w:t>each probe in their anti-parallel arrangement given by their well-identifier. This is illustrated in Fig. 5.3 where the positive and negative controls a have been dispersed throughout the plate.</w:t>
      </w:r>
    </w:p>
    <w:p w:rsidR="00597427" w:rsidRPr="0013327C" w:rsidRDefault="0064184C" w:rsidP="00323086">
      <w:pPr>
        <w:jc w:val="center"/>
        <w:rPr>
          <w:rFonts w:asciiTheme="majorHAnsi" w:hAnsiTheme="majorHAnsi"/>
        </w:rPr>
      </w:pPr>
      <w:r>
        <w:rPr>
          <w:rFonts w:asciiTheme="majorHAnsi" w:hAnsiTheme="majorHAnsi"/>
          <w:noProof/>
          <w:lang w:eastAsia="en-GB"/>
        </w:rPr>
        <w:lastRenderedPageBreak/>
        <w:drawing>
          <wp:inline distT="0" distB="0" distL="0" distR="0">
            <wp:extent cx="5505450" cy="7560128"/>
            <wp:effectExtent l="0" t="0" r="0" b="0"/>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cstate="print"/>
                    <a:srcRect/>
                    <a:stretch>
                      <a:fillRect/>
                    </a:stretch>
                  </pic:blipFill>
                  <pic:spPr bwMode="auto">
                    <a:xfrm>
                      <a:off x="0" y="0"/>
                      <a:ext cx="5510382" cy="7566900"/>
                    </a:xfrm>
                    <a:prstGeom prst="rect">
                      <a:avLst/>
                    </a:prstGeom>
                    <a:noFill/>
                  </pic:spPr>
                </pic:pic>
              </a:graphicData>
            </a:graphic>
          </wp:inline>
        </w:drawing>
      </w: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597427" w:rsidP="00AE0264">
      <w:pPr>
        <w:pStyle w:val="Heading2"/>
        <w:jc w:val="both"/>
      </w:pPr>
      <w:bookmarkStart w:id="129" w:name="_Toc348423381"/>
      <w:r w:rsidRPr="0013327C">
        <w:lastRenderedPageBreak/>
        <w:t>The Secondary screen of 257 shortlisted sample probes from the genome wide screen for animal peroxins</w:t>
      </w:r>
      <w:bookmarkEnd w:id="129"/>
    </w:p>
    <w:p w:rsidR="00597427" w:rsidRPr="0013327C" w:rsidRDefault="00597427" w:rsidP="00AE0264">
      <w:pPr>
        <w:jc w:val="both"/>
        <w:rPr>
          <w:rFonts w:asciiTheme="majorHAnsi" w:hAnsiTheme="majorHAnsi"/>
        </w:rPr>
      </w:pPr>
      <w:r w:rsidRPr="0013327C">
        <w:rPr>
          <w:rFonts w:asciiTheme="majorHAnsi" w:hAnsiTheme="majorHAnsi"/>
        </w:rPr>
        <w:t>The Secondary Screen plate was assayed with a 6-day KD using S2R+ cells stably transfected with pMt-eGFP-PTS1. The assay protocol was the same as that described for the second screen. Three Secondary Screen plates each containing 258 shortlisted sample probes from the analysis of screen two were assayed. The analysis of this secondary screen is described in the following paragraphs.</w:t>
      </w:r>
    </w:p>
    <w:p w:rsidR="00597427" w:rsidRPr="0013327C" w:rsidRDefault="00597427" w:rsidP="00AE0264">
      <w:pPr>
        <w:pStyle w:val="Heading2"/>
        <w:jc w:val="both"/>
      </w:pPr>
      <w:bookmarkStart w:id="130" w:name="_Toc348423382"/>
      <w:r w:rsidRPr="0013327C">
        <w:t>Evaluation of controls</w:t>
      </w:r>
      <w:bookmarkEnd w:id="130"/>
    </w:p>
    <w:p w:rsidR="00597427" w:rsidRPr="0013327C" w:rsidRDefault="00597427" w:rsidP="00AE0264">
      <w:pPr>
        <w:jc w:val="both"/>
        <w:rPr>
          <w:rFonts w:asciiTheme="majorHAnsi" w:hAnsiTheme="majorHAnsi"/>
        </w:rPr>
      </w:pPr>
      <w:r w:rsidRPr="0013327C">
        <w:rPr>
          <w:rFonts w:asciiTheme="majorHAnsi" w:hAnsiTheme="majorHAnsi"/>
        </w:rPr>
        <w:t xml:space="preserve">Before the statistical analysis was conducted with HTS2 software the three Secondary Screen plates were to have mean values made of each KD across all three plates. These mean values would be used to judge the relative efficacy of the control probes to that of the probes of the Secondary Screen plate. This did not require normalisation as the three plates themselves were not to be compared to each other. The three plates were completely visually screened for aberrant phenotypes. Average </w:t>
      </w:r>
      <w:proofErr w:type="gramStart"/>
      <w:r w:rsidRPr="0013327C">
        <w:rPr>
          <w:rFonts w:asciiTheme="majorHAnsi" w:hAnsiTheme="majorHAnsi"/>
        </w:rPr>
        <w:t>peroxisome per cell counts for each probe were</w:t>
      </w:r>
      <w:proofErr w:type="gramEnd"/>
      <w:r w:rsidRPr="0013327C">
        <w:rPr>
          <w:rFonts w:asciiTheme="majorHAnsi" w:hAnsiTheme="majorHAnsi"/>
        </w:rPr>
        <w:t xml:space="preserve"> included as indicators of the effect of the KD.</w:t>
      </w:r>
    </w:p>
    <w:p w:rsidR="00597427" w:rsidRPr="0013327C" w:rsidRDefault="00860E8E" w:rsidP="00323086">
      <w:pPr>
        <w:jc w:val="center"/>
        <w:rPr>
          <w:rFonts w:asciiTheme="majorHAnsi" w:hAnsiTheme="majorHAnsi"/>
        </w:rPr>
      </w:pPr>
      <w:r>
        <w:rPr>
          <w:rFonts w:asciiTheme="majorHAnsi" w:hAnsiTheme="majorHAnsi"/>
          <w:noProof/>
          <w:lang w:eastAsia="en-GB"/>
        </w:rPr>
        <w:lastRenderedPageBreak/>
        <w:drawing>
          <wp:inline distT="0" distB="0" distL="0" distR="0">
            <wp:extent cx="5255260" cy="6577965"/>
            <wp:effectExtent l="0" t="0" r="0" b="0"/>
            <wp:docPr id="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cstate="print"/>
                    <a:srcRect/>
                    <a:stretch>
                      <a:fillRect/>
                    </a:stretch>
                  </pic:blipFill>
                  <pic:spPr bwMode="auto">
                    <a:xfrm>
                      <a:off x="0" y="0"/>
                      <a:ext cx="5255260" cy="6577965"/>
                    </a:xfrm>
                    <a:prstGeom prst="rect">
                      <a:avLst/>
                    </a:prstGeom>
                    <a:noFill/>
                  </pic:spPr>
                </pic:pic>
              </a:graphicData>
            </a:graphic>
          </wp:inline>
        </w:drawing>
      </w:r>
    </w:p>
    <w:p w:rsidR="00597427" w:rsidRPr="0013327C" w:rsidRDefault="00597427" w:rsidP="00AE0264">
      <w:pPr>
        <w:jc w:val="both"/>
        <w:rPr>
          <w:rFonts w:asciiTheme="majorHAnsi" w:hAnsiTheme="majorHAnsi"/>
        </w:rPr>
      </w:pPr>
      <w:r w:rsidRPr="0013327C">
        <w:rPr>
          <w:rFonts w:asciiTheme="majorHAnsi" w:hAnsiTheme="majorHAnsi"/>
        </w:rPr>
        <w:t xml:space="preserve">The controls have all achieved low average peroxisome per cell counts as indicated by the heat map in Figure 5.5.1. Their average values are among the lowest of all average values indicating that the controls may prove to have relatively high efficacy compared to the rest of the probes. From an analysis point of view however, few of the sample probes appear to be as well distinguished in the heat map as the controls. This suggests that there may be ineffective KD in the sample wells or simply that few sample probes have produced phenotypes resulting in a decrease in peroxisome number per cell.  Upon inspection the images of the control probes show that the heat </w:t>
      </w:r>
      <w:r w:rsidRPr="0013327C">
        <w:rPr>
          <w:rFonts w:asciiTheme="majorHAnsi" w:hAnsiTheme="majorHAnsi"/>
        </w:rPr>
        <w:lastRenderedPageBreak/>
        <w:t xml:space="preserve">map has been a good indication of the severity of their KDs.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 xml:space="preserve">16 and nmd show almost ubiquitous cytosolic eGFP-PTS1 with very few puncta in any of the knocked-down cells. The two </w:t>
      </w:r>
      <w:r w:rsidR="000C26B2" w:rsidRPr="000C26B2">
        <w:rPr>
          <w:rFonts w:asciiTheme="majorHAnsi" w:hAnsiTheme="majorHAnsi"/>
          <w:i/>
        </w:rPr>
        <w:t>PEX</w:t>
      </w:r>
      <w:r w:rsidRPr="0013327C">
        <w:rPr>
          <w:rFonts w:asciiTheme="majorHAnsi" w:hAnsiTheme="majorHAnsi"/>
        </w:rPr>
        <w:t xml:space="preserve">1 probes are approximately equal in KD efficacy. They both have an almost ubiquitous KD showing a presence of dim cytosolic eGFP-PTS1 and the majority of these cells have only dimly </w:t>
      </w:r>
      <w:proofErr w:type="gramStart"/>
      <w:r w:rsidRPr="0013327C">
        <w:rPr>
          <w:rFonts w:asciiTheme="majorHAnsi" w:hAnsiTheme="majorHAnsi"/>
        </w:rPr>
        <w:t>fluorescing</w:t>
      </w:r>
      <w:proofErr w:type="gramEnd"/>
      <w:r w:rsidRPr="0013327C">
        <w:rPr>
          <w:rFonts w:asciiTheme="majorHAnsi" w:hAnsiTheme="majorHAnsi"/>
        </w:rPr>
        <w:t xml:space="preserve"> peroxisomes. </w:t>
      </w:r>
      <w:r w:rsidR="000C26B2" w:rsidRPr="000C26B2">
        <w:rPr>
          <w:rFonts w:asciiTheme="majorHAnsi" w:hAnsiTheme="majorHAnsi"/>
          <w:i/>
        </w:rPr>
        <w:t>PEX</w:t>
      </w:r>
      <w:r w:rsidRPr="0013327C">
        <w:rPr>
          <w:rFonts w:asciiTheme="majorHAnsi" w:hAnsiTheme="majorHAnsi"/>
        </w:rPr>
        <w:t xml:space="preserve">3, like the </w:t>
      </w:r>
      <w:r w:rsidR="000C26B2" w:rsidRPr="000C26B2">
        <w:rPr>
          <w:rFonts w:asciiTheme="majorHAnsi" w:hAnsiTheme="majorHAnsi"/>
          <w:i/>
        </w:rPr>
        <w:t>PEX</w:t>
      </w:r>
      <w:r w:rsidRPr="0013327C">
        <w:rPr>
          <w:rFonts w:asciiTheme="majorHAnsi" w:hAnsiTheme="majorHAnsi"/>
        </w:rPr>
        <w:t xml:space="preserve">1, probes has a dim cytosolic presence of eGFP-PTS1 but with few fluorescent puncta. Drp1 and sqh also show a large reduction in peroxisome number. There are a few WT phenotypes among the cells in all of these samples. The images of the controls are given in </w:t>
      </w:r>
      <w:r w:rsidRPr="0013327C">
        <w:rPr>
          <w:rFonts w:asciiTheme="majorHAnsi" w:hAnsiTheme="majorHAnsi"/>
          <w:b/>
        </w:rPr>
        <w:t>Figure 5.5.2.</w:t>
      </w:r>
    </w:p>
    <w:p w:rsidR="00597427" w:rsidRPr="0013327C" w:rsidRDefault="00C52035" w:rsidP="00EA1D4E">
      <w:pPr>
        <w:spacing w:after="0"/>
        <w:jc w:val="both"/>
        <w:rPr>
          <w:rFonts w:asciiTheme="majorHAnsi" w:hAnsiTheme="majorHAnsi"/>
        </w:rPr>
      </w:pPr>
      <w:r w:rsidRPr="00C52035">
        <w:rPr>
          <w:rFonts w:asciiTheme="majorHAnsi" w:hAnsiTheme="majorHAnsi"/>
          <w:noProof/>
          <w:lang w:eastAsia="en-GB"/>
        </w:rPr>
        <w:drawing>
          <wp:inline distT="0" distB="0" distL="0" distR="0">
            <wp:extent cx="4561870" cy="5471956"/>
            <wp:effectExtent l="476250" t="0" r="448280" b="0"/>
            <wp:docPr id="20" name="Picture 2"/>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20" cstate="print"/>
                    <a:srcRect/>
                    <a:stretch>
                      <a:fillRect/>
                    </a:stretch>
                  </pic:blipFill>
                  <pic:spPr bwMode="auto">
                    <a:xfrm rot="5400000">
                      <a:off x="0" y="0"/>
                      <a:ext cx="4562660" cy="5472903"/>
                    </a:xfrm>
                    <a:prstGeom prst="rect">
                      <a:avLst/>
                    </a:prstGeom>
                    <a:noFill/>
                  </pic:spPr>
                </pic:pic>
              </a:graphicData>
            </a:graphic>
          </wp:inline>
        </w:drawing>
      </w:r>
      <w:proofErr w:type="gramStart"/>
      <w:r w:rsidR="00597427" w:rsidRPr="0013327C">
        <w:rPr>
          <w:rFonts w:asciiTheme="majorHAnsi" w:hAnsiTheme="majorHAnsi"/>
          <w:b/>
        </w:rPr>
        <w:t>Figure 5.</w:t>
      </w:r>
      <w:r w:rsidR="00860E8E">
        <w:rPr>
          <w:rFonts w:asciiTheme="majorHAnsi" w:hAnsiTheme="majorHAnsi"/>
          <w:b/>
        </w:rPr>
        <w:t>3</w:t>
      </w:r>
      <w:r w:rsidR="00597427" w:rsidRPr="0013327C">
        <w:rPr>
          <w:rFonts w:asciiTheme="majorHAnsi" w:hAnsiTheme="majorHAnsi"/>
          <w:b/>
        </w:rPr>
        <w:t>.</w:t>
      </w:r>
      <w:proofErr w:type="gramEnd"/>
      <w:r w:rsidR="00597427" w:rsidRPr="0013327C">
        <w:rPr>
          <w:rFonts w:asciiTheme="majorHAnsi" w:hAnsiTheme="majorHAnsi"/>
          <w:b/>
        </w:rPr>
        <w:t xml:space="preserve"> </w:t>
      </w:r>
      <w:proofErr w:type="gramStart"/>
      <w:r w:rsidR="008A75F1">
        <w:rPr>
          <w:rFonts w:asciiTheme="majorHAnsi" w:hAnsiTheme="majorHAnsi"/>
          <w:b/>
        </w:rPr>
        <w:t>Images of control KDs in Secondary Screen.</w:t>
      </w:r>
      <w:proofErr w:type="gramEnd"/>
      <w:r w:rsidR="008A75F1">
        <w:rPr>
          <w:rFonts w:asciiTheme="majorHAnsi" w:hAnsiTheme="majorHAnsi"/>
          <w:b/>
        </w:rPr>
        <w:t xml:space="preserve"> </w:t>
      </w:r>
      <w:r w:rsidR="00597427" w:rsidRPr="0013327C">
        <w:rPr>
          <w:rFonts w:asciiTheme="majorHAnsi" w:hAnsiTheme="majorHAnsi"/>
        </w:rPr>
        <w:t>Images of control KDs of S2R+ cells stably transfected with pMt-eGFP-PTS1 grown for 5 days before a 24hr induction with 50µM CuSO</w:t>
      </w:r>
      <w:r w:rsidR="00597427" w:rsidRPr="0013327C">
        <w:rPr>
          <w:rFonts w:asciiTheme="majorHAnsi" w:hAnsiTheme="majorHAnsi"/>
          <w:vertAlign w:val="subscript"/>
        </w:rPr>
        <w:t>4</w:t>
      </w:r>
      <w:r w:rsidR="00597427" w:rsidRPr="0013327C">
        <w:rPr>
          <w:rFonts w:asciiTheme="majorHAnsi" w:hAnsiTheme="majorHAnsi"/>
        </w:rPr>
        <w:t>. Bar = 20µm.</w:t>
      </w:r>
    </w:p>
    <w:p w:rsidR="00597427" w:rsidRPr="0013327C" w:rsidRDefault="00597427" w:rsidP="00AE0264">
      <w:pPr>
        <w:pStyle w:val="Heading2"/>
        <w:jc w:val="both"/>
      </w:pPr>
      <w:bookmarkStart w:id="131" w:name="_Toc348423383"/>
      <w:proofErr w:type="gramStart"/>
      <w:r w:rsidRPr="0013327C">
        <w:lastRenderedPageBreak/>
        <w:t>Visual analysis of KDs in Secondary Screen.</w:t>
      </w:r>
      <w:bookmarkEnd w:id="131"/>
      <w:proofErr w:type="gramEnd"/>
    </w:p>
    <w:p w:rsidR="00597427" w:rsidRPr="0013327C" w:rsidRDefault="00597427" w:rsidP="00AE0264">
      <w:pPr>
        <w:jc w:val="both"/>
        <w:rPr>
          <w:rFonts w:asciiTheme="majorHAnsi" w:hAnsiTheme="majorHAnsi"/>
        </w:rPr>
      </w:pPr>
      <w:r w:rsidRPr="0013327C">
        <w:rPr>
          <w:rFonts w:asciiTheme="majorHAnsi" w:hAnsiTheme="majorHAnsi"/>
        </w:rPr>
        <w:t>The Secondary Screen plate contains 257 probes (66% of the plate) targeting genes that either had statistically significant z-scores, greater than a magnitude of 2, or were included because they had visually aberrant phenotypes that were deemed worthy of subsequent investigation. This means that two thirds of the secondary screen is expected to produce high deviations in peroxisome per cell number from the mean. This means that the statistical analysis that HTS2 uses to determine the most aberrant phenotypes is likely to exclude approximately 60% of the sample probes elected from Screen 2 as its default analysis setting is to use the KDs as the population distribution instead of WT. It was therefore decided that prior to statistical analysis, a complete visual screen of all 1,152 samples (10,368 images) be taken in an attempt to include more of the aberrant phenotypes that would be excluded from analysis. This type of analysis would apply a subjective approach to the secondary screen and so certain criteria needed applying.</w:t>
      </w:r>
    </w:p>
    <w:p w:rsidR="00597427" w:rsidRPr="0013327C" w:rsidRDefault="00597427" w:rsidP="00AE0264">
      <w:pPr>
        <w:pStyle w:val="ListParagraph"/>
        <w:numPr>
          <w:ilvl w:val="0"/>
          <w:numId w:val="17"/>
        </w:numPr>
        <w:jc w:val="both"/>
        <w:rPr>
          <w:rFonts w:asciiTheme="majorHAnsi" w:hAnsiTheme="majorHAnsi"/>
        </w:rPr>
      </w:pPr>
      <w:r w:rsidRPr="0013327C">
        <w:rPr>
          <w:rFonts w:asciiTheme="majorHAnsi" w:hAnsiTheme="majorHAnsi"/>
        </w:rPr>
        <w:t>The images would be viewed without any knowledge of which KD was being observed to prevent subjective bias.</w:t>
      </w:r>
    </w:p>
    <w:p w:rsidR="00597427" w:rsidRPr="0013327C" w:rsidRDefault="00597427" w:rsidP="00AE0264">
      <w:pPr>
        <w:pStyle w:val="ListParagraph"/>
        <w:numPr>
          <w:ilvl w:val="0"/>
          <w:numId w:val="17"/>
        </w:numPr>
        <w:jc w:val="both"/>
        <w:rPr>
          <w:rFonts w:asciiTheme="majorHAnsi" w:hAnsiTheme="majorHAnsi"/>
        </w:rPr>
      </w:pPr>
      <w:r w:rsidRPr="0013327C">
        <w:rPr>
          <w:rFonts w:asciiTheme="majorHAnsi" w:hAnsiTheme="majorHAnsi"/>
        </w:rPr>
        <w:t xml:space="preserve">To compare with known WT phenotypes the locations of 6 empty wells were used, the top left quadrant (A01, A02, B01, </w:t>
      </w:r>
      <w:proofErr w:type="gramStart"/>
      <w:r w:rsidRPr="0013327C">
        <w:rPr>
          <w:rFonts w:asciiTheme="majorHAnsi" w:hAnsiTheme="majorHAnsi"/>
        </w:rPr>
        <w:t>B02</w:t>
      </w:r>
      <w:proofErr w:type="gramEnd"/>
      <w:r w:rsidRPr="0013327C">
        <w:rPr>
          <w:rFonts w:asciiTheme="majorHAnsi" w:hAnsiTheme="majorHAnsi"/>
        </w:rPr>
        <w:t xml:space="preserve">) and centrally, L08 and L09. </w:t>
      </w:r>
    </w:p>
    <w:p w:rsidR="00597427" w:rsidRPr="0013327C" w:rsidRDefault="00597427" w:rsidP="00AE0264">
      <w:pPr>
        <w:pStyle w:val="ListParagraph"/>
        <w:numPr>
          <w:ilvl w:val="0"/>
          <w:numId w:val="17"/>
        </w:numPr>
        <w:jc w:val="both"/>
        <w:rPr>
          <w:rFonts w:asciiTheme="majorHAnsi" w:hAnsiTheme="majorHAnsi"/>
        </w:rPr>
      </w:pPr>
      <w:r w:rsidRPr="0013327C">
        <w:rPr>
          <w:rFonts w:asciiTheme="majorHAnsi" w:hAnsiTheme="majorHAnsi"/>
        </w:rPr>
        <w:t xml:space="preserve">Probes would be ranked first by the number of replicates they created aberrative phenotypes in, 3 being the most effective, </w:t>
      </w:r>
      <w:proofErr w:type="gramStart"/>
      <w:r w:rsidRPr="0013327C">
        <w:rPr>
          <w:rFonts w:asciiTheme="majorHAnsi" w:hAnsiTheme="majorHAnsi"/>
        </w:rPr>
        <w:t>1</w:t>
      </w:r>
      <w:proofErr w:type="gramEnd"/>
      <w:r w:rsidRPr="0013327C">
        <w:rPr>
          <w:rFonts w:asciiTheme="majorHAnsi" w:hAnsiTheme="majorHAnsi"/>
        </w:rPr>
        <w:t xml:space="preserve"> being the least.</w:t>
      </w:r>
    </w:p>
    <w:p w:rsidR="00597427" w:rsidRPr="0013327C" w:rsidRDefault="00597427" w:rsidP="00AE0264">
      <w:pPr>
        <w:pStyle w:val="ListParagraph"/>
        <w:numPr>
          <w:ilvl w:val="0"/>
          <w:numId w:val="17"/>
        </w:numPr>
        <w:jc w:val="both"/>
        <w:rPr>
          <w:rFonts w:asciiTheme="majorHAnsi" w:hAnsiTheme="majorHAnsi"/>
        </w:rPr>
      </w:pPr>
      <w:r w:rsidRPr="0013327C">
        <w:rPr>
          <w:rFonts w:asciiTheme="majorHAnsi" w:hAnsiTheme="majorHAnsi"/>
        </w:rPr>
        <w:t>Probes would then be ranked by the mean peroxisomes per cell for the probe triplicate; at this stage the data were neither normalised nor reported in terms of z-scores.</w:t>
      </w:r>
    </w:p>
    <w:p w:rsidR="00597427" w:rsidRPr="0013327C" w:rsidRDefault="00597427" w:rsidP="00AE0264">
      <w:pPr>
        <w:jc w:val="both"/>
        <w:rPr>
          <w:rFonts w:asciiTheme="majorHAnsi" w:hAnsiTheme="majorHAnsi"/>
        </w:rPr>
      </w:pPr>
      <w:r w:rsidRPr="0013327C">
        <w:rPr>
          <w:rFonts w:asciiTheme="majorHAnsi" w:hAnsiTheme="majorHAnsi"/>
        </w:rPr>
        <w:t>Each plate was completely screened visually. Despite the highly aberrant visual phenotypes of the control probes used in this triplicate assay, few such profound effects could be observed from the sample KDs. Each probe would be judged on whether ubiquitous aberrations from WT phenotype had occurred. If KDs were neither ubiquitous nor nearly so across the nine images then it would be determined whether a sufficiently large proportion of cells had experienced a common deviation from WT phenotype for a KD to be said to have occurred. A list was then compiled of the well locations that had experienced 3, 2 or 1 sample-wide KDs. A list of those that returned phenotypes confirmed visually is shown in Figure 5.6.2.</w:t>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772171" cy="3783724"/>
            <wp:effectExtent l="19050" t="0" r="9379" b="0"/>
            <wp:docPr id="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srcRect/>
                    <a:stretch>
                      <a:fillRect/>
                    </a:stretch>
                  </pic:blipFill>
                  <pic:spPr bwMode="auto">
                    <a:xfrm>
                      <a:off x="0" y="0"/>
                      <a:ext cx="4773225" cy="3784560"/>
                    </a:xfrm>
                    <a:prstGeom prst="rect">
                      <a:avLst/>
                    </a:prstGeom>
                    <a:noFill/>
                  </pic:spPr>
                </pic:pic>
              </a:graphicData>
            </a:graphic>
          </wp:inline>
        </w:drawing>
      </w:r>
    </w:p>
    <w:p w:rsidR="00597427" w:rsidRPr="0013327C" w:rsidRDefault="009119C6" w:rsidP="00AE0264">
      <w:pPr>
        <w:jc w:val="both"/>
        <w:rPr>
          <w:rFonts w:asciiTheme="majorHAnsi" w:hAnsiTheme="majorHAnsi"/>
        </w:rPr>
      </w:pPr>
      <w:proofErr w:type="gramStart"/>
      <w:r>
        <w:rPr>
          <w:rFonts w:asciiTheme="majorHAnsi" w:hAnsiTheme="majorHAnsi"/>
          <w:b/>
        </w:rPr>
        <w:t>Table</w:t>
      </w:r>
      <w:r w:rsidR="00FB4E49">
        <w:rPr>
          <w:rFonts w:asciiTheme="majorHAnsi" w:hAnsiTheme="majorHAnsi"/>
          <w:b/>
        </w:rPr>
        <w:t xml:space="preserve"> 5.</w:t>
      </w:r>
      <w:r>
        <w:rPr>
          <w:rFonts w:asciiTheme="majorHAnsi" w:hAnsiTheme="majorHAnsi"/>
          <w:b/>
        </w:rPr>
        <w:t>3</w:t>
      </w:r>
      <w:r w:rsidR="00FB4E49" w:rsidRPr="0013327C">
        <w:rPr>
          <w:rFonts w:asciiTheme="majorHAnsi" w:hAnsiTheme="majorHAnsi"/>
          <w:b/>
        </w:rPr>
        <w:t>.</w:t>
      </w:r>
      <w:proofErr w:type="gramEnd"/>
      <w:r w:rsidR="00FB4E49" w:rsidRPr="0013327C">
        <w:rPr>
          <w:rFonts w:asciiTheme="majorHAnsi" w:hAnsiTheme="majorHAnsi"/>
          <w:b/>
        </w:rPr>
        <w:t xml:space="preserve"> </w:t>
      </w:r>
      <w:r w:rsidR="00FB4E49" w:rsidRPr="00FB4E49">
        <w:rPr>
          <w:rFonts w:asciiTheme="majorHAnsi" w:hAnsiTheme="majorHAnsi"/>
          <w:b/>
        </w:rPr>
        <w:t xml:space="preserve">A list of genes </w:t>
      </w:r>
      <w:proofErr w:type="gramStart"/>
      <w:r w:rsidR="00FB4E49" w:rsidRPr="00FB4E49">
        <w:rPr>
          <w:rFonts w:asciiTheme="majorHAnsi" w:hAnsiTheme="majorHAnsi"/>
          <w:b/>
        </w:rPr>
        <w:t>whose</w:t>
      </w:r>
      <w:proofErr w:type="gramEnd"/>
      <w:r w:rsidR="00FB4E49" w:rsidRPr="00FB4E49">
        <w:rPr>
          <w:rFonts w:asciiTheme="majorHAnsi" w:hAnsiTheme="majorHAnsi"/>
          <w:b/>
        </w:rPr>
        <w:t xml:space="preserve"> KDs caused visual aberrations in eGFP-PTS1 phenotype in the secondary screen.</w:t>
      </w:r>
      <w:r w:rsidR="00597427" w:rsidRPr="0013327C">
        <w:rPr>
          <w:rFonts w:asciiTheme="majorHAnsi" w:hAnsiTheme="majorHAnsi"/>
        </w:rPr>
        <w:t xml:space="preserve"> No</w:t>
      </w:r>
      <w:r>
        <w:rPr>
          <w:rFonts w:asciiTheme="majorHAnsi" w:hAnsiTheme="majorHAnsi"/>
        </w:rPr>
        <w:t>.</w:t>
      </w:r>
      <w:r w:rsidR="00597427" w:rsidRPr="0013327C">
        <w:rPr>
          <w:rFonts w:asciiTheme="majorHAnsi" w:hAnsiTheme="majorHAnsi"/>
        </w:rPr>
        <w:t xml:space="preserve"> of hits is the number of plates that recorded a visual aberration. The peroxisome per cell count is colour-coded from few in red to many in green. Number of hits is colour </w:t>
      </w:r>
      <w:proofErr w:type="gramStart"/>
      <w:r w:rsidR="00597427" w:rsidRPr="0013327C">
        <w:rPr>
          <w:rFonts w:asciiTheme="majorHAnsi" w:hAnsiTheme="majorHAnsi"/>
        </w:rPr>
        <w:t>coded,</w:t>
      </w:r>
      <w:proofErr w:type="gramEnd"/>
      <w:r w:rsidR="00597427" w:rsidRPr="0013327C">
        <w:rPr>
          <w:rFonts w:asciiTheme="majorHAnsi" w:hAnsiTheme="majorHAnsi"/>
        </w:rPr>
        <w:t xml:space="preserve"> 3 in dark green, 2 in lime green, 1 in red. The peroxisome per cell count is not normalised. μ = 18.3 peroxisomes per cell, σ = 4.1 peroxisomes per cell.</w:t>
      </w:r>
    </w:p>
    <w:p w:rsidR="00597427" w:rsidRPr="0013327C" w:rsidRDefault="00597427" w:rsidP="00AE0264">
      <w:pPr>
        <w:jc w:val="both"/>
        <w:rPr>
          <w:rFonts w:asciiTheme="majorHAnsi" w:hAnsiTheme="majorHAnsi"/>
        </w:rPr>
      </w:pPr>
      <w:r w:rsidRPr="0013327C">
        <w:rPr>
          <w:rFonts w:asciiTheme="majorHAnsi" w:hAnsiTheme="majorHAnsi"/>
        </w:rPr>
        <w:t xml:space="preserve">The visual screen revealed 18 gene KDs that achieved an aberrant phenotype on all three plates. 11 gene knockdowns could be viewed in 2 of the three wells. 29 KDs were only apparent in 1 well from the three plates. </w:t>
      </w:r>
    </w:p>
    <w:p w:rsidR="00597427" w:rsidRPr="0013327C" w:rsidRDefault="00597427" w:rsidP="00AE0264">
      <w:pPr>
        <w:pStyle w:val="Heading2"/>
        <w:jc w:val="both"/>
      </w:pPr>
      <w:bookmarkStart w:id="132" w:name="_Toc348423384"/>
      <w:r w:rsidRPr="0013327C">
        <w:t>Three probes, including one positive control, showed apparent ubiquitous loss of signal</w:t>
      </w:r>
      <w:bookmarkEnd w:id="132"/>
      <w:r w:rsidRPr="0013327C">
        <w:t xml:space="preserve"> </w:t>
      </w:r>
    </w:p>
    <w:p w:rsidR="00597427" w:rsidRPr="0013327C" w:rsidRDefault="00597427" w:rsidP="00AE0264">
      <w:pPr>
        <w:jc w:val="both"/>
        <w:rPr>
          <w:rFonts w:asciiTheme="majorHAnsi" w:hAnsiTheme="majorHAnsi"/>
        </w:rPr>
      </w:pPr>
      <w:r w:rsidRPr="0013327C">
        <w:rPr>
          <w:rFonts w:asciiTheme="majorHAnsi" w:hAnsiTheme="majorHAnsi"/>
        </w:rPr>
        <w:t xml:space="preserve">Five of the probes that scored the lowest peroxisome per cell scores were the GFP targeting probe positive controls which scored in the top six KDs. All of these occurred across all three plates indicating that it is an effective probe at preventing eGFP-PTS1 expression. Producing a very similar effect and peroxisome count was of one of the samples that </w:t>
      </w:r>
      <w:proofErr w:type="gramStart"/>
      <w:r w:rsidRPr="0013327C">
        <w:rPr>
          <w:rFonts w:asciiTheme="majorHAnsi" w:hAnsiTheme="majorHAnsi"/>
        </w:rPr>
        <w:t>was</w:t>
      </w:r>
      <w:proofErr w:type="gramEnd"/>
      <w:r w:rsidRPr="0013327C">
        <w:rPr>
          <w:rFonts w:asciiTheme="majorHAnsi" w:hAnsiTheme="majorHAnsi"/>
        </w:rPr>
        <w:t xml:space="preserve"> included as a high-scoring sample from the previous two screens. The probe targets a transcription factor called Metal Response element-binding Transcription Factor-1 (Dmel/MTF-1, CG3743). This is unsurprising as MTF-1 is a </w:t>
      </w:r>
      <w:r w:rsidRPr="0013327C">
        <w:rPr>
          <w:rFonts w:asciiTheme="majorHAnsi" w:hAnsiTheme="majorHAnsi"/>
        </w:rPr>
        <w:lastRenderedPageBreak/>
        <w:t xml:space="preserve">metal-responsive transcription factor as the name suggests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"10.1111/j.1365-2443.2006.00971.x", "abstract" : "Four metallothionein genes are present in the Drosophila melanogaster genome, designated MtnA, MtnB, MtnC, MtnD, all of which are transcriptionally induced by heavy metals through the same metal-responsive transcription factor, MTF-1. Here we show, by targeted mutagenesis, that the four metallothionein genes exhibit distinct, yet overlapping, roles in heavy metal homeostasis and toxicity prevention. Among the individual metallothionein mutants, the most prominent distinction between them was that MtnA-defective flies were the most sensitive to copper load, while MtnB-defective flies were the most sensitive to cadmium. Using various reporter gene constructs and mRNA quantification, we show that the MtnA promoter is preferentially induced by copper, while the MtnB promoter is preferentially induced by cadmium. Such a metal preference is also observed at the protein level as the stoichiometric, spectrometric and spectroscopic features of the copper and cadmium complexes with MtnA and MtnB correlate well with a greater stability of copper-MtnA and cadmium-MtnB. Finally, MtnC and MtnD, both of which are very similar to MtnB, display lower copper and cadmium binding capabilities compared to either MtnA or MtnB. In accordance with these binding studies, Drosophila mutants of MtnC or MtnD have a near wild type level of resistance against copper or cadmium load. Furthermore, eye-specific over-expression of MtnA and MtnB, but not of MtnC or MtnD, can rescue a \"rough eye\" phenotype caused by copper load in the eye. Taken together, while the exact roles of MtnC and MtnD remain to be determined, the preferential protection against copper and cadmium toxicity by MtnA and MtnB, respectively, are the result of a combination of promoter preference and metal binding.", "author" : [ { "dropping-particle" : "", "family" : "Egli", "given" : "Dieter", "non-dropping-particle" : "", "parse-names" : false, "suffix" : "" }, { "dropping-particle" : "", "family" : "Dom\u00e8nech", "given" : "Jordi", "non-dropping-particle" : "", "parse-names" : false, "suffix" : "" }, { "dropping-particle" : "", "family" : "Selvaraj", "given" : "Anand", "non-dropping-particle" : "", "parse-names" : false, "suffix" : "" }, { "dropping-particle" : "", "family" : "Balamurugan", "given" : "Kuppusamy", "non-dropping-particle" : "", "parse-names" : false, "suffix" : "" }, { "dropping-particle" : "", "family" : "Hua", "given" : "Haiqing", "non-dropping-particle" : "", "parse-names" : false, "suffix" : "" }, { "dropping-particle" : "", "family" : "Capdevila", "given" : "Merc\u00e8", "non-dropping-particle" : "", "parse-names" : false, "suffix" : "" }, { "dropping-particle" : "", "family" : "Georgiev", "given" : "Oleg", "non-dropping-particle" : "", "parse-names" : false, "suffix" : "" }, { "dropping-particle" : "", "family" : "Schaffner", "given" : "Walter", "non-dropping-particle" : "", "parse-names" : false, "suffix" : "" }, { "dropping-particle" : "", "family" : "Atrian", "given" : "S\u00edlvia", "non-dropping-particle" : "", "parse-names" : false, "suffix" : "" } ], "container-title" : "Genes to cells : devoted to molecular &amp; cellular mechanisms", "id" : "ITEM-1", "issue" : "6", "issued" : { "date-parts" : [ [ "2006", "6" ] ] }, "page" : "647-58", "title" : "The four members of the Drosophila metallothionein family exhibit distinct yet overlapping roles in heavy metal homeostasis and detoxification.", "type" : "article-journal", "volume" : "11" }, "uris" : [ "http://www.mendeley.com/documents/?uuid=440ed66d-3d7f-4780-86d7-9567ae5416b2" ] } ], "mendeley" : { "previouslyFormattedCitation" : "(Egli et al. 2006)" }, "properties" : { "noteIndex" : 0 }, "schema" : "https://github.com/citation-style-language/schema/raw/master/csl-citation.json" }</w:instrText>
      </w:r>
      <w:r w:rsidR="009A1FEC" w:rsidRPr="0013327C">
        <w:rPr>
          <w:rFonts w:asciiTheme="majorHAnsi" w:hAnsiTheme="majorHAnsi"/>
        </w:rPr>
        <w:fldChar w:fldCharType="separate"/>
      </w:r>
      <w:r w:rsidR="00E5134C" w:rsidRPr="00E5134C">
        <w:rPr>
          <w:rFonts w:asciiTheme="majorHAnsi" w:hAnsiTheme="majorHAnsi"/>
          <w:noProof/>
        </w:rPr>
        <w:t xml:space="preserve">(Egli </w:t>
      </w:r>
      <w:r w:rsidR="00466108" w:rsidRPr="00466108">
        <w:rPr>
          <w:rFonts w:asciiTheme="majorHAnsi" w:hAnsiTheme="majorHAnsi"/>
          <w:i/>
          <w:noProof/>
        </w:rPr>
        <w:t>et al</w:t>
      </w:r>
      <w:r w:rsidR="00E5134C" w:rsidRPr="00E5134C">
        <w:rPr>
          <w:rFonts w:asciiTheme="majorHAnsi" w:hAnsiTheme="majorHAnsi"/>
          <w:noProof/>
        </w:rPr>
        <w:t>. 2006)</w:t>
      </w:r>
      <w:r w:rsidR="009A1FEC" w:rsidRPr="0013327C">
        <w:rPr>
          <w:rFonts w:asciiTheme="majorHAnsi" w:hAnsiTheme="majorHAnsi"/>
        </w:rPr>
        <w:fldChar w:fldCharType="end"/>
      </w:r>
      <w:r w:rsidRPr="0013327C">
        <w:rPr>
          <w:rFonts w:asciiTheme="majorHAnsi" w:hAnsiTheme="majorHAnsi"/>
        </w:rPr>
        <w:t>, the loss of which has had a detrimental effect on eGFP-PTS1 expression under CuSO</w:t>
      </w:r>
      <w:r w:rsidRPr="0013327C">
        <w:rPr>
          <w:rFonts w:asciiTheme="majorHAnsi" w:hAnsiTheme="majorHAnsi"/>
          <w:vertAlign w:val="subscript"/>
        </w:rPr>
        <w:t>4</w:t>
      </w:r>
      <w:r w:rsidRPr="0013327C">
        <w:rPr>
          <w:rFonts w:asciiTheme="majorHAnsi" w:hAnsiTheme="majorHAnsi"/>
        </w:rPr>
        <w:t xml:space="preserve"> induction. These two probes were capable of producing peroxisome per cell counts of less than 3. Producing a similar visual phenotype but with a higher peroxisome per cell count was Moleskin (CG7935). Images of the KDs seen across all three plates of these genes are shown in Figure 5.6.3. The dim but visible pattern of fluorescent puncta among apparently normal nuclei suggests that the expression of the reporter was inhibited.</w:t>
      </w:r>
    </w:p>
    <w:p w:rsidR="00597427" w:rsidRPr="0013327C" w:rsidRDefault="00FB4E49" w:rsidP="00AE0264">
      <w:pPr>
        <w:jc w:val="both"/>
        <w:rPr>
          <w:rFonts w:asciiTheme="majorHAnsi" w:hAnsiTheme="majorHAnsi"/>
        </w:rPr>
      </w:pPr>
      <w:r>
        <w:rPr>
          <w:rFonts w:asciiTheme="majorHAnsi" w:hAnsiTheme="majorHAnsi"/>
          <w:b/>
          <w:noProof/>
          <w:lang w:eastAsia="en-GB"/>
        </w:rPr>
        <w:drawing>
          <wp:inline distT="0" distB="0" distL="0" distR="0">
            <wp:extent cx="5365115" cy="4828540"/>
            <wp:effectExtent l="19050" t="0" r="6985" b="0"/>
            <wp:docPr id="2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srcRect/>
                    <a:stretch>
                      <a:fillRect/>
                    </a:stretch>
                  </pic:blipFill>
                  <pic:spPr bwMode="auto">
                    <a:xfrm>
                      <a:off x="0" y="0"/>
                      <a:ext cx="5365115" cy="4828540"/>
                    </a:xfrm>
                    <a:prstGeom prst="rect">
                      <a:avLst/>
                    </a:prstGeom>
                    <a:noFill/>
                  </pic:spPr>
                </pic:pic>
              </a:graphicData>
            </a:graphic>
          </wp:inline>
        </w:drawing>
      </w:r>
      <w:proofErr w:type="gramStart"/>
      <w:r w:rsidR="00597427" w:rsidRPr="00FB4E49">
        <w:rPr>
          <w:rFonts w:asciiTheme="majorHAnsi" w:hAnsiTheme="majorHAnsi"/>
          <w:b/>
        </w:rPr>
        <w:t>Fi</w:t>
      </w:r>
      <w:r>
        <w:rPr>
          <w:rFonts w:asciiTheme="majorHAnsi" w:hAnsiTheme="majorHAnsi"/>
          <w:b/>
        </w:rPr>
        <w:t>gure 5.</w:t>
      </w:r>
      <w:r w:rsidR="00595E9F">
        <w:rPr>
          <w:rFonts w:asciiTheme="majorHAnsi" w:hAnsiTheme="majorHAnsi"/>
          <w:b/>
        </w:rPr>
        <w:t>4</w:t>
      </w:r>
      <w:r w:rsidR="00597427" w:rsidRPr="00FB4E49">
        <w:rPr>
          <w:rFonts w:asciiTheme="majorHAnsi" w:hAnsiTheme="majorHAnsi"/>
          <w:b/>
        </w:rPr>
        <w:t>.</w:t>
      </w:r>
      <w:proofErr w:type="gramEnd"/>
      <w:r w:rsidR="00597427" w:rsidRPr="00FB4E49">
        <w:rPr>
          <w:rFonts w:asciiTheme="majorHAnsi" w:hAnsiTheme="majorHAnsi"/>
          <w:b/>
        </w:rPr>
        <w:t xml:space="preserve"> </w:t>
      </w:r>
      <w:proofErr w:type="gramStart"/>
      <w:r w:rsidRPr="00FB4E49">
        <w:rPr>
          <w:rFonts w:asciiTheme="majorHAnsi" w:hAnsiTheme="majorHAnsi"/>
          <w:b/>
        </w:rPr>
        <w:t>Images of cells with low expression</w:t>
      </w:r>
      <w:r w:rsidR="006429A2">
        <w:rPr>
          <w:rFonts w:asciiTheme="majorHAnsi" w:hAnsiTheme="majorHAnsi"/>
          <w:b/>
        </w:rPr>
        <w:t xml:space="preserve"> </w:t>
      </w:r>
      <w:r w:rsidR="005516E8">
        <w:rPr>
          <w:rFonts w:asciiTheme="majorHAnsi" w:hAnsiTheme="majorHAnsi"/>
          <w:b/>
        </w:rPr>
        <w:t xml:space="preserve">or stability </w:t>
      </w:r>
      <w:r w:rsidRPr="00FB4E49">
        <w:rPr>
          <w:rFonts w:asciiTheme="majorHAnsi" w:hAnsiTheme="majorHAnsi"/>
          <w:b/>
        </w:rPr>
        <w:t>of eGFP-PTS1.</w:t>
      </w:r>
      <w:proofErr w:type="gramEnd"/>
      <w:r>
        <w:rPr>
          <w:rFonts w:asciiTheme="majorHAnsi" w:hAnsiTheme="majorHAnsi"/>
        </w:rPr>
        <w:t xml:space="preserve"> </w:t>
      </w:r>
      <w:r w:rsidR="00597427" w:rsidRPr="0013327C">
        <w:rPr>
          <w:rFonts w:asciiTheme="majorHAnsi" w:hAnsiTheme="majorHAnsi"/>
        </w:rPr>
        <w:t xml:space="preserve">S2R+ cells stably transfected with </w:t>
      </w:r>
      <w:r w:rsidR="00877786">
        <w:rPr>
          <w:rFonts w:asciiTheme="majorHAnsi" w:hAnsiTheme="majorHAnsi"/>
        </w:rPr>
        <w:t>pMt</w:t>
      </w:r>
      <w:r w:rsidR="00597427" w:rsidRPr="0013327C">
        <w:rPr>
          <w:rFonts w:asciiTheme="majorHAnsi" w:hAnsiTheme="majorHAnsi"/>
        </w:rPr>
        <w:t>-eGFP-PTS1 were grown for 5 days and then induced for 24hrs with 50µM CuSO</w:t>
      </w:r>
      <w:r w:rsidR="00597427" w:rsidRPr="0013327C">
        <w:rPr>
          <w:rFonts w:asciiTheme="majorHAnsi" w:hAnsiTheme="majorHAnsi"/>
          <w:vertAlign w:val="subscript"/>
        </w:rPr>
        <w:t>4</w:t>
      </w:r>
      <w:r w:rsidR="00597427" w:rsidRPr="0013327C">
        <w:rPr>
          <w:rFonts w:asciiTheme="majorHAnsi" w:hAnsiTheme="majorHAnsi"/>
        </w:rPr>
        <w:t xml:space="preserve"> before fixation and imaging. </w:t>
      </w:r>
      <w:r w:rsidR="001D5A20">
        <w:rPr>
          <w:rFonts w:asciiTheme="majorHAnsi" w:hAnsiTheme="majorHAnsi"/>
        </w:rPr>
        <w:t xml:space="preserve">WT cells (upper left) show the typical brightness of peroxisomes. </w:t>
      </w:r>
      <w:r w:rsidR="00597427" w:rsidRPr="0013327C">
        <w:rPr>
          <w:rFonts w:asciiTheme="majorHAnsi" w:hAnsiTheme="majorHAnsi"/>
        </w:rPr>
        <w:t xml:space="preserve">Gene KDs using long dsRNA against </w:t>
      </w:r>
      <w:r w:rsidR="001D5A20" w:rsidRPr="0013327C">
        <w:rPr>
          <w:rFonts w:asciiTheme="majorHAnsi" w:hAnsiTheme="majorHAnsi"/>
        </w:rPr>
        <w:t>Moleskin (</w:t>
      </w:r>
      <w:r w:rsidR="001D5A20">
        <w:rPr>
          <w:rFonts w:asciiTheme="majorHAnsi" w:hAnsiTheme="majorHAnsi"/>
        </w:rPr>
        <w:t xml:space="preserve">upper </w:t>
      </w:r>
      <w:r w:rsidR="001D5A20" w:rsidRPr="0013327C">
        <w:rPr>
          <w:rFonts w:asciiTheme="majorHAnsi" w:hAnsiTheme="majorHAnsi"/>
        </w:rPr>
        <w:t>right)</w:t>
      </w:r>
      <w:r w:rsidR="00B8531B">
        <w:rPr>
          <w:rFonts w:asciiTheme="majorHAnsi" w:hAnsiTheme="majorHAnsi"/>
        </w:rPr>
        <w:t>,</w:t>
      </w:r>
      <w:r w:rsidR="001D5A20" w:rsidRPr="0013327C">
        <w:rPr>
          <w:rFonts w:asciiTheme="majorHAnsi" w:hAnsiTheme="majorHAnsi"/>
        </w:rPr>
        <w:t xml:space="preserve"> </w:t>
      </w:r>
      <w:r w:rsidR="00597427" w:rsidRPr="0013327C">
        <w:rPr>
          <w:rFonts w:asciiTheme="majorHAnsi" w:hAnsiTheme="majorHAnsi"/>
        </w:rPr>
        <w:t>GFP (</w:t>
      </w:r>
      <w:r w:rsidR="00B8531B">
        <w:rPr>
          <w:rFonts w:asciiTheme="majorHAnsi" w:hAnsiTheme="majorHAnsi"/>
        </w:rPr>
        <w:t xml:space="preserve">lower </w:t>
      </w:r>
      <w:r w:rsidR="005763D5">
        <w:rPr>
          <w:rFonts w:asciiTheme="majorHAnsi" w:hAnsiTheme="majorHAnsi"/>
        </w:rPr>
        <w:t>left) and</w:t>
      </w:r>
      <w:r w:rsidR="00597427" w:rsidRPr="0013327C">
        <w:rPr>
          <w:rFonts w:asciiTheme="majorHAnsi" w:hAnsiTheme="majorHAnsi"/>
        </w:rPr>
        <w:t xml:space="preserve"> MTF-1 (</w:t>
      </w:r>
      <w:r w:rsidR="00B96F57">
        <w:rPr>
          <w:rFonts w:asciiTheme="majorHAnsi" w:hAnsiTheme="majorHAnsi"/>
        </w:rPr>
        <w:t>lower right</w:t>
      </w:r>
      <w:r w:rsidR="00597427" w:rsidRPr="0013327C">
        <w:rPr>
          <w:rFonts w:asciiTheme="majorHAnsi" w:hAnsiTheme="majorHAnsi"/>
        </w:rPr>
        <w:t>) are shown. Cells appear to have a very dim presentation of eGFP-PTS1 puncta with no noticeable cytosolic fluorescence. Bar = 20 µM.</w:t>
      </w:r>
    </w:p>
    <w:p w:rsidR="00597427" w:rsidRPr="0013327C" w:rsidRDefault="00597427" w:rsidP="00AE0264">
      <w:pPr>
        <w:pStyle w:val="Heading2"/>
        <w:jc w:val="both"/>
      </w:pPr>
      <w:bookmarkStart w:id="133" w:name="_Toc348423385"/>
      <w:r w:rsidRPr="0013327C">
        <w:lastRenderedPageBreak/>
        <w:t>Two gene KDs produced loss of puncta phenotypes ubiquitously.</w:t>
      </w:r>
      <w:bookmarkEnd w:id="133"/>
    </w:p>
    <w:p w:rsidR="00597427" w:rsidRPr="0013327C" w:rsidRDefault="00597427" w:rsidP="00AE0264">
      <w:pPr>
        <w:jc w:val="both"/>
        <w:rPr>
          <w:rFonts w:asciiTheme="majorHAnsi" w:hAnsiTheme="majorHAnsi"/>
        </w:rPr>
      </w:pPr>
      <w:r w:rsidRPr="0013327C">
        <w:rPr>
          <w:rFonts w:asciiTheme="majorHAnsi" w:hAnsiTheme="majorHAnsi"/>
        </w:rPr>
        <w:t xml:space="preserve">Only two sample probes produced an apparent loss of puncta in knocked-down cells in the secondary screen. </w:t>
      </w:r>
      <w:r w:rsidR="000C26B2" w:rsidRPr="000C26B2">
        <w:rPr>
          <w:rFonts w:asciiTheme="majorHAnsi" w:hAnsiTheme="majorHAnsi"/>
          <w:i/>
        </w:rPr>
        <w:t>PEX</w:t>
      </w:r>
      <w:r w:rsidRPr="0013327C">
        <w:rPr>
          <w:rFonts w:asciiTheme="majorHAnsi" w:hAnsiTheme="majorHAnsi"/>
        </w:rPr>
        <w:t xml:space="preserve">16 has shown this phenotype consistently in the previous two screens, both as a control and as a sample. The other is nmd which also has shown a near ubiquitous absence of peroxisomes or very low z-score representing low peroxisome per cell count. In the secondary screen </w:t>
      </w:r>
      <w:r w:rsidR="000C26B2" w:rsidRPr="000C26B2">
        <w:rPr>
          <w:rFonts w:asciiTheme="majorHAnsi" w:hAnsiTheme="majorHAnsi"/>
          <w:i/>
        </w:rPr>
        <w:t>PEX</w:t>
      </w:r>
      <w:r w:rsidRPr="0013327C">
        <w:rPr>
          <w:rFonts w:asciiTheme="majorHAnsi" w:hAnsiTheme="majorHAnsi"/>
        </w:rPr>
        <w:t>16 produced an average of 6.1 peroxisomes per cell across the 3 wells. In the nmd sample an average of 6.1 was also achieved but only across 2 wells as upon visual screening one nmd sample did not cause a visual phenotype. Images for the two samples are shown in Figure 5.6.4.</w:t>
      </w:r>
    </w:p>
    <w:p w:rsidR="00597427" w:rsidRPr="0013327C" w:rsidRDefault="00C008DE" w:rsidP="00AE0264">
      <w:pPr>
        <w:jc w:val="both"/>
        <w:rPr>
          <w:rFonts w:asciiTheme="majorHAnsi" w:hAnsiTheme="majorHAnsi"/>
        </w:rPr>
      </w:pPr>
      <w:r w:rsidRPr="00C008DE">
        <w:rPr>
          <w:rFonts w:asciiTheme="majorHAnsi" w:hAnsiTheme="majorHAnsi"/>
          <w:noProof/>
          <w:lang w:eastAsia="en-GB"/>
        </w:rPr>
        <w:drawing>
          <wp:inline distT="0" distB="0" distL="0" distR="0">
            <wp:extent cx="5169535" cy="2032467"/>
            <wp:effectExtent l="19050" t="0" r="0" b="0"/>
            <wp:docPr id="224"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387762" cy="3691571"/>
                      <a:chOff x="-540568" y="1196752"/>
                      <a:chExt cx="9387762" cy="3691571"/>
                    </a:xfrm>
                  </a:grpSpPr>
                  <a:grpSp>
                    <a:nvGrpSpPr>
                      <a:cNvPr id="12" name="Group 11"/>
                      <a:cNvGrpSpPr>
                        <a:grpSpLocks noChangeAspect="1"/>
                      </a:cNvGrpSpPr>
                    </a:nvGrpSpPr>
                    <a:grpSpPr>
                      <a:xfrm>
                        <a:off x="-540568" y="1196752"/>
                        <a:ext cx="9387762" cy="3691571"/>
                        <a:chOff x="1869377" y="2704274"/>
                        <a:chExt cx="5405246" cy="2125517"/>
                      </a:xfrm>
                    </a:grpSpPr>
                    <a:pic>
                      <a:nvPicPr>
                        <a:cNvPr id="5" name="Picture 4"/>
                        <a:cNvPicPr>
                          <a:picLocks noChangeAspect="1" noChangeArrowheads="1"/>
                        </a:cNvPicPr>
                      </a:nvPicPr>
                      <a:blipFill>
                        <a:blip r:embed="rId123" cstate="print"/>
                        <a:srcRect/>
                        <a:stretch>
                          <a:fillRect/>
                        </a:stretch>
                      </a:blipFill>
                      <a:spPr bwMode="auto">
                        <a:xfrm rot="5400000">
                          <a:off x="5040052" y="2341911"/>
                          <a:ext cx="1872208" cy="2596934"/>
                        </a:xfrm>
                        <a:prstGeom prst="rect">
                          <a:avLst/>
                        </a:prstGeom>
                        <a:noFill/>
                        <a:ln w="9525">
                          <a:noFill/>
                          <a:miter lim="800000"/>
                          <a:headEnd/>
                          <a:tailEnd/>
                        </a:ln>
                        <a:effectLst/>
                      </a:spPr>
                    </a:pic>
                    <a:cxnSp>
                      <a:nvCxnSpPr>
                        <a:cNvPr id="6" name="Straight Connector 5"/>
                        <a:cNvCxnSpPr/>
                      </a:nvCxnSpPr>
                      <a:spPr>
                        <a:xfrm>
                          <a:off x="5037729" y="4432466"/>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sp>
                      <a:nvSpPr>
                        <a:cNvPr id="8" name="TextBox 8"/>
                        <a:cNvSpPr txBox="1"/>
                      </a:nvSpPr>
                      <a:spPr>
                        <a:xfrm>
                          <a:off x="4677689" y="4528534"/>
                          <a:ext cx="2592288" cy="30125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2800" dirty="0" smtClean="0"/>
                              <a:t>PEX16</a:t>
                            </a:r>
                            <a:endParaRPr lang="en-GB" sz="2800" dirty="0"/>
                          </a:p>
                        </a:txBody>
                        <a:useSpRect/>
                      </a:txSp>
                    </a:sp>
                    <a:pic>
                      <a:nvPicPr>
                        <a:cNvPr id="9" name="Picture 8"/>
                        <a:cNvPicPr>
                          <a:picLocks noChangeAspect="1" noChangeArrowheads="1"/>
                        </a:cNvPicPr>
                      </a:nvPicPr>
                      <a:blipFill>
                        <a:blip r:embed="rId124" cstate="print"/>
                        <a:srcRect/>
                        <a:stretch>
                          <a:fillRect/>
                        </a:stretch>
                      </a:blipFill>
                      <a:spPr bwMode="auto">
                        <a:xfrm>
                          <a:off x="1869377" y="2704274"/>
                          <a:ext cx="2592288" cy="1868859"/>
                        </a:xfrm>
                        <a:prstGeom prst="rect">
                          <a:avLst/>
                        </a:prstGeom>
                        <a:noFill/>
                        <a:ln w="9525">
                          <a:noFill/>
                          <a:miter lim="800000"/>
                          <a:headEnd/>
                          <a:tailEnd/>
                        </a:ln>
                        <a:effectLst/>
                      </a:spPr>
                    </a:pic>
                    <a:sp>
                      <a:nvSpPr>
                        <a:cNvPr id="10" name="TextBox 10"/>
                        <a:cNvSpPr txBox="1"/>
                      </a:nvSpPr>
                      <a:spPr>
                        <a:xfrm>
                          <a:off x="1869377" y="4517500"/>
                          <a:ext cx="2592288" cy="30125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2800" dirty="0" err="1" smtClean="0"/>
                              <a:t>nmd</a:t>
                            </a:r>
                            <a:endParaRPr lang="en-GB" sz="2800" dirty="0"/>
                          </a:p>
                        </a:txBody>
                        <a:useSpRect/>
                      </a:txSp>
                    </a:sp>
                    <a:cxnSp>
                      <a:nvCxnSpPr>
                        <a:cNvPr id="11" name="Straight Connector 10"/>
                        <a:cNvCxnSpPr/>
                      </a:nvCxnSpPr>
                      <a:spPr>
                        <a:xfrm>
                          <a:off x="2144777" y="4432467"/>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597427" w:rsidRPr="0013327C" w:rsidRDefault="00FB4E49" w:rsidP="00AE0264">
      <w:pPr>
        <w:jc w:val="both"/>
        <w:rPr>
          <w:rFonts w:asciiTheme="majorHAnsi" w:hAnsiTheme="majorHAnsi"/>
        </w:rPr>
      </w:pPr>
      <w:proofErr w:type="gramStart"/>
      <w:r w:rsidRPr="00FB4E49">
        <w:rPr>
          <w:rFonts w:asciiTheme="majorHAnsi" w:hAnsiTheme="majorHAnsi"/>
          <w:b/>
        </w:rPr>
        <w:t>Figure 5.</w:t>
      </w:r>
      <w:r w:rsidR="00595E9F">
        <w:rPr>
          <w:rFonts w:asciiTheme="majorHAnsi" w:hAnsiTheme="majorHAnsi"/>
          <w:b/>
        </w:rPr>
        <w:t>5</w:t>
      </w:r>
      <w:r w:rsidR="00597427" w:rsidRPr="00FB4E49">
        <w:rPr>
          <w:rFonts w:asciiTheme="majorHAnsi" w:hAnsiTheme="majorHAnsi"/>
          <w:b/>
        </w:rPr>
        <w:t>.</w:t>
      </w:r>
      <w:proofErr w:type="gramEnd"/>
      <w:r w:rsidR="00597427" w:rsidRPr="00FB4E49">
        <w:rPr>
          <w:rFonts w:asciiTheme="majorHAnsi" w:hAnsiTheme="majorHAnsi"/>
          <w:b/>
        </w:rPr>
        <w:t xml:space="preserve"> </w:t>
      </w:r>
      <w:proofErr w:type="gramStart"/>
      <w:r w:rsidRPr="00FB4E49">
        <w:rPr>
          <w:rFonts w:asciiTheme="majorHAnsi" w:hAnsiTheme="majorHAnsi"/>
          <w:b/>
        </w:rPr>
        <w:t>Images of loss of puncta KD phenotypes.</w:t>
      </w:r>
      <w:proofErr w:type="gramEnd"/>
      <w:r>
        <w:rPr>
          <w:rFonts w:asciiTheme="majorHAnsi" w:hAnsiTheme="majorHAnsi"/>
        </w:rPr>
        <w:t xml:space="preserve"> </w:t>
      </w:r>
      <w:r w:rsidR="00597427" w:rsidRPr="0013327C">
        <w:rPr>
          <w:rFonts w:asciiTheme="majorHAnsi" w:hAnsiTheme="majorHAnsi"/>
        </w:rPr>
        <w:t xml:space="preserve">S2R+ cells stably transfected with </w:t>
      </w:r>
      <w:r w:rsidR="00877786" w:rsidRPr="0013327C">
        <w:rPr>
          <w:rFonts w:asciiTheme="majorHAnsi" w:hAnsiTheme="majorHAnsi"/>
        </w:rPr>
        <w:t>pMt</w:t>
      </w:r>
      <w:r w:rsidR="00597427" w:rsidRPr="0013327C">
        <w:rPr>
          <w:rFonts w:asciiTheme="majorHAnsi" w:hAnsiTheme="majorHAnsi"/>
        </w:rPr>
        <w:t>-eGFP-PTS1 were grown for 5 days and then induced for 24hrs with 50µM CuSO</w:t>
      </w:r>
      <w:r w:rsidR="00597427" w:rsidRPr="0013327C">
        <w:rPr>
          <w:rFonts w:asciiTheme="majorHAnsi" w:hAnsiTheme="majorHAnsi"/>
          <w:vertAlign w:val="subscript"/>
        </w:rPr>
        <w:t>4</w:t>
      </w:r>
      <w:r w:rsidR="00597427" w:rsidRPr="0013327C">
        <w:rPr>
          <w:rFonts w:asciiTheme="majorHAnsi" w:hAnsiTheme="majorHAnsi"/>
        </w:rPr>
        <w:t xml:space="preserve"> before fixation and imaging. Gene KDs using long dsRNA against nmd (left) and </w:t>
      </w:r>
      <w:r w:rsidR="000C26B2" w:rsidRPr="000C26B2">
        <w:rPr>
          <w:rFonts w:asciiTheme="majorHAnsi" w:hAnsiTheme="majorHAnsi"/>
          <w:i/>
        </w:rPr>
        <w:t>PEX</w:t>
      </w:r>
      <w:r w:rsidR="00597427" w:rsidRPr="0013327C">
        <w:rPr>
          <w:rFonts w:asciiTheme="majorHAnsi" w:hAnsiTheme="majorHAnsi"/>
        </w:rPr>
        <w:t>16 (right) are shown. Near-ubiquitous mislocalisation of eGFP-PTS1 to the cytosol was achieved with only a small number of cells with green fluorescent puncta. Bar = 20µM</w:t>
      </w:r>
    </w:p>
    <w:p w:rsidR="00597427" w:rsidRPr="0013327C" w:rsidRDefault="00597427" w:rsidP="00AE0264">
      <w:pPr>
        <w:pStyle w:val="Heading2"/>
        <w:jc w:val="both"/>
      </w:pPr>
      <w:bookmarkStart w:id="134" w:name="_Toc348423386"/>
      <w:r w:rsidRPr="0013327C">
        <w:t>Three gene KDs showed dim peroxisomes contrasted with dim cytosolic eGFP-PTS1</w:t>
      </w:r>
      <w:bookmarkEnd w:id="134"/>
    </w:p>
    <w:p w:rsidR="00597427" w:rsidRPr="0013327C" w:rsidRDefault="00597427" w:rsidP="00AE0264">
      <w:pPr>
        <w:jc w:val="both"/>
        <w:rPr>
          <w:rFonts w:asciiTheme="majorHAnsi" w:hAnsiTheme="majorHAnsi"/>
        </w:rPr>
      </w:pPr>
      <w:r w:rsidRPr="0013327C">
        <w:rPr>
          <w:rFonts w:asciiTheme="majorHAnsi" w:hAnsiTheme="majorHAnsi"/>
        </w:rPr>
        <w:t xml:space="preserve">Three of the probes targeting Class I peroxins produced a phenotype with cytosolically mislocalised eGFP-PTS1. The cytosolic fluorescence was not as intense as that observed in the </w:t>
      </w:r>
      <w:r w:rsidR="000C26B2" w:rsidRPr="000C26B2">
        <w:rPr>
          <w:rFonts w:asciiTheme="majorHAnsi" w:hAnsiTheme="majorHAnsi"/>
          <w:i/>
        </w:rPr>
        <w:t>PEX</w:t>
      </w:r>
      <w:r w:rsidRPr="0013327C">
        <w:rPr>
          <w:rFonts w:asciiTheme="majorHAnsi" w:hAnsiTheme="majorHAnsi"/>
        </w:rPr>
        <w:t xml:space="preserve">16 or nmd KDs. This would imply one of two situations, that the targeting and import into the peroxisomes was not completely inhibited under these assay conditions. Alternatively that the background expression of eGFP-PTS1 under a less poorly regulated </w:t>
      </w:r>
      <w:r w:rsidR="00877786" w:rsidRPr="0013327C">
        <w:rPr>
          <w:rFonts w:asciiTheme="majorHAnsi" w:hAnsiTheme="majorHAnsi"/>
        </w:rPr>
        <w:t>pMt</w:t>
      </w:r>
      <w:r w:rsidRPr="0013327C">
        <w:rPr>
          <w:rFonts w:asciiTheme="majorHAnsi" w:hAnsiTheme="majorHAnsi"/>
        </w:rPr>
        <w:t xml:space="preserve"> promoter in the pMK33 plasmid meant that what would have been functional “ghost” peroxisomes actually contained some peroxisomal </w:t>
      </w:r>
      <w:r w:rsidRPr="0013327C">
        <w:rPr>
          <w:rFonts w:asciiTheme="majorHAnsi" w:hAnsiTheme="majorHAnsi"/>
        </w:rPr>
        <w:lastRenderedPageBreak/>
        <w:t xml:space="preserve">fluorescent marker. Despite this the </w:t>
      </w:r>
      <w:r w:rsidR="000C26B2" w:rsidRPr="000C26B2">
        <w:rPr>
          <w:rFonts w:asciiTheme="majorHAnsi" w:hAnsiTheme="majorHAnsi"/>
          <w:i/>
        </w:rPr>
        <w:t>PEX</w:t>
      </w:r>
      <w:r w:rsidRPr="0013327C">
        <w:rPr>
          <w:rFonts w:asciiTheme="majorHAnsi" w:hAnsiTheme="majorHAnsi"/>
        </w:rPr>
        <w:t xml:space="preserve">13 and </w:t>
      </w:r>
      <w:r w:rsidR="000C26B2" w:rsidRPr="000C26B2">
        <w:rPr>
          <w:rFonts w:asciiTheme="majorHAnsi" w:hAnsiTheme="majorHAnsi"/>
          <w:i/>
        </w:rPr>
        <w:t>PEX</w:t>
      </w:r>
      <w:r w:rsidRPr="0013327C">
        <w:rPr>
          <w:rFonts w:asciiTheme="majorHAnsi" w:hAnsiTheme="majorHAnsi"/>
        </w:rPr>
        <w:t xml:space="preserve">5 KDs produced phenotypes in all three wells and the </w:t>
      </w:r>
      <w:r w:rsidR="000C26B2" w:rsidRPr="000C26B2">
        <w:rPr>
          <w:rFonts w:asciiTheme="majorHAnsi" w:hAnsiTheme="majorHAnsi"/>
          <w:i/>
        </w:rPr>
        <w:t>PEX</w:t>
      </w:r>
      <w:r w:rsidRPr="0013327C">
        <w:rPr>
          <w:rFonts w:asciiTheme="majorHAnsi" w:hAnsiTheme="majorHAnsi"/>
        </w:rPr>
        <w:t xml:space="preserve">1 KD was observed in two. The peroxisome counts per cell were not so well reduced for </w:t>
      </w:r>
      <w:r w:rsidR="000C26B2" w:rsidRPr="000C26B2">
        <w:rPr>
          <w:rFonts w:asciiTheme="majorHAnsi" w:hAnsiTheme="majorHAnsi"/>
          <w:i/>
        </w:rPr>
        <w:t>PEX</w:t>
      </w:r>
      <w:r w:rsidRPr="0013327C">
        <w:rPr>
          <w:rFonts w:asciiTheme="majorHAnsi" w:hAnsiTheme="majorHAnsi"/>
        </w:rPr>
        <w:t xml:space="preserve">13 and </w:t>
      </w:r>
      <w:r w:rsidR="000C26B2" w:rsidRPr="000C26B2">
        <w:rPr>
          <w:rFonts w:asciiTheme="majorHAnsi" w:hAnsiTheme="majorHAnsi"/>
          <w:i/>
        </w:rPr>
        <w:t>PEX</w:t>
      </w:r>
      <w:r w:rsidRPr="0013327C">
        <w:rPr>
          <w:rFonts w:asciiTheme="majorHAnsi" w:hAnsiTheme="majorHAnsi"/>
        </w:rPr>
        <w:t xml:space="preserve">5 as they had been in the previous screen. The </w:t>
      </w:r>
      <w:r w:rsidR="000C26B2" w:rsidRPr="000C26B2">
        <w:rPr>
          <w:rFonts w:asciiTheme="majorHAnsi" w:hAnsiTheme="majorHAnsi"/>
          <w:i/>
        </w:rPr>
        <w:t>PEX</w:t>
      </w:r>
      <w:r w:rsidRPr="0013327C">
        <w:rPr>
          <w:rFonts w:asciiTheme="majorHAnsi" w:hAnsiTheme="majorHAnsi"/>
        </w:rPr>
        <w:t xml:space="preserve">5 sample probe was not as effective as the </w:t>
      </w:r>
      <w:r w:rsidR="000C26B2" w:rsidRPr="000C26B2">
        <w:rPr>
          <w:rFonts w:asciiTheme="majorHAnsi" w:hAnsiTheme="majorHAnsi"/>
          <w:i/>
        </w:rPr>
        <w:t>PEX</w:t>
      </w:r>
      <w:r w:rsidRPr="0013327C">
        <w:rPr>
          <w:rFonts w:asciiTheme="majorHAnsi" w:hAnsiTheme="majorHAnsi"/>
        </w:rPr>
        <w:t xml:space="preserve"> 5 control probe either. The </w:t>
      </w:r>
      <w:r w:rsidR="000C26B2" w:rsidRPr="000C26B2">
        <w:rPr>
          <w:rFonts w:asciiTheme="majorHAnsi" w:hAnsiTheme="majorHAnsi"/>
          <w:i/>
        </w:rPr>
        <w:t>PEX</w:t>
      </w:r>
      <w:r w:rsidRPr="0013327C">
        <w:rPr>
          <w:rFonts w:asciiTheme="majorHAnsi" w:hAnsiTheme="majorHAnsi"/>
        </w:rPr>
        <w:t xml:space="preserve">1 sample probe was comparable both in peroxisome count per cell and in phenotype appearance to those of the two </w:t>
      </w:r>
      <w:r w:rsidR="000C26B2" w:rsidRPr="000C26B2">
        <w:rPr>
          <w:rFonts w:asciiTheme="majorHAnsi" w:hAnsiTheme="majorHAnsi"/>
          <w:i/>
        </w:rPr>
        <w:t>PEX</w:t>
      </w:r>
      <w:r w:rsidRPr="0013327C">
        <w:rPr>
          <w:rFonts w:asciiTheme="majorHAnsi" w:hAnsiTheme="majorHAnsi"/>
        </w:rPr>
        <w:t>1 control probes. Figure 5.10.1 shows their images.</w:t>
      </w:r>
    </w:p>
    <w:p w:rsidR="00597427" w:rsidRPr="0013327C" w:rsidRDefault="00C008DE" w:rsidP="00DF6C17">
      <w:pPr>
        <w:jc w:val="center"/>
        <w:rPr>
          <w:rFonts w:asciiTheme="majorHAnsi" w:hAnsiTheme="majorHAnsi"/>
        </w:rPr>
      </w:pPr>
      <w:r w:rsidRPr="00C008DE">
        <w:rPr>
          <w:rFonts w:asciiTheme="majorHAnsi" w:hAnsiTheme="majorHAnsi"/>
          <w:noProof/>
          <w:lang w:eastAsia="en-GB"/>
        </w:rPr>
        <w:drawing>
          <wp:inline distT="0" distB="0" distL="0" distR="0">
            <wp:extent cx="5148693" cy="4320133"/>
            <wp:effectExtent l="19050" t="0" r="0" b="0"/>
            <wp:docPr id="227" name="Picture 6"/>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25" cstate="print"/>
                    <a:srcRect t="11759"/>
                    <a:stretch>
                      <a:fillRect/>
                    </a:stretch>
                  </pic:blipFill>
                  <pic:spPr bwMode="auto">
                    <a:xfrm>
                      <a:off x="0" y="0"/>
                      <a:ext cx="5148693" cy="4320133"/>
                    </a:xfrm>
                    <a:prstGeom prst="rect">
                      <a:avLst/>
                    </a:prstGeom>
                    <a:noFill/>
                  </pic:spPr>
                </pic:pic>
              </a:graphicData>
            </a:graphic>
          </wp:inline>
        </w:drawing>
      </w:r>
    </w:p>
    <w:p w:rsidR="00597427" w:rsidRPr="0013327C" w:rsidRDefault="00597427" w:rsidP="00AE0264">
      <w:pPr>
        <w:jc w:val="both"/>
        <w:rPr>
          <w:rFonts w:asciiTheme="majorHAnsi" w:hAnsiTheme="majorHAnsi"/>
          <w:b/>
        </w:rPr>
      </w:pPr>
      <w:proofErr w:type="gramStart"/>
      <w:r w:rsidRPr="0013327C">
        <w:rPr>
          <w:rFonts w:asciiTheme="majorHAnsi" w:hAnsiTheme="majorHAnsi"/>
          <w:b/>
        </w:rPr>
        <w:t>Figure 5.</w:t>
      </w:r>
      <w:r w:rsidR="00595E9F">
        <w:rPr>
          <w:rFonts w:asciiTheme="majorHAnsi" w:hAnsiTheme="majorHAnsi"/>
          <w:b/>
        </w:rPr>
        <w:t>6</w:t>
      </w:r>
      <w:r w:rsidRPr="0013327C">
        <w:rPr>
          <w:rFonts w:asciiTheme="majorHAnsi" w:hAnsiTheme="majorHAnsi"/>
          <w:b/>
        </w:rPr>
        <w:t>.</w:t>
      </w:r>
      <w:proofErr w:type="gramEnd"/>
      <w:r w:rsidRPr="0013327C">
        <w:rPr>
          <w:rFonts w:asciiTheme="majorHAnsi" w:hAnsiTheme="majorHAnsi"/>
          <w:b/>
        </w:rPr>
        <w:t xml:space="preserve"> </w:t>
      </w:r>
      <w:proofErr w:type="gramStart"/>
      <w:r w:rsidR="00DF6C17">
        <w:rPr>
          <w:rFonts w:asciiTheme="majorHAnsi" w:hAnsiTheme="majorHAnsi"/>
          <w:b/>
        </w:rPr>
        <w:t>Images of Class I peroxin KD phenotypes.</w:t>
      </w:r>
      <w:proofErr w:type="gramEnd"/>
      <w:r w:rsidR="00DF6C17">
        <w:rPr>
          <w:rFonts w:asciiTheme="majorHAnsi" w:hAnsiTheme="majorHAnsi"/>
          <w:b/>
        </w:rPr>
        <w:t xml:space="preserve"> </w:t>
      </w:r>
      <w:r w:rsidRPr="0013327C">
        <w:rPr>
          <w:rFonts w:asciiTheme="majorHAnsi" w:hAnsiTheme="majorHAnsi"/>
        </w:rPr>
        <w:t xml:space="preserve">S2R+ cells stably transfected with </w:t>
      </w:r>
      <w:r w:rsidR="00877786" w:rsidRPr="0013327C">
        <w:rPr>
          <w:rFonts w:asciiTheme="majorHAnsi" w:hAnsiTheme="majorHAnsi"/>
        </w:rPr>
        <w:t>pMt</w:t>
      </w:r>
      <w:r w:rsidRPr="0013327C">
        <w:rPr>
          <w:rFonts w:asciiTheme="majorHAnsi" w:hAnsiTheme="majorHAnsi"/>
        </w:rPr>
        <w:t>-eGFP-PTS1 were grown for 5 days and then induced for 24hrs with 50µM CuSO</w:t>
      </w:r>
      <w:r w:rsidRPr="0013327C">
        <w:rPr>
          <w:rFonts w:asciiTheme="majorHAnsi" w:hAnsiTheme="majorHAnsi"/>
          <w:vertAlign w:val="subscript"/>
        </w:rPr>
        <w:t>4</w:t>
      </w:r>
      <w:r w:rsidRPr="0013327C">
        <w:rPr>
          <w:rFonts w:asciiTheme="majorHAnsi" w:hAnsiTheme="majorHAnsi"/>
        </w:rPr>
        <w:t xml:space="preserve"> before fixation and imaging. Gene KDs using long dsRNA against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 xml:space="preserve">1 and </w:t>
      </w:r>
      <w:r w:rsidR="000C26B2" w:rsidRPr="000C26B2">
        <w:rPr>
          <w:rFonts w:asciiTheme="majorHAnsi" w:hAnsiTheme="majorHAnsi"/>
          <w:i/>
        </w:rPr>
        <w:t>PEX</w:t>
      </w:r>
      <w:r w:rsidRPr="0013327C">
        <w:rPr>
          <w:rFonts w:asciiTheme="majorHAnsi" w:hAnsiTheme="majorHAnsi"/>
        </w:rPr>
        <w:t>13 produced cells with cytosolic mislocalisation of eGFP-PTS1 and a reduction in peroxisome number per cell with some dim peroxisomes still contrasting with the cytosol. Bar = 20 µm.</w:t>
      </w:r>
    </w:p>
    <w:p w:rsidR="00597427" w:rsidRPr="0013327C" w:rsidRDefault="00597427" w:rsidP="00AE0264">
      <w:pPr>
        <w:pStyle w:val="Heading2"/>
        <w:jc w:val="both"/>
      </w:pPr>
      <w:bookmarkStart w:id="135" w:name="_Toc348423387"/>
      <w:r w:rsidRPr="0013327C">
        <w:t>Six gene KDs showed juxta-nuclear position of peroxisomes</w:t>
      </w:r>
      <w:bookmarkEnd w:id="135"/>
    </w:p>
    <w:p w:rsidR="00597427" w:rsidRPr="0013327C" w:rsidRDefault="00597427" w:rsidP="00AE0264">
      <w:pPr>
        <w:jc w:val="both"/>
        <w:rPr>
          <w:rFonts w:asciiTheme="majorHAnsi" w:hAnsiTheme="majorHAnsi"/>
        </w:rPr>
      </w:pPr>
      <w:r w:rsidRPr="0013327C">
        <w:rPr>
          <w:rFonts w:asciiTheme="majorHAnsi" w:hAnsiTheme="majorHAnsi"/>
        </w:rPr>
        <w:t xml:space="preserve">Six gene KDs showed peroxisomes converging to a point immediately adjacent to the nucleus of the cell. Atlastin and sqh probes caused an almost ubiquitous KD. Atlastin </w:t>
      </w:r>
      <w:r w:rsidRPr="0013327C">
        <w:rPr>
          <w:rFonts w:asciiTheme="majorHAnsi" w:hAnsiTheme="majorHAnsi"/>
        </w:rPr>
        <w:lastRenderedPageBreak/>
        <w:t>KD cells had the phenotype of many small peroxisomes in one group to one side of the nucleus. The sqh phenotype was one of a larger fluorescent body, between two mitotic nuclei; smaller peroxisomes were also present close to the nucleus. The par-1, Casein Kinase 1α and CG12325 phenotypes were not so ubiquitously affected in the sample cells. They instead presented in several smaller colonies among the images making identification difficult. They do present with very similar phenotypes to the ones from their images in Screen 2. This is a reassuring confirmation of the probes ability to reproduce a phenotype, even though it is not ubiquitously affected among the cells in the sample well. Atlastin reduced peroxisome count to 11.7 per cell and sqh to 8.2 and 7.1 with a near ubiquitously presented phenotype in all three of each probe’s respective wells. Casein Kinase 1α, par-1 and CG12325 only returned phenotypes in 2 of their probe’s three wells and on average returned 17.0, 16.1 and 17.1 peroxisomes per cell respectively, less than one standard deviation below the mean.</w:t>
      </w:r>
    </w:p>
    <w:p w:rsidR="00597427" w:rsidRDefault="007A5A21" w:rsidP="00DF6C17">
      <w:pPr>
        <w:jc w:val="center"/>
        <w:rPr>
          <w:rFonts w:asciiTheme="majorHAnsi" w:hAnsiTheme="majorHAnsi"/>
        </w:rPr>
      </w:pPr>
      <w:r>
        <w:rPr>
          <w:rFonts w:asciiTheme="majorHAnsi" w:hAnsiTheme="majorHAnsi"/>
          <w:noProof/>
          <w:lang w:eastAsia="en-GB"/>
        </w:rPr>
        <w:lastRenderedPageBreak/>
        <w:drawing>
          <wp:inline distT="0" distB="0" distL="0" distR="0">
            <wp:extent cx="5493163" cy="8109095"/>
            <wp:effectExtent l="19050" t="0" r="0" b="0"/>
            <wp:docPr id="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cstate="print"/>
                    <a:srcRect/>
                    <a:stretch>
                      <a:fillRect/>
                    </a:stretch>
                  </pic:blipFill>
                  <pic:spPr bwMode="auto">
                    <a:xfrm>
                      <a:off x="0" y="0"/>
                      <a:ext cx="5494370" cy="8110876"/>
                    </a:xfrm>
                    <a:prstGeom prst="rect">
                      <a:avLst/>
                    </a:prstGeom>
                    <a:noFill/>
                  </pic:spPr>
                </pic:pic>
              </a:graphicData>
            </a:graphic>
          </wp:inline>
        </w:drawing>
      </w:r>
    </w:p>
    <w:p w:rsidR="007947C4" w:rsidRPr="0013327C" w:rsidRDefault="007947C4" w:rsidP="00DF6C17">
      <w:pPr>
        <w:jc w:val="center"/>
        <w:rPr>
          <w:rFonts w:asciiTheme="majorHAnsi" w:hAnsiTheme="majorHAnsi"/>
        </w:rPr>
      </w:pPr>
    </w:p>
    <w:p w:rsidR="00597427" w:rsidRPr="0013327C" w:rsidRDefault="00597427" w:rsidP="007947C4">
      <w:pPr>
        <w:pStyle w:val="Heading2"/>
        <w:jc w:val="both"/>
      </w:pPr>
      <w:bookmarkStart w:id="136" w:name="_Toc348423388"/>
      <w:r w:rsidRPr="0013327C">
        <w:lastRenderedPageBreak/>
        <w:t>Three gene KDs produced phenotypes with a low peroxisome per cell number or with enlarged peroxisomes</w:t>
      </w:r>
      <w:bookmarkEnd w:id="136"/>
    </w:p>
    <w:p w:rsidR="00597427" w:rsidRPr="0013327C" w:rsidRDefault="00597427" w:rsidP="00AE0264">
      <w:pPr>
        <w:jc w:val="both"/>
        <w:rPr>
          <w:rFonts w:asciiTheme="majorHAnsi" w:hAnsiTheme="majorHAnsi"/>
        </w:rPr>
      </w:pPr>
      <w:r w:rsidRPr="0013327C">
        <w:rPr>
          <w:rFonts w:asciiTheme="majorHAnsi" w:hAnsiTheme="majorHAnsi"/>
        </w:rPr>
        <w:t xml:space="preserve">Three gene KDs achieved reduced peroxisome count per cell with bright, enlarged peroxisomes. This indicates that PTS1 protein targeting and uptake is likely not affected and that the cause may be a defect in peroxisomal biogenesis. Peroxisomes are in no specific arrangement about the nucleus like they are with Atlastin KD.  </w:t>
      </w:r>
      <w:r w:rsidR="000C26B2" w:rsidRPr="000C26B2">
        <w:rPr>
          <w:rFonts w:asciiTheme="majorHAnsi" w:hAnsiTheme="majorHAnsi"/>
          <w:i/>
        </w:rPr>
        <w:t>PEX</w:t>
      </w:r>
      <w:r w:rsidRPr="0013327C">
        <w:rPr>
          <w:rFonts w:asciiTheme="majorHAnsi" w:hAnsiTheme="majorHAnsi"/>
        </w:rPr>
        <w:t>3 is a Class II peroxin and its KD has proved to be a robust agent in producing statistically significant results as a control probe and as a sample in all the experiments to this point.  It caused visual deviations from WT in all three of the wells confirming it as</w:t>
      </w:r>
      <w:r w:rsidR="00D23702">
        <w:rPr>
          <w:rFonts w:asciiTheme="majorHAnsi" w:hAnsiTheme="majorHAnsi"/>
        </w:rPr>
        <w:t xml:space="preserve"> an</w:t>
      </w:r>
      <w:r w:rsidRPr="0013327C">
        <w:rPr>
          <w:rFonts w:asciiTheme="majorHAnsi" w:hAnsiTheme="majorHAnsi"/>
        </w:rPr>
        <w:t xml:space="preserve"> effective </w:t>
      </w:r>
      <w:r w:rsidR="00D23702">
        <w:rPr>
          <w:rFonts w:asciiTheme="majorHAnsi" w:hAnsiTheme="majorHAnsi"/>
        </w:rPr>
        <w:t xml:space="preserve">probe </w:t>
      </w:r>
      <w:r w:rsidRPr="0013327C">
        <w:rPr>
          <w:rFonts w:asciiTheme="majorHAnsi" w:hAnsiTheme="majorHAnsi"/>
        </w:rPr>
        <w:t>in this se</w:t>
      </w:r>
      <w:r w:rsidR="00877786">
        <w:rPr>
          <w:rFonts w:asciiTheme="majorHAnsi" w:hAnsiTheme="majorHAnsi"/>
        </w:rPr>
        <w:t>co</w:t>
      </w:r>
      <w:r w:rsidRPr="0013327C">
        <w:rPr>
          <w:rFonts w:asciiTheme="majorHAnsi" w:hAnsiTheme="majorHAnsi"/>
        </w:rPr>
        <w:t xml:space="preserve">ndary screen assay. Tango11 like </w:t>
      </w:r>
      <w:r w:rsidR="000C26B2" w:rsidRPr="000C26B2">
        <w:rPr>
          <w:rFonts w:asciiTheme="majorHAnsi" w:hAnsiTheme="majorHAnsi"/>
          <w:i/>
        </w:rPr>
        <w:t>PEX</w:t>
      </w:r>
      <w:r w:rsidRPr="0013327C">
        <w:rPr>
          <w:rFonts w:asciiTheme="majorHAnsi" w:hAnsiTheme="majorHAnsi"/>
        </w:rPr>
        <w:t>3 has produced statistically significant data through the screening process, though as a control probe it proved ineffective. In the secondary screen it only produced two aberrant phenotypes, although expressed ubiquitously in the images. Gemini is a gene whose KD was found to be effective in the previous screen. It produced a very similar phenotype to the current one and in both cases was not ubiquitously expressed. In Screen 2 it was accompanied by WT cells that did not express eGFP-PTS1 brightly and in the secondary screen by cells expressing peroxisomes with varying brightness, size and number. This may have been why it only reported two aberrant phenotypes from the three wells in which it was knocked down. Despite this the three KDs report similar peroxisome counts of 9.2 (</w:t>
      </w:r>
      <w:r w:rsidR="000C26B2" w:rsidRPr="000C26B2">
        <w:rPr>
          <w:rFonts w:asciiTheme="majorHAnsi" w:hAnsiTheme="majorHAnsi"/>
          <w:i/>
        </w:rPr>
        <w:t>PEX</w:t>
      </w:r>
      <w:r w:rsidRPr="0013327C">
        <w:rPr>
          <w:rFonts w:asciiTheme="majorHAnsi" w:hAnsiTheme="majorHAnsi"/>
        </w:rPr>
        <w:t>3), 10.8 (Tango11) and 12.3 (Gemini).</w:t>
      </w:r>
    </w:p>
    <w:p w:rsidR="00597427" w:rsidRPr="0013327C" w:rsidRDefault="00D23702" w:rsidP="00A26C0E">
      <w:pPr>
        <w:jc w:val="center"/>
        <w:rPr>
          <w:rFonts w:asciiTheme="majorHAnsi" w:hAnsiTheme="majorHAnsi"/>
        </w:rPr>
      </w:pPr>
      <w:r w:rsidRPr="00D23702">
        <w:rPr>
          <w:rFonts w:asciiTheme="majorHAnsi" w:hAnsiTheme="majorHAnsi"/>
          <w:noProof/>
          <w:lang w:eastAsia="en-GB"/>
        </w:rPr>
        <w:lastRenderedPageBreak/>
        <w:drawing>
          <wp:inline distT="0" distB="0" distL="0" distR="0">
            <wp:extent cx="5169535" cy="4240269"/>
            <wp:effectExtent l="19050" t="0" r="0" b="0"/>
            <wp:docPr id="242" name="Picture 11"/>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27" cstate="print"/>
                    <a:srcRect t="12413" b="847"/>
                    <a:stretch>
                      <a:fillRect/>
                    </a:stretch>
                  </pic:blipFill>
                  <pic:spPr bwMode="auto">
                    <a:xfrm>
                      <a:off x="0" y="0"/>
                      <a:ext cx="5169535" cy="4240269"/>
                    </a:xfrm>
                    <a:prstGeom prst="rect">
                      <a:avLst/>
                    </a:prstGeom>
                    <a:noFill/>
                  </pic:spPr>
                </pic:pic>
              </a:graphicData>
            </a:graphic>
          </wp:inline>
        </w:drawing>
      </w:r>
    </w:p>
    <w:p w:rsidR="00597427" w:rsidRPr="0013327C" w:rsidRDefault="007A5A21" w:rsidP="00AE0264">
      <w:pPr>
        <w:jc w:val="both"/>
        <w:rPr>
          <w:rFonts w:asciiTheme="majorHAnsi" w:hAnsiTheme="majorHAnsi"/>
        </w:rPr>
      </w:pPr>
      <w:proofErr w:type="gramStart"/>
      <w:r>
        <w:rPr>
          <w:rFonts w:asciiTheme="majorHAnsi" w:hAnsiTheme="majorHAnsi"/>
          <w:b/>
        </w:rPr>
        <w:t>Figure 5.8</w:t>
      </w:r>
      <w:r w:rsidR="00597427" w:rsidRPr="0013327C">
        <w:rPr>
          <w:rFonts w:asciiTheme="majorHAnsi" w:hAnsiTheme="majorHAnsi"/>
          <w:b/>
        </w:rPr>
        <w:t>.</w:t>
      </w:r>
      <w:proofErr w:type="gramEnd"/>
      <w:r w:rsidR="00A26C0E">
        <w:rPr>
          <w:rFonts w:asciiTheme="majorHAnsi" w:hAnsiTheme="majorHAnsi"/>
          <w:b/>
        </w:rPr>
        <w:t xml:space="preserve"> Images of gene KDs with low peroxisome count. </w:t>
      </w:r>
      <w:r w:rsidR="00597427" w:rsidRPr="0013327C">
        <w:rPr>
          <w:rFonts w:asciiTheme="majorHAnsi" w:hAnsiTheme="majorHAnsi"/>
          <w:b/>
        </w:rPr>
        <w:t xml:space="preserve"> </w:t>
      </w:r>
      <w:r w:rsidR="00597427" w:rsidRPr="0013327C">
        <w:rPr>
          <w:rFonts w:asciiTheme="majorHAnsi" w:hAnsiTheme="majorHAnsi"/>
        </w:rPr>
        <w:t xml:space="preserve">S2R+ cells stably transfected with </w:t>
      </w:r>
      <w:r w:rsidR="00877786" w:rsidRPr="0013327C">
        <w:rPr>
          <w:rFonts w:asciiTheme="majorHAnsi" w:hAnsiTheme="majorHAnsi"/>
        </w:rPr>
        <w:t>pMt</w:t>
      </w:r>
      <w:r w:rsidR="00597427" w:rsidRPr="0013327C">
        <w:rPr>
          <w:rFonts w:asciiTheme="majorHAnsi" w:hAnsiTheme="majorHAnsi"/>
        </w:rPr>
        <w:t>-eGFP-PTS1 were grown for 5 days and then induced for 24hrs with 50µM CuSO</w:t>
      </w:r>
      <w:r w:rsidR="00597427" w:rsidRPr="0013327C">
        <w:rPr>
          <w:rFonts w:asciiTheme="majorHAnsi" w:hAnsiTheme="majorHAnsi"/>
          <w:vertAlign w:val="subscript"/>
        </w:rPr>
        <w:t>4</w:t>
      </w:r>
      <w:r w:rsidR="00597427" w:rsidRPr="0013327C">
        <w:rPr>
          <w:rFonts w:asciiTheme="majorHAnsi" w:hAnsiTheme="majorHAnsi"/>
        </w:rPr>
        <w:t xml:space="preserve"> before fixation and imaging. Gene KDs using long dsRNA against </w:t>
      </w:r>
      <w:r w:rsidR="000C26B2" w:rsidRPr="000C26B2">
        <w:rPr>
          <w:rFonts w:asciiTheme="majorHAnsi" w:hAnsiTheme="majorHAnsi"/>
          <w:i/>
        </w:rPr>
        <w:t>PEX</w:t>
      </w:r>
      <w:r w:rsidR="00597427" w:rsidRPr="0013327C">
        <w:rPr>
          <w:rFonts w:asciiTheme="majorHAnsi" w:hAnsiTheme="majorHAnsi"/>
        </w:rPr>
        <w:t xml:space="preserve">3, Tango11 and Gemini. </w:t>
      </w:r>
      <w:r w:rsidR="000C26B2" w:rsidRPr="000C26B2">
        <w:rPr>
          <w:rFonts w:asciiTheme="majorHAnsi" w:hAnsiTheme="majorHAnsi"/>
          <w:i/>
        </w:rPr>
        <w:t>PEX</w:t>
      </w:r>
      <w:r w:rsidR="00597427" w:rsidRPr="0013327C">
        <w:rPr>
          <w:rFonts w:asciiTheme="majorHAnsi" w:hAnsiTheme="majorHAnsi"/>
        </w:rPr>
        <w:t>3 and Tango11 KDs ubiquitously show reduced peroxisome number,</w:t>
      </w:r>
      <w:r w:rsidR="00877786">
        <w:rPr>
          <w:rFonts w:asciiTheme="majorHAnsi" w:hAnsiTheme="majorHAnsi"/>
        </w:rPr>
        <w:t xml:space="preserve"> </w:t>
      </w:r>
      <w:r w:rsidR="00597427" w:rsidRPr="0013327C">
        <w:rPr>
          <w:rFonts w:asciiTheme="majorHAnsi" w:hAnsiTheme="majorHAnsi"/>
        </w:rPr>
        <w:t xml:space="preserve">increased peroxisome size, and frequently increased fluorescent intensity. The Gemini KD was not ubiquitously expressed and was only present in colonies within the images taken. The cells in these colonies also had decreased peroxisome number, increased peroxisome size and increased peroxisome intensity. </w:t>
      </w:r>
      <w:r w:rsidR="000C26B2" w:rsidRPr="000C26B2">
        <w:rPr>
          <w:rFonts w:asciiTheme="majorHAnsi" w:hAnsiTheme="majorHAnsi"/>
          <w:i/>
        </w:rPr>
        <w:t>PEX</w:t>
      </w:r>
      <w:r w:rsidR="00597427" w:rsidRPr="0013327C">
        <w:rPr>
          <w:rFonts w:asciiTheme="majorHAnsi" w:hAnsiTheme="majorHAnsi"/>
        </w:rPr>
        <w:t>3 KD phenotype was visually reported in 3 wells across the triplicate of plates, Tango11 and Gemini in only 2. Bar = 20 µm.</w:t>
      </w:r>
    </w:p>
    <w:p w:rsidR="00597427" w:rsidRPr="0013327C" w:rsidRDefault="00597427" w:rsidP="00AE0264">
      <w:pPr>
        <w:pStyle w:val="Heading2"/>
        <w:jc w:val="both"/>
      </w:pPr>
      <w:bookmarkStart w:id="137" w:name="_Toc348423389"/>
      <w:r w:rsidRPr="0013327C">
        <w:t>Eight gene KDs caused over-expression of the eGFP-PTS1 reporter and affected cellular morphology</w:t>
      </w:r>
      <w:bookmarkEnd w:id="137"/>
    </w:p>
    <w:p w:rsidR="00597427" w:rsidRPr="0013327C" w:rsidRDefault="00597427" w:rsidP="00AE0264">
      <w:pPr>
        <w:jc w:val="both"/>
        <w:rPr>
          <w:rFonts w:asciiTheme="majorHAnsi" w:hAnsiTheme="majorHAnsi"/>
        </w:rPr>
      </w:pPr>
      <w:r w:rsidRPr="0013327C">
        <w:rPr>
          <w:rFonts w:asciiTheme="majorHAnsi" w:hAnsiTheme="majorHAnsi"/>
        </w:rPr>
        <w:t xml:space="preserve">Eight gene KDs </w:t>
      </w:r>
      <w:proofErr w:type="gramStart"/>
      <w:r w:rsidRPr="0013327C">
        <w:rPr>
          <w:rFonts w:asciiTheme="majorHAnsi" w:hAnsiTheme="majorHAnsi"/>
        </w:rPr>
        <w:t>caused  significant</w:t>
      </w:r>
      <w:proofErr w:type="gramEnd"/>
      <w:r w:rsidRPr="0013327C">
        <w:rPr>
          <w:rFonts w:asciiTheme="majorHAnsi" w:hAnsiTheme="majorHAnsi"/>
        </w:rPr>
        <w:t xml:space="preserve"> cellular morphological aberrations which affected not just the appearance of the cell but caused massive increases in the levels of peroxisomal reporter. This had the effect of causing cytosolic levels of eGFP-PTS1 to rise and give the appearance of a </w:t>
      </w:r>
      <w:r w:rsidR="000C26B2" w:rsidRPr="000C26B2">
        <w:rPr>
          <w:rFonts w:asciiTheme="majorHAnsi" w:hAnsiTheme="majorHAnsi"/>
          <w:i/>
        </w:rPr>
        <w:t>PEX</w:t>
      </w:r>
      <w:r w:rsidRPr="0013327C">
        <w:rPr>
          <w:rFonts w:asciiTheme="majorHAnsi" w:hAnsiTheme="majorHAnsi"/>
        </w:rPr>
        <w:t xml:space="preserve">16 or nmd-like fluorescent cytosol. Yet there appeared to be no impairment of targeting and uptake of eGFP-PTS1 into the </w:t>
      </w:r>
      <w:r w:rsidRPr="0013327C">
        <w:rPr>
          <w:rFonts w:asciiTheme="majorHAnsi" w:hAnsiTheme="majorHAnsi"/>
        </w:rPr>
        <w:lastRenderedPageBreak/>
        <w:t>peroxisomes. Consequently peroxisomal eGFP-PTS1 was able to contrast brightly with the cytosol. The effect on peroxisome number per cell went above mean levels. This is highly likely to be due to massively contrasting levels of eGFP in parts of the cell other than the peroxisomes such a</w:t>
      </w:r>
      <w:r w:rsidR="00877786">
        <w:rPr>
          <w:rFonts w:asciiTheme="majorHAnsi" w:hAnsiTheme="majorHAnsi"/>
        </w:rPr>
        <w:t>s the plasma membrane (see Ints</w:t>
      </w:r>
      <w:r w:rsidRPr="0013327C">
        <w:rPr>
          <w:rFonts w:asciiTheme="majorHAnsi" w:hAnsiTheme="majorHAnsi"/>
        </w:rPr>
        <w:t>9 in Fig. 5.</w:t>
      </w:r>
      <w:r w:rsidR="007A018A">
        <w:rPr>
          <w:rFonts w:asciiTheme="majorHAnsi" w:hAnsiTheme="majorHAnsi"/>
        </w:rPr>
        <w:t>12</w:t>
      </w:r>
      <w:r w:rsidRPr="0013327C">
        <w:rPr>
          <w:rFonts w:asciiTheme="majorHAnsi" w:hAnsiTheme="majorHAnsi"/>
        </w:rPr>
        <w:t>), nuclear envelope (see Ints6 in Fig. 5.</w:t>
      </w:r>
      <w:r w:rsidR="007A018A">
        <w:rPr>
          <w:rFonts w:asciiTheme="majorHAnsi" w:hAnsiTheme="majorHAnsi"/>
        </w:rPr>
        <w:t>12</w:t>
      </w:r>
      <w:r w:rsidRPr="0013327C">
        <w:rPr>
          <w:rFonts w:asciiTheme="majorHAnsi" w:hAnsiTheme="majorHAnsi"/>
        </w:rPr>
        <w:t xml:space="preserve">), lysozomal structures (also Ints6) or simply fluctuations in the cytosolic fluorescence that are indistinguishable to the human eye. The latter is very common in cells with brighter than expected fluorescent cytosol. Nelf-A, Ints4, Ints6 and Ints9 were all visually confirmed three times and returned peroxisome per cell counts of 17.5, 22.0, 23.6 and 25.5. The other four, </w:t>
      </w:r>
      <w:proofErr w:type="gramStart"/>
      <w:r w:rsidRPr="0013327C">
        <w:rPr>
          <w:rFonts w:asciiTheme="majorHAnsi" w:hAnsiTheme="majorHAnsi"/>
        </w:rPr>
        <w:t>osa</w:t>
      </w:r>
      <w:proofErr w:type="gramEnd"/>
      <w:r w:rsidRPr="0013327C">
        <w:rPr>
          <w:rFonts w:asciiTheme="majorHAnsi" w:hAnsiTheme="majorHAnsi"/>
        </w:rPr>
        <w:t>, Hsp83, CG8492 and</w:t>
      </w:r>
      <w:r w:rsidR="00877786">
        <w:rPr>
          <w:rFonts w:asciiTheme="majorHAnsi" w:hAnsiTheme="majorHAnsi"/>
        </w:rPr>
        <w:t xml:space="preserve"> </w:t>
      </w:r>
      <w:r w:rsidRPr="0013327C">
        <w:rPr>
          <w:rFonts w:asciiTheme="majorHAnsi" w:hAnsiTheme="majorHAnsi"/>
        </w:rPr>
        <w:t>CG11970 each had a site that did not record a third site. While having a profound effect on the appearance of the cells, these KD phenotypes do not report any peroxisomal anomalies other than the appearance that they have increased in size/diameter. While possible, it is far more likely that the peroxisomes appear larger because they contain huge amounts of eGFP, the high intensity of which will cause the threshold of the peroxisome to appear wider. These KDs are unlikely to be considered for further investigation. Their images are presented in Figure 5.</w:t>
      </w:r>
      <w:r w:rsidR="007A018A">
        <w:rPr>
          <w:rFonts w:asciiTheme="majorHAnsi" w:hAnsiTheme="majorHAnsi"/>
        </w:rPr>
        <w:t>12</w:t>
      </w:r>
      <w:r w:rsidRPr="0013327C">
        <w:rPr>
          <w:rFonts w:asciiTheme="majorHAnsi" w:hAnsiTheme="majorHAnsi"/>
        </w:rPr>
        <w:t xml:space="preserve">. </w:t>
      </w:r>
    </w:p>
    <w:p w:rsidR="007A018A" w:rsidRDefault="007A018A" w:rsidP="00AE0264">
      <w:pPr>
        <w:jc w:val="both"/>
        <w:rPr>
          <w:rFonts w:asciiTheme="majorHAnsi" w:hAnsiTheme="majorHAnsi"/>
        </w:rPr>
      </w:pPr>
    </w:p>
    <w:p w:rsidR="007A018A" w:rsidRDefault="007A018A" w:rsidP="00AE0264">
      <w:pPr>
        <w:jc w:val="both"/>
        <w:rPr>
          <w:rFonts w:asciiTheme="majorHAnsi" w:hAnsiTheme="majorHAnsi"/>
        </w:rPr>
      </w:pPr>
    </w:p>
    <w:p w:rsidR="00597427" w:rsidRPr="0013327C" w:rsidRDefault="007A018A" w:rsidP="00AE0264">
      <w:pPr>
        <w:jc w:val="both"/>
        <w:rPr>
          <w:rFonts w:asciiTheme="majorHAnsi" w:hAnsiTheme="majorHAnsi"/>
        </w:rPr>
      </w:pPr>
      <w:r w:rsidRPr="007A018A">
        <w:rPr>
          <w:rFonts w:asciiTheme="majorHAnsi" w:hAnsiTheme="majorHAnsi"/>
          <w:noProof/>
          <w:lang w:eastAsia="en-GB"/>
        </w:rPr>
        <w:lastRenderedPageBreak/>
        <w:drawing>
          <wp:inline distT="0" distB="0" distL="0" distR="0">
            <wp:extent cx="5169535" cy="4079293"/>
            <wp:effectExtent l="19050" t="0" r="0" b="0"/>
            <wp:docPr id="245" name="Picture 12"/>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8" cstate="print"/>
                    <a:srcRect t="9165"/>
                    <a:stretch>
                      <a:fillRect/>
                    </a:stretch>
                  </pic:blipFill>
                  <pic:spPr bwMode="auto">
                    <a:xfrm>
                      <a:off x="0" y="0"/>
                      <a:ext cx="5169535" cy="4079293"/>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5.</w:t>
      </w:r>
      <w:r w:rsidR="007A5A21">
        <w:rPr>
          <w:rFonts w:asciiTheme="majorHAnsi" w:hAnsiTheme="majorHAnsi"/>
          <w:b/>
        </w:rPr>
        <w:t>9</w:t>
      </w:r>
      <w:r w:rsidRPr="0013327C">
        <w:rPr>
          <w:rFonts w:asciiTheme="majorHAnsi" w:hAnsiTheme="majorHAnsi"/>
          <w:b/>
        </w:rPr>
        <w:t>.</w:t>
      </w:r>
      <w:proofErr w:type="gramEnd"/>
      <w:r w:rsidRPr="0013327C">
        <w:rPr>
          <w:rFonts w:asciiTheme="majorHAnsi" w:hAnsiTheme="majorHAnsi"/>
          <w:b/>
        </w:rPr>
        <w:t xml:space="preserve"> </w:t>
      </w:r>
      <w:r w:rsidR="00A26C0E">
        <w:rPr>
          <w:rFonts w:asciiTheme="majorHAnsi" w:hAnsiTheme="majorHAnsi"/>
          <w:b/>
        </w:rPr>
        <w:t xml:space="preserve">Images of cells </w:t>
      </w:r>
      <w:r w:rsidR="00877786">
        <w:rPr>
          <w:rFonts w:asciiTheme="majorHAnsi" w:hAnsiTheme="majorHAnsi"/>
          <w:b/>
        </w:rPr>
        <w:t>with gene</w:t>
      </w:r>
      <w:r w:rsidR="00A26C0E">
        <w:rPr>
          <w:rFonts w:asciiTheme="majorHAnsi" w:hAnsiTheme="majorHAnsi"/>
          <w:b/>
        </w:rPr>
        <w:t xml:space="preserve"> KDs causing overexpression of eGFP-PTS1 marker. </w:t>
      </w:r>
      <w:r w:rsidRPr="0013327C">
        <w:rPr>
          <w:rFonts w:asciiTheme="majorHAnsi" w:hAnsiTheme="majorHAnsi"/>
        </w:rPr>
        <w:t xml:space="preserve">S2R+ cells stably transfected with </w:t>
      </w:r>
      <w:r w:rsidR="00877786" w:rsidRPr="0013327C">
        <w:rPr>
          <w:rFonts w:asciiTheme="majorHAnsi" w:hAnsiTheme="majorHAnsi"/>
        </w:rPr>
        <w:t>pMt</w:t>
      </w:r>
      <w:r w:rsidRPr="0013327C">
        <w:rPr>
          <w:rFonts w:asciiTheme="majorHAnsi" w:hAnsiTheme="majorHAnsi"/>
        </w:rPr>
        <w:t>-eGFP-PTS1 were grown for 5 days and then induced for 24hrs with 50µM CuSO</w:t>
      </w:r>
      <w:r w:rsidRPr="0013327C">
        <w:rPr>
          <w:rFonts w:asciiTheme="majorHAnsi" w:hAnsiTheme="majorHAnsi"/>
          <w:vertAlign w:val="subscript"/>
        </w:rPr>
        <w:t>4</w:t>
      </w:r>
      <w:r w:rsidRPr="0013327C">
        <w:rPr>
          <w:rFonts w:asciiTheme="majorHAnsi" w:hAnsiTheme="majorHAnsi"/>
        </w:rPr>
        <w:t xml:space="preserve"> before fixation and imaging. Gene KDs using long dsRNA </w:t>
      </w:r>
      <w:r w:rsidR="00877786" w:rsidRPr="0013327C">
        <w:rPr>
          <w:rFonts w:asciiTheme="majorHAnsi" w:hAnsiTheme="majorHAnsi"/>
        </w:rPr>
        <w:t>against</w:t>
      </w:r>
      <w:r w:rsidR="00877786">
        <w:rPr>
          <w:rFonts w:asciiTheme="majorHAnsi" w:hAnsiTheme="majorHAnsi"/>
        </w:rPr>
        <w:t xml:space="preserve"> </w:t>
      </w:r>
      <w:r w:rsidR="00877786" w:rsidRPr="0013327C">
        <w:rPr>
          <w:rFonts w:asciiTheme="majorHAnsi" w:hAnsiTheme="majorHAnsi"/>
        </w:rPr>
        <w:t>CG8492</w:t>
      </w:r>
      <w:r w:rsidRPr="0013327C">
        <w:rPr>
          <w:rFonts w:asciiTheme="majorHAnsi" w:hAnsiTheme="majorHAnsi"/>
        </w:rPr>
        <w:t xml:space="preserve">, Hsp83, Ints9, Ints6, Ints4, CG11970, </w:t>
      </w:r>
      <w:proofErr w:type="gramStart"/>
      <w:r w:rsidRPr="0013327C">
        <w:rPr>
          <w:rFonts w:asciiTheme="majorHAnsi" w:hAnsiTheme="majorHAnsi"/>
        </w:rPr>
        <w:t>osa</w:t>
      </w:r>
      <w:proofErr w:type="gramEnd"/>
      <w:r w:rsidRPr="0013327C">
        <w:rPr>
          <w:rFonts w:asciiTheme="majorHAnsi" w:hAnsiTheme="majorHAnsi"/>
        </w:rPr>
        <w:t xml:space="preserve"> and Nelf-A. </w:t>
      </w:r>
      <w:proofErr w:type="gramStart"/>
      <w:r w:rsidRPr="0013327C">
        <w:rPr>
          <w:rFonts w:asciiTheme="majorHAnsi" w:hAnsiTheme="majorHAnsi"/>
        </w:rPr>
        <w:t>eGFP-PTS1</w:t>
      </w:r>
      <w:proofErr w:type="gramEnd"/>
      <w:r w:rsidRPr="0013327C">
        <w:rPr>
          <w:rFonts w:asciiTheme="majorHAnsi" w:hAnsiTheme="majorHAnsi"/>
        </w:rPr>
        <w:t xml:space="preserve"> is overexpressed but peroxisomes are still visible and numerous suggesting no aberrant peroxisomal phenotype. Cell morphology is greatly altered indicating a greatly unhealthy population of cells and disturbed cellular processes. Bar = 20 µm.</w:t>
      </w:r>
    </w:p>
    <w:p w:rsidR="00597427" w:rsidRPr="0013327C" w:rsidRDefault="00597427" w:rsidP="00AE0264">
      <w:pPr>
        <w:pStyle w:val="Heading2"/>
        <w:jc w:val="both"/>
      </w:pPr>
      <w:bookmarkStart w:id="138" w:name="_Toc348423390"/>
      <w:r w:rsidRPr="0013327C">
        <w:t>29 gene KDs were visually reported in one of three replicate samples.</w:t>
      </w:r>
      <w:bookmarkEnd w:id="138"/>
    </w:p>
    <w:p w:rsidR="00597427" w:rsidRPr="0013327C" w:rsidRDefault="00597427" w:rsidP="00AE0264">
      <w:pPr>
        <w:jc w:val="both"/>
        <w:rPr>
          <w:rFonts w:asciiTheme="majorHAnsi" w:hAnsiTheme="majorHAnsi"/>
        </w:rPr>
      </w:pPr>
      <w:r w:rsidRPr="0013327C">
        <w:rPr>
          <w:rFonts w:asciiTheme="majorHAnsi" w:hAnsiTheme="majorHAnsi"/>
        </w:rPr>
        <w:t xml:space="preserve">The visual screening of the three Secondary Screen plates was deemed necessary as it was understood that the statistical evaluation of KDs as peroxisome counts per cell in terms of z-scores from a mean would likely cause the reporting of many false negatives. Each probe in the Secondary Screen plate was considered either a statistical outlier of the second genome-wide screen or an aberrative phenotype included from a visual screen with extended inclusion parameters. Even with 88 expected negative controls added each KD phenotype would experience a relative fall in the magnitude of its z-score from the new mean of the Secondary Screen data, with only the very strongest outliers remaining statistically significant as sample KDs. This is due to the </w:t>
      </w:r>
      <w:r w:rsidRPr="0013327C">
        <w:rPr>
          <w:rFonts w:asciiTheme="majorHAnsi" w:hAnsiTheme="majorHAnsi"/>
        </w:rPr>
        <w:lastRenderedPageBreak/>
        <w:t>altered relative distribution of the population, a large relative increase, and its reduction in size to less than 2% of what it was in the genome-wide screens. Visual screening of all the wells ensured that any phenotypes that looked like aberrations from WT would be noticed regardless of whatever magnitude of z-score they have produced from this new dataset. Statistical analysis would then follow the visual screening of 1104 wells (3 x 384 wells – 48 user-synthesised controls).</w:t>
      </w:r>
    </w:p>
    <w:p w:rsidR="00597427" w:rsidRPr="0013327C" w:rsidRDefault="00597427" w:rsidP="00AE0264">
      <w:pPr>
        <w:jc w:val="both"/>
        <w:rPr>
          <w:rFonts w:asciiTheme="majorHAnsi" w:hAnsiTheme="majorHAnsi"/>
        </w:rPr>
      </w:pPr>
      <w:r w:rsidRPr="0013327C">
        <w:rPr>
          <w:rFonts w:asciiTheme="majorHAnsi" w:hAnsiTheme="majorHAnsi"/>
        </w:rPr>
        <w:t xml:space="preserve">This still produced a statistical grey area when there were 29 wells that only returned a visual phenotype once after its three wells had been viewed. This meant that twice upon viewing it appeared indistinguishable from WT phenotype. Because of this relatively little significance was given to these gene KDs compared to those described earlier in this chapter. While it may at first seem promising that </w:t>
      </w:r>
      <w:r w:rsidR="000C26B2" w:rsidRPr="000C26B2">
        <w:rPr>
          <w:rFonts w:asciiTheme="majorHAnsi" w:hAnsiTheme="majorHAnsi"/>
          <w:i/>
        </w:rPr>
        <w:t>PEX</w:t>
      </w:r>
      <w:r w:rsidRPr="0013327C">
        <w:rPr>
          <w:rFonts w:asciiTheme="majorHAnsi" w:hAnsiTheme="majorHAnsi"/>
        </w:rPr>
        <w:t xml:space="preserve">7 and </w:t>
      </w:r>
      <w:r w:rsidR="000C26B2" w:rsidRPr="000C26B2">
        <w:rPr>
          <w:rFonts w:asciiTheme="majorHAnsi" w:hAnsiTheme="majorHAnsi"/>
          <w:i/>
        </w:rPr>
        <w:t>PEX</w:t>
      </w:r>
      <w:r w:rsidRPr="0013327C">
        <w:rPr>
          <w:rFonts w:asciiTheme="majorHAnsi" w:hAnsiTheme="majorHAnsi"/>
        </w:rPr>
        <w:t xml:space="preserve">12 have finally been considered as hits in some way, they were chosen due to their apparent increase in  peroxisome number per cell and not because they present in any small way like </w:t>
      </w:r>
      <w:r w:rsidR="000C26B2" w:rsidRPr="000C26B2">
        <w:rPr>
          <w:rFonts w:asciiTheme="majorHAnsi" w:hAnsiTheme="majorHAnsi"/>
          <w:i/>
        </w:rPr>
        <w:t>PEX</w:t>
      </w:r>
      <w:r w:rsidRPr="0013327C">
        <w:rPr>
          <w:rFonts w:asciiTheme="majorHAnsi" w:hAnsiTheme="majorHAnsi"/>
        </w:rPr>
        <w:t xml:space="preserve">1, </w:t>
      </w:r>
      <w:r w:rsidR="000C26B2" w:rsidRPr="000C26B2">
        <w:rPr>
          <w:rFonts w:asciiTheme="majorHAnsi" w:hAnsiTheme="majorHAnsi"/>
          <w:i/>
        </w:rPr>
        <w:t>PEX</w:t>
      </w:r>
      <w:r w:rsidRPr="0013327C">
        <w:rPr>
          <w:rFonts w:asciiTheme="majorHAnsi" w:hAnsiTheme="majorHAnsi"/>
        </w:rPr>
        <w:t xml:space="preserve">5 or </w:t>
      </w:r>
      <w:r w:rsidR="000C26B2" w:rsidRPr="000C26B2">
        <w:rPr>
          <w:rFonts w:asciiTheme="majorHAnsi" w:hAnsiTheme="majorHAnsi"/>
          <w:i/>
        </w:rPr>
        <w:t>PEX</w:t>
      </w:r>
      <w:r w:rsidRPr="0013327C">
        <w:rPr>
          <w:rFonts w:asciiTheme="majorHAnsi" w:hAnsiTheme="majorHAnsi"/>
        </w:rPr>
        <w:t xml:space="preserve">13. The </w:t>
      </w:r>
      <w:proofErr w:type="gramStart"/>
      <w:r w:rsidRPr="0013327C">
        <w:rPr>
          <w:rFonts w:asciiTheme="majorHAnsi" w:hAnsiTheme="majorHAnsi"/>
        </w:rPr>
        <w:t>fact that stonewall</w:t>
      </w:r>
      <w:proofErr w:type="gramEnd"/>
      <w:r w:rsidRPr="0013327C">
        <w:rPr>
          <w:rFonts w:asciiTheme="majorHAnsi" w:hAnsiTheme="majorHAnsi"/>
        </w:rPr>
        <w:t xml:space="preserve"> is among these 29 KDs after being reported in Screen 2 may have been more reassuring if it ha</w:t>
      </w:r>
      <w:r w:rsidR="001F2021">
        <w:rPr>
          <w:rFonts w:asciiTheme="majorHAnsi" w:hAnsiTheme="majorHAnsi"/>
        </w:rPr>
        <w:t>dn’t failed to be reported in the other</w:t>
      </w:r>
      <w:r w:rsidRPr="0013327C">
        <w:rPr>
          <w:rFonts w:asciiTheme="majorHAnsi" w:hAnsiTheme="majorHAnsi"/>
        </w:rPr>
        <w:t xml:space="preserve"> parallel visual tests. Even Drp1 is included in these results; a robust probe from previous screens, it is one of the highest scoring of this third subset of sample KDs yet two of its wells appeared like WT phenotypes. This uncertainty is due to the heterogeneous nature of the S2R+ cells and the heterogeneous </w:t>
      </w:r>
      <w:r w:rsidR="008221A2">
        <w:rPr>
          <w:rFonts w:asciiTheme="majorHAnsi" w:hAnsiTheme="majorHAnsi"/>
        </w:rPr>
        <w:t xml:space="preserve">marker </w:t>
      </w:r>
      <w:r w:rsidRPr="0013327C">
        <w:rPr>
          <w:rFonts w:asciiTheme="majorHAnsi" w:hAnsiTheme="majorHAnsi"/>
        </w:rPr>
        <w:t>expression experienced with the use of stable reporter transfection</w:t>
      </w:r>
      <w:r w:rsidR="00674826">
        <w:rPr>
          <w:rFonts w:asciiTheme="majorHAnsi" w:hAnsiTheme="majorHAnsi"/>
        </w:rPr>
        <w:t xml:space="preserve"> (see Ch. 4.4)</w:t>
      </w:r>
      <w:r w:rsidRPr="0013327C">
        <w:rPr>
          <w:rFonts w:asciiTheme="majorHAnsi" w:hAnsiTheme="majorHAnsi"/>
        </w:rPr>
        <w:t xml:space="preserve">. In some images cells may report several phenotype </w:t>
      </w:r>
      <w:proofErr w:type="gramStart"/>
      <w:r w:rsidRPr="0013327C">
        <w:rPr>
          <w:rFonts w:asciiTheme="majorHAnsi" w:hAnsiTheme="majorHAnsi"/>
        </w:rPr>
        <w:t>presentations ,</w:t>
      </w:r>
      <w:proofErr w:type="gramEnd"/>
      <w:r w:rsidRPr="0013327C">
        <w:rPr>
          <w:rFonts w:asciiTheme="majorHAnsi" w:hAnsiTheme="majorHAnsi"/>
        </w:rPr>
        <w:t xml:space="preserve"> even in WT or control wells, thus compounding the difficulty of being able to differentiate aberrations from WT. Indeed the most uniform phenotypes seen in any of the wells are ones where functional probes have produced a ubiquitous and highly effective change in cellular protein expression, thus KDs of </w:t>
      </w:r>
      <w:r w:rsidR="000C26B2" w:rsidRPr="000C26B2">
        <w:rPr>
          <w:rFonts w:asciiTheme="majorHAnsi" w:hAnsiTheme="majorHAnsi"/>
          <w:i/>
        </w:rPr>
        <w:t>PEX</w:t>
      </w:r>
      <w:r w:rsidRPr="0013327C">
        <w:rPr>
          <w:rFonts w:asciiTheme="majorHAnsi" w:hAnsiTheme="majorHAnsi"/>
        </w:rPr>
        <w:t xml:space="preserve">16, sqh, </w:t>
      </w:r>
      <w:r w:rsidR="000C26B2" w:rsidRPr="000C26B2">
        <w:rPr>
          <w:rFonts w:asciiTheme="majorHAnsi" w:hAnsiTheme="majorHAnsi"/>
          <w:i/>
        </w:rPr>
        <w:t>PEX</w:t>
      </w:r>
      <w:r w:rsidRPr="0013327C">
        <w:rPr>
          <w:rFonts w:asciiTheme="majorHAnsi" w:hAnsiTheme="majorHAnsi"/>
        </w:rPr>
        <w:t xml:space="preserve">5 and Ints9 are immediately </w:t>
      </w:r>
      <w:r w:rsidR="00877786" w:rsidRPr="0013327C">
        <w:rPr>
          <w:rFonts w:asciiTheme="majorHAnsi" w:hAnsiTheme="majorHAnsi"/>
        </w:rPr>
        <w:t>recognisable</w:t>
      </w:r>
      <w:r w:rsidRPr="0013327C">
        <w:rPr>
          <w:rFonts w:asciiTheme="majorHAnsi" w:hAnsiTheme="majorHAnsi"/>
        </w:rPr>
        <w:t xml:space="preserve"> as ubiquitously aberrant phenotypes.</w:t>
      </w:r>
    </w:p>
    <w:p w:rsidR="00597427" w:rsidRPr="0013327C" w:rsidRDefault="00597427" w:rsidP="00AE0264">
      <w:pPr>
        <w:jc w:val="both"/>
        <w:rPr>
          <w:rFonts w:asciiTheme="majorHAnsi" w:hAnsiTheme="majorHAnsi"/>
        </w:rPr>
      </w:pPr>
      <w:r w:rsidRPr="0013327C">
        <w:rPr>
          <w:rFonts w:asciiTheme="majorHAnsi" w:hAnsiTheme="majorHAnsi"/>
        </w:rPr>
        <w:t>An image each is included for these 29 samples, showing exemplary cells from the wells that did return the positive result in the visual screen of the three Secondary Screen plates. From here it may be decided whether to continue with further work, based on these images and the subsequent statistical analysis that would be performed on them. The statistical analysis of the secondary screen begins in Ch 5.14.</w:t>
      </w:r>
    </w:p>
    <w:p w:rsidR="00597427" w:rsidRPr="0013327C" w:rsidRDefault="004A5335" w:rsidP="00AE0264">
      <w:pPr>
        <w:jc w:val="both"/>
        <w:rPr>
          <w:rFonts w:asciiTheme="majorHAnsi" w:hAnsiTheme="majorHAnsi"/>
        </w:rPr>
      </w:pPr>
      <w:r>
        <w:rPr>
          <w:rFonts w:asciiTheme="majorHAnsi" w:hAnsiTheme="majorHAnsi"/>
          <w:noProof/>
          <w:lang w:eastAsia="en-GB"/>
        </w:rPr>
        <w:lastRenderedPageBreak/>
        <w:drawing>
          <wp:inline distT="0" distB="0" distL="0" distR="0">
            <wp:extent cx="5284922" cy="3954331"/>
            <wp:effectExtent l="0" t="0" r="0" b="0"/>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srcRect/>
                    <a:stretch>
                      <a:fillRect/>
                    </a:stretch>
                  </pic:blipFill>
                  <pic:spPr bwMode="auto">
                    <a:xfrm>
                      <a:off x="0" y="0"/>
                      <a:ext cx="5282644" cy="3952627"/>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5.1</w:t>
      </w:r>
      <w:r w:rsidR="005C5805">
        <w:rPr>
          <w:rFonts w:asciiTheme="majorHAnsi" w:hAnsiTheme="majorHAnsi"/>
          <w:b/>
        </w:rPr>
        <w:t>0</w:t>
      </w:r>
      <w:r w:rsidRPr="0013327C">
        <w:rPr>
          <w:rFonts w:asciiTheme="majorHAnsi" w:hAnsiTheme="majorHAnsi"/>
          <w:b/>
        </w:rPr>
        <w:t>.</w:t>
      </w:r>
      <w:proofErr w:type="gramEnd"/>
      <w:r w:rsidRPr="0013327C">
        <w:rPr>
          <w:rFonts w:asciiTheme="majorHAnsi" w:hAnsiTheme="majorHAnsi"/>
          <w:b/>
        </w:rPr>
        <w:t xml:space="preserve"> </w:t>
      </w:r>
      <w:r w:rsidR="00A26C0E">
        <w:rPr>
          <w:rFonts w:asciiTheme="majorHAnsi" w:hAnsiTheme="majorHAnsi"/>
          <w:b/>
        </w:rPr>
        <w:t xml:space="preserve">Images of cells with only one well in the triplicate showing aberrant phenotype – A. </w:t>
      </w:r>
      <w:r w:rsidRPr="0013327C">
        <w:rPr>
          <w:rFonts w:asciiTheme="majorHAnsi" w:hAnsiTheme="majorHAnsi"/>
        </w:rPr>
        <w:t xml:space="preserve">S2R+ cells stably transfected with </w:t>
      </w:r>
      <w:r w:rsidR="00877786" w:rsidRPr="0013327C">
        <w:rPr>
          <w:rFonts w:asciiTheme="majorHAnsi" w:hAnsiTheme="majorHAnsi"/>
        </w:rPr>
        <w:t>pMt</w:t>
      </w:r>
      <w:r w:rsidRPr="0013327C">
        <w:rPr>
          <w:rFonts w:asciiTheme="majorHAnsi" w:hAnsiTheme="majorHAnsi"/>
        </w:rPr>
        <w:t>-eGFP-PTS1 were grown for 5 days and then induced for 24hrs with 50µM CuSO</w:t>
      </w:r>
      <w:r w:rsidRPr="0013327C">
        <w:rPr>
          <w:rFonts w:asciiTheme="majorHAnsi" w:hAnsiTheme="majorHAnsi"/>
          <w:vertAlign w:val="subscript"/>
        </w:rPr>
        <w:t>4</w:t>
      </w:r>
      <w:r w:rsidRPr="0013327C">
        <w:rPr>
          <w:rFonts w:asciiTheme="majorHAnsi" w:hAnsiTheme="majorHAnsi"/>
        </w:rPr>
        <w:t xml:space="preserve"> before fixation and imaging. Gene KDs using long dsRNA are shown against trithorax-related, Bluestreak, CG9791, Drp1, schnurri, Nucleoporin 43, </w:t>
      </w:r>
      <w:r w:rsidR="000C26B2" w:rsidRPr="000C26B2">
        <w:rPr>
          <w:rFonts w:asciiTheme="majorHAnsi" w:hAnsiTheme="majorHAnsi"/>
          <w:i/>
        </w:rPr>
        <w:t>PEX</w:t>
      </w:r>
      <w:r w:rsidRPr="0013327C">
        <w:rPr>
          <w:rFonts w:asciiTheme="majorHAnsi" w:hAnsiTheme="majorHAnsi"/>
        </w:rPr>
        <w:t>11γ, Reps and CG6094. Images are of cells whose KD phenotype best represents that which was observed upon visual screening. Bar = 20 µm.</w:t>
      </w:r>
    </w:p>
    <w:p w:rsidR="00597427" w:rsidRPr="0013327C" w:rsidRDefault="004A5335" w:rsidP="00AE0264">
      <w:pPr>
        <w:jc w:val="both"/>
        <w:rPr>
          <w:rFonts w:asciiTheme="majorHAnsi" w:hAnsiTheme="majorHAnsi"/>
        </w:rPr>
      </w:pPr>
      <w:r>
        <w:rPr>
          <w:rFonts w:asciiTheme="majorHAnsi" w:hAnsiTheme="majorHAnsi"/>
          <w:noProof/>
          <w:lang w:eastAsia="en-GB"/>
        </w:rPr>
        <w:lastRenderedPageBreak/>
        <w:drawing>
          <wp:inline distT="0" distB="0" distL="0" distR="0">
            <wp:extent cx="5265872" cy="4175477"/>
            <wp:effectExtent l="19050" t="0" r="0" b="0"/>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srcRect/>
                    <a:stretch>
                      <a:fillRect/>
                    </a:stretch>
                  </pic:blipFill>
                  <pic:spPr bwMode="auto">
                    <a:xfrm>
                      <a:off x="0" y="0"/>
                      <a:ext cx="5274201" cy="4182082"/>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5.1</w:t>
      </w:r>
      <w:r w:rsidR="005C5805">
        <w:rPr>
          <w:rFonts w:asciiTheme="majorHAnsi" w:hAnsiTheme="majorHAnsi"/>
          <w:b/>
        </w:rPr>
        <w:t>1</w:t>
      </w:r>
      <w:r w:rsidRPr="0013327C">
        <w:rPr>
          <w:rFonts w:asciiTheme="majorHAnsi" w:hAnsiTheme="majorHAnsi"/>
          <w:b/>
        </w:rPr>
        <w:t>.</w:t>
      </w:r>
      <w:proofErr w:type="gramEnd"/>
      <w:r w:rsidR="00A26C0E" w:rsidRPr="00A26C0E">
        <w:rPr>
          <w:rFonts w:asciiTheme="majorHAnsi" w:hAnsiTheme="majorHAnsi"/>
          <w:b/>
        </w:rPr>
        <w:t xml:space="preserve"> </w:t>
      </w:r>
      <w:proofErr w:type="gramStart"/>
      <w:r w:rsidR="00A26C0E">
        <w:rPr>
          <w:rFonts w:asciiTheme="majorHAnsi" w:hAnsiTheme="majorHAnsi"/>
          <w:b/>
        </w:rPr>
        <w:t>Images of cells with only one well in the triplicate showing aberrant phenotype – B.</w:t>
      </w:r>
      <w:proofErr w:type="gramEnd"/>
      <w:r w:rsidR="00A26C0E">
        <w:rPr>
          <w:rFonts w:asciiTheme="majorHAnsi" w:hAnsiTheme="majorHAnsi"/>
          <w:b/>
        </w:rPr>
        <w:t xml:space="preserve"> </w:t>
      </w:r>
      <w:r w:rsidRPr="0013327C">
        <w:rPr>
          <w:rFonts w:asciiTheme="majorHAnsi" w:hAnsiTheme="majorHAnsi"/>
          <w:b/>
        </w:rPr>
        <w:t xml:space="preserve"> </w:t>
      </w:r>
      <w:r w:rsidRPr="0013327C">
        <w:rPr>
          <w:rFonts w:asciiTheme="majorHAnsi" w:hAnsiTheme="majorHAnsi"/>
        </w:rPr>
        <w:t xml:space="preserve">S2R+ cells stably transfected with </w:t>
      </w:r>
      <w:r w:rsidR="00877786" w:rsidRPr="0013327C">
        <w:rPr>
          <w:rFonts w:asciiTheme="majorHAnsi" w:hAnsiTheme="majorHAnsi"/>
        </w:rPr>
        <w:t>pMt</w:t>
      </w:r>
      <w:r w:rsidRPr="0013327C">
        <w:rPr>
          <w:rFonts w:asciiTheme="majorHAnsi" w:hAnsiTheme="majorHAnsi"/>
        </w:rPr>
        <w:t>-eGFP-PTS1 were grown for 5 days and then induced for 24hrs with 50µM CuSO</w:t>
      </w:r>
      <w:r w:rsidRPr="0013327C">
        <w:rPr>
          <w:rFonts w:asciiTheme="majorHAnsi" w:hAnsiTheme="majorHAnsi"/>
          <w:vertAlign w:val="subscript"/>
        </w:rPr>
        <w:t>4</w:t>
      </w:r>
      <w:r w:rsidRPr="0013327C">
        <w:rPr>
          <w:rFonts w:asciiTheme="majorHAnsi" w:hAnsiTheme="majorHAnsi"/>
        </w:rPr>
        <w:t xml:space="preserve"> before fixation and imaging. Gene KDs using long dsRNA are shown against </w:t>
      </w:r>
      <w:r w:rsidR="000C26B2" w:rsidRPr="000C26B2">
        <w:rPr>
          <w:rFonts w:asciiTheme="majorHAnsi" w:hAnsiTheme="majorHAnsi"/>
          <w:i/>
        </w:rPr>
        <w:t>PEX</w:t>
      </w:r>
      <w:r w:rsidRPr="0013327C">
        <w:rPr>
          <w:rFonts w:asciiTheme="majorHAnsi" w:hAnsiTheme="majorHAnsi"/>
        </w:rPr>
        <w:t xml:space="preserve">7, CG12923, claret, headcase, </w:t>
      </w:r>
      <w:r w:rsidR="000C26B2" w:rsidRPr="000C26B2">
        <w:rPr>
          <w:rFonts w:asciiTheme="majorHAnsi" w:hAnsiTheme="majorHAnsi"/>
          <w:i/>
        </w:rPr>
        <w:t>PEX</w:t>
      </w:r>
      <w:r w:rsidRPr="0013327C">
        <w:rPr>
          <w:rFonts w:asciiTheme="majorHAnsi" w:hAnsiTheme="majorHAnsi"/>
        </w:rPr>
        <w:t>12, Protein Kinase Cδ, Glutaminyl-tRNA synthase, CG3342, CG8034. Images are of cells whose KD phenotype best represents that which was observed upon visual screening. Bar = 20 µm.</w:t>
      </w:r>
    </w:p>
    <w:p w:rsidR="00597427" w:rsidRPr="0013327C" w:rsidRDefault="00604C57" w:rsidP="00AE0264">
      <w:pPr>
        <w:jc w:val="both"/>
        <w:rPr>
          <w:rFonts w:asciiTheme="majorHAnsi" w:hAnsiTheme="majorHAnsi"/>
        </w:rPr>
      </w:pPr>
      <w:r>
        <w:rPr>
          <w:rFonts w:asciiTheme="majorHAnsi" w:hAnsiTheme="majorHAnsi"/>
          <w:noProof/>
          <w:lang w:eastAsia="en-GB"/>
        </w:rPr>
        <w:lastRenderedPageBreak/>
        <w:drawing>
          <wp:inline distT="0" distB="0" distL="0" distR="0">
            <wp:extent cx="5374257" cy="4208005"/>
            <wp:effectExtent l="0" t="0" r="0" b="0"/>
            <wp:docPr id="2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srcRect/>
                    <a:stretch>
                      <a:fillRect/>
                    </a:stretch>
                  </pic:blipFill>
                  <pic:spPr bwMode="auto">
                    <a:xfrm>
                      <a:off x="0" y="0"/>
                      <a:ext cx="5373285" cy="4207244"/>
                    </a:xfrm>
                    <a:prstGeom prst="rect">
                      <a:avLst/>
                    </a:prstGeom>
                    <a:noFill/>
                  </pic:spPr>
                </pic:pic>
              </a:graphicData>
            </a:graphic>
          </wp:inline>
        </w:drawing>
      </w:r>
    </w:p>
    <w:p w:rsidR="00597427" w:rsidRPr="0013327C" w:rsidRDefault="00597427" w:rsidP="00AE0264">
      <w:pPr>
        <w:jc w:val="both"/>
        <w:rPr>
          <w:rFonts w:asciiTheme="majorHAnsi" w:hAnsiTheme="majorHAnsi"/>
        </w:rPr>
      </w:pPr>
      <w:r w:rsidRPr="0013327C">
        <w:rPr>
          <w:rFonts w:asciiTheme="majorHAnsi" w:hAnsiTheme="majorHAnsi"/>
          <w:b/>
        </w:rPr>
        <w:t>Figure 5.</w:t>
      </w:r>
      <w:r w:rsidR="005C5805">
        <w:rPr>
          <w:rFonts w:asciiTheme="majorHAnsi" w:hAnsiTheme="majorHAnsi"/>
          <w:b/>
        </w:rPr>
        <w:t>12</w:t>
      </w:r>
      <w:r w:rsidR="00A26C0E" w:rsidRPr="00A26C0E">
        <w:rPr>
          <w:rFonts w:asciiTheme="majorHAnsi" w:hAnsiTheme="majorHAnsi"/>
          <w:b/>
        </w:rPr>
        <w:t xml:space="preserve"> </w:t>
      </w:r>
      <w:r w:rsidR="00A26C0E">
        <w:rPr>
          <w:rFonts w:asciiTheme="majorHAnsi" w:hAnsiTheme="majorHAnsi"/>
          <w:b/>
        </w:rPr>
        <w:t xml:space="preserve">Images of cells with only one well in the triplicate showing aberrant phenotype – </w:t>
      </w:r>
      <w:r w:rsidR="00D66985">
        <w:rPr>
          <w:rFonts w:asciiTheme="majorHAnsi" w:hAnsiTheme="majorHAnsi"/>
          <w:b/>
        </w:rPr>
        <w:t>C</w:t>
      </w:r>
      <w:r w:rsidRPr="0013327C">
        <w:rPr>
          <w:rFonts w:asciiTheme="majorHAnsi" w:hAnsiTheme="majorHAnsi"/>
          <w:b/>
        </w:rPr>
        <w:t xml:space="preserve">. </w:t>
      </w:r>
      <w:r w:rsidRPr="0013327C">
        <w:rPr>
          <w:rFonts w:asciiTheme="majorHAnsi" w:hAnsiTheme="majorHAnsi"/>
        </w:rPr>
        <w:t xml:space="preserve">S2R+ cells stably transfected with </w:t>
      </w:r>
      <w:r w:rsidR="00877786" w:rsidRPr="0013327C">
        <w:rPr>
          <w:rFonts w:asciiTheme="majorHAnsi" w:hAnsiTheme="majorHAnsi"/>
        </w:rPr>
        <w:t>pMt</w:t>
      </w:r>
      <w:r w:rsidRPr="0013327C">
        <w:rPr>
          <w:rFonts w:asciiTheme="majorHAnsi" w:hAnsiTheme="majorHAnsi"/>
        </w:rPr>
        <w:t>-eGFP-PTS1 were grown for 5 days and then induced for 24hrs with 50µM CuSO</w:t>
      </w:r>
      <w:r w:rsidRPr="0013327C">
        <w:rPr>
          <w:rFonts w:asciiTheme="majorHAnsi" w:hAnsiTheme="majorHAnsi"/>
          <w:vertAlign w:val="subscript"/>
        </w:rPr>
        <w:t>4</w:t>
      </w:r>
      <w:r w:rsidRPr="0013327C">
        <w:rPr>
          <w:rFonts w:asciiTheme="majorHAnsi" w:hAnsiTheme="majorHAnsi"/>
        </w:rPr>
        <w:t xml:space="preserve"> before fixation and imaging. Gene KDs using long dsRNA are shown against CG14780, CG14749, stonewall, Brd8, CG11413, CG41251, scattered, CG8116 and CG6719. Images are of cells whose KD phenotype best represents that which was observed upon visual screening. Bar = 20 µm.</w:t>
      </w:r>
    </w:p>
    <w:p w:rsidR="00604C57" w:rsidRDefault="00604C57" w:rsidP="00AE0264">
      <w:pPr>
        <w:jc w:val="both"/>
        <w:rPr>
          <w:rFonts w:asciiTheme="majorHAnsi" w:hAnsiTheme="majorHAnsi"/>
        </w:rPr>
      </w:pPr>
    </w:p>
    <w:p w:rsidR="00604C57" w:rsidRDefault="00604C57" w:rsidP="00AE0264">
      <w:pPr>
        <w:jc w:val="both"/>
        <w:rPr>
          <w:rFonts w:asciiTheme="majorHAnsi" w:hAnsiTheme="majorHAnsi"/>
        </w:rPr>
      </w:pPr>
    </w:p>
    <w:p w:rsidR="00597427" w:rsidRPr="0013327C" w:rsidRDefault="00D66985" w:rsidP="00AE0264">
      <w:pPr>
        <w:jc w:val="both"/>
        <w:rPr>
          <w:rFonts w:asciiTheme="majorHAnsi" w:hAnsiTheme="majorHAnsi"/>
        </w:rPr>
      </w:pPr>
      <w:r>
        <w:rPr>
          <w:rFonts w:asciiTheme="majorHAnsi" w:hAnsiTheme="majorHAnsi"/>
          <w:noProof/>
          <w:lang w:eastAsia="en-GB"/>
        </w:rPr>
        <w:lastRenderedPageBreak/>
        <w:drawing>
          <wp:inline distT="0" distB="0" distL="0" distR="0">
            <wp:extent cx="5406884" cy="2340244"/>
            <wp:effectExtent l="19050" t="0" r="0" b="0"/>
            <wp:docPr id="2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a:stretch>
                      <a:fillRect/>
                    </a:stretch>
                  </pic:blipFill>
                  <pic:spPr bwMode="auto">
                    <a:xfrm>
                      <a:off x="0" y="0"/>
                      <a:ext cx="5408292" cy="2340853"/>
                    </a:xfrm>
                    <a:prstGeom prst="rect">
                      <a:avLst/>
                    </a:prstGeom>
                    <a:noFill/>
                  </pic:spPr>
                </pic:pic>
              </a:graphicData>
            </a:graphic>
          </wp:inline>
        </w:drawing>
      </w:r>
    </w:p>
    <w:p w:rsidR="00597427" w:rsidRPr="0013327C" w:rsidRDefault="00D66985" w:rsidP="00AE0264">
      <w:pPr>
        <w:jc w:val="both"/>
        <w:rPr>
          <w:rFonts w:asciiTheme="majorHAnsi" w:hAnsiTheme="majorHAnsi"/>
        </w:rPr>
      </w:pPr>
      <w:proofErr w:type="gramStart"/>
      <w:r>
        <w:rPr>
          <w:rFonts w:asciiTheme="majorHAnsi" w:hAnsiTheme="majorHAnsi"/>
          <w:b/>
        </w:rPr>
        <w:t>Figure 5.1</w:t>
      </w:r>
      <w:r w:rsidR="00765503">
        <w:rPr>
          <w:rFonts w:asciiTheme="majorHAnsi" w:hAnsiTheme="majorHAnsi"/>
          <w:b/>
        </w:rPr>
        <w:t>3</w:t>
      </w:r>
      <w:r w:rsidR="00597427" w:rsidRPr="0013327C">
        <w:rPr>
          <w:rFonts w:asciiTheme="majorHAnsi" w:hAnsiTheme="majorHAnsi"/>
          <w:b/>
        </w:rPr>
        <w:t>.</w:t>
      </w:r>
      <w:proofErr w:type="gramEnd"/>
      <w:r w:rsidR="00597427" w:rsidRPr="0013327C">
        <w:rPr>
          <w:rFonts w:asciiTheme="majorHAnsi" w:hAnsiTheme="majorHAnsi"/>
          <w:b/>
        </w:rPr>
        <w:t xml:space="preserve"> </w:t>
      </w:r>
      <w:r>
        <w:rPr>
          <w:rFonts w:asciiTheme="majorHAnsi" w:hAnsiTheme="majorHAnsi"/>
          <w:b/>
        </w:rPr>
        <w:t xml:space="preserve">Cells showing increase in abundance of cells/ ATP synthase subunit KD. </w:t>
      </w:r>
      <w:r w:rsidR="00597427" w:rsidRPr="0013327C">
        <w:rPr>
          <w:rFonts w:asciiTheme="majorHAnsi" w:hAnsiTheme="majorHAnsi"/>
        </w:rPr>
        <w:t xml:space="preserve">S2R+ cells stably transfected with </w:t>
      </w:r>
      <w:r w:rsidR="00877786" w:rsidRPr="0013327C">
        <w:rPr>
          <w:rFonts w:asciiTheme="majorHAnsi" w:hAnsiTheme="majorHAnsi"/>
        </w:rPr>
        <w:t>pMt</w:t>
      </w:r>
      <w:r w:rsidR="00597427" w:rsidRPr="0013327C">
        <w:rPr>
          <w:rFonts w:asciiTheme="majorHAnsi" w:hAnsiTheme="majorHAnsi"/>
        </w:rPr>
        <w:t>-eGFP-PTS1 were grown for 5 days and then induced for 24hrs with 50µM CuSO</w:t>
      </w:r>
      <w:r w:rsidR="00597427" w:rsidRPr="0013327C">
        <w:rPr>
          <w:rFonts w:asciiTheme="majorHAnsi" w:hAnsiTheme="majorHAnsi"/>
          <w:vertAlign w:val="subscript"/>
        </w:rPr>
        <w:t>4</w:t>
      </w:r>
      <w:r w:rsidR="00597427" w:rsidRPr="0013327C">
        <w:rPr>
          <w:rFonts w:asciiTheme="majorHAnsi" w:hAnsiTheme="majorHAnsi"/>
        </w:rPr>
        <w:t xml:space="preserve"> before fixation and imaging. Gene KDs using long dsRNA are shown against ATP-synthase subunit b and ATP-synthase coupling factor 6. Bar = 20 µm.</w:t>
      </w:r>
    </w:p>
    <w:p w:rsidR="00597427" w:rsidRPr="0013327C" w:rsidRDefault="00597427" w:rsidP="00AE0264">
      <w:pPr>
        <w:pStyle w:val="Heading2"/>
        <w:jc w:val="both"/>
      </w:pPr>
      <w:bookmarkStart w:id="139" w:name="_Toc348423391"/>
      <w:r w:rsidRPr="0013327C">
        <w:t>Statistical analysis of the secondary screen</w:t>
      </w:r>
      <w:bookmarkEnd w:id="139"/>
    </w:p>
    <w:p w:rsidR="00597427" w:rsidRPr="0013327C" w:rsidRDefault="00597427" w:rsidP="00AE0264">
      <w:pPr>
        <w:jc w:val="both"/>
        <w:rPr>
          <w:rFonts w:asciiTheme="majorHAnsi" w:hAnsiTheme="majorHAnsi"/>
        </w:rPr>
      </w:pPr>
      <w:r w:rsidRPr="0013327C">
        <w:rPr>
          <w:rFonts w:asciiTheme="majorHAnsi" w:hAnsiTheme="majorHAnsi"/>
        </w:rPr>
        <w:t xml:space="preserve">With the resources available at the SRSF it would not be prudent to accept the subjective visual screening undertaken earlier in the chapter. As stated in Chapter 5.14 the statistical robustness of the secondary screening would be greatly different to the genome-wide screening. The Secondary Screen plate contains the outliers of the genome-wide screen for this </w:t>
      </w:r>
      <w:proofErr w:type="gramStart"/>
      <w:r w:rsidRPr="0013327C">
        <w:rPr>
          <w:rFonts w:asciiTheme="majorHAnsi" w:hAnsiTheme="majorHAnsi"/>
        </w:rPr>
        <w:t>assay,</w:t>
      </w:r>
      <w:proofErr w:type="gramEnd"/>
      <w:r w:rsidRPr="0013327C">
        <w:rPr>
          <w:rFonts w:asciiTheme="majorHAnsi" w:hAnsiTheme="majorHAnsi"/>
        </w:rPr>
        <w:t xml:space="preserve"> its relative distribution should be much higher. The addition of 109 negative and positive controls should help reduce this. Even so, normalised z-scores of the screen are likely to miss a great deal on their own. This dataset would therefore be analysed for three of the parameters measured by the Transfluor application. Peroxisome count per cell, as with Screen 2, peroxisome cross-sectional area per cell and peroxisome integrated intensity per cell. This would be done in the same way as the genome-wide screen using HTS2 analysis software.</w:t>
      </w:r>
    </w:p>
    <w:p w:rsidR="00597427" w:rsidRPr="0013327C" w:rsidRDefault="00597427" w:rsidP="00AE0264">
      <w:pPr>
        <w:pStyle w:val="Heading2"/>
        <w:jc w:val="both"/>
      </w:pPr>
      <w:bookmarkStart w:id="140" w:name="_Toc348423392"/>
      <w:proofErr w:type="gramStart"/>
      <w:r w:rsidRPr="0013327C">
        <w:t>Comparison of parameters of peroxisome count, peroxisome cross-sectional area and peroxisome fluorescence intensity per cell.</w:t>
      </w:r>
      <w:bookmarkEnd w:id="140"/>
      <w:proofErr w:type="gramEnd"/>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r w:rsidRPr="0013327C">
        <w:rPr>
          <w:rFonts w:asciiTheme="majorHAnsi" w:hAnsiTheme="majorHAnsi"/>
        </w:rPr>
        <w:t xml:space="preserve">Three main parameters were analysed by HTS2 analysis software. Peroxisome count per cell was analysed as in the previous genome-wide screen. This has been the main </w:t>
      </w:r>
      <w:r w:rsidRPr="0013327C">
        <w:rPr>
          <w:rFonts w:asciiTheme="majorHAnsi" w:hAnsiTheme="majorHAnsi"/>
        </w:rPr>
        <w:lastRenderedPageBreak/>
        <w:t xml:space="preserve">parameter for identifying KDs of biogenesis, fission or inheritance function and was also able to identify PTS1 targeting and uptake loss-of-function with a strong enough knockdown. The Transfluor segmentation application was capable of recording many types of parameters. These could be done on </w:t>
      </w:r>
      <w:proofErr w:type="gramStart"/>
      <w:r w:rsidRPr="0013327C">
        <w:rPr>
          <w:rFonts w:asciiTheme="majorHAnsi" w:hAnsiTheme="majorHAnsi"/>
        </w:rPr>
        <w:t>a per</w:t>
      </w:r>
      <w:proofErr w:type="gramEnd"/>
      <w:r w:rsidRPr="0013327C">
        <w:rPr>
          <w:rFonts w:asciiTheme="majorHAnsi" w:hAnsiTheme="majorHAnsi"/>
        </w:rPr>
        <w:t xml:space="preserve"> cell or per image basis, or both. Without wanting to overcomplicate the analysis, three parameters in total were considered worth investigating. </w:t>
      </w:r>
      <w:r w:rsidR="00877786" w:rsidRPr="0013327C">
        <w:rPr>
          <w:rFonts w:asciiTheme="majorHAnsi" w:hAnsiTheme="majorHAnsi"/>
        </w:rPr>
        <w:t xml:space="preserve">As well as mean peroxisome count (PC) per cell it was decided to investigate mean peroxisome cross-sectional area (peroxisomal area, PA) and mean peroxisomal integrated fluorescent intensity </w:t>
      </w:r>
      <w:r w:rsidR="00877786">
        <w:rPr>
          <w:rFonts w:asciiTheme="majorHAnsi" w:hAnsiTheme="majorHAnsi"/>
        </w:rPr>
        <w:t>(peroxisomal intensity</w:t>
      </w:r>
      <w:r w:rsidR="00877786" w:rsidRPr="0013327C">
        <w:rPr>
          <w:rFonts w:asciiTheme="majorHAnsi" w:hAnsiTheme="majorHAnsi"/>
        </w:rPr>
        <w:t xml:space="preserve">, PI) also on a per cell basis (nuclear count, NC). </w:t>
      </w:r>
      <w:r w:rsidRPr="0013327C">
        <w:rPr>
          <w:rFonts w:asciiTheme="majorHAnsi" w:hAnsiTheme="majorHAnsi"/>
        </w:rPr>
        <w:t xml:space="preserve">This gave the three abbreviations PCNC, PANC, PINC. Values for these were calculated for each well on each plate and z-scores made across each plate. A median z-score could now be taken from the three KDs of every gene on the plates. The median z-score was then plotted on a heat map for each parameter. These heat maps can be compared to see if the same genes </w:t>
      </w:r>
      <w:proofErr w:type="gramStart"/>
      <w:r w:rsidRPr="0013327C">
        <w:rPr>
          <w:rFonts w:asciiTheme="majorHAnsi" w:hAnsiTheme="majorHAnsi"/>
        </w:rPr>
        <w:t>score  highly</w:t>
      </w:r>
      <w:proofErr w:type="gramEnd"/>
      <w:r w:rsidRPr="0013327C">
        <w:rPr>
          <w:rFonts w:asciiTheme="majorHAnsi" w:hAnsiTheme="majorHAnsi"/>
        </w:rPr>
        <w:t xml:space="preserve"> in all parameters or whether different parameters cause different KDs to become more significant. These heat maps are given in Figure 5.16.1.</w:t>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750323" cy="5344510"/>
            <wp:effectExtent l="19050" t="0" r="0" b="0"/>
            <wp:docPr id="1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cstate="print">
                      <a:lum contrast="-20000"/>
                    </a:blip>
                    <a:srcRect/>
                    <a:stretch>
                      <a:fillRect/>
                    </a:stretch>
                  </pic:blipFill>
                  <pic:spPr bwMode="auto">
                    <a:xfrm>
                      <a:off x="0" y="0"/>
                      <a:ext cx="4752754" cy="5347245"/>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 xml:space="preserve">Figure </w:t>
      </w:r>
      <w:r w:rsidRPr="00D66985">
        <w:rPr>
          <w:rFonts w:asciiTheme="majorHAnsi" w:hAnsiTheme="majorHAnsi"/>
          <w:b/>
        </w:rPr>
        <w:t>5.1</w:t>
      </w:r>
      <w:r w:rsidR="00765503">
        <w:rPr>
          <w:rFonts w:asciiTheme="majorHAnsi" w:hAnsiTheme="majorHAnsi"/>
          <w:b/>
        </w:rPr>
        <w:t>4</w:t>
      </w:r>
      <w:r w:rsidRPr="00D66985">
        <w:rPr>
          <w:rFonts w:asciiTheme="majorHAnsi" w:hAnsiTheme="majorHAnsi"/>
          <w:b/>
        </w:rPr>
        <w:t>.</w:t>
      </w:r>
      <w:proofErr w:type="gramEnd"/>
      <w:r w:rsidRPr="00D66985">
        <w:rPr>
          <w:rFonts w:asciiTheme="majorHAnsi" w:hAnsiTheme="majorHAnsi"/>
          <w:b/>
        </w:rPr>
        <w:t xml:space="preserve"> </w:t>
      </w:r>
      <w:proofErr w:type="gramStart"/>
      <w:r w:rsidRPr="00D66985">
        <w:rPr>
          <w:rFonts w:asciiTheme="majorHAnsi" w:hAnsiTheme="majorHAnsi"/>
          <w:b/>
        </w:rPr>
        <w:t xml:space="preserve">Heat maps of median </w:t>
      </w:r>
      <w:r w:rsidR="00877786">
        <w:rPr>
          <w:rFonts w:asciiTheme="majorHAnsi" w:hAnsiTheme="majorHAnsi"/>
          <w:b/>
        </w:rPr>
        <w:t>Z</w:t>
      </w:r>
      <w:r w:rsidRPr="00D66985">
        <w:rPr>
          <w:rFonts w:asciiTheme="majorHAnsi" w:hAnsiTheme="majorHAnsi"/>
          <w:b/>
        </w:rPr>
        <w:t>-scores taken across the triplicates of each KD for peroxisome count per cell (PCNC), peroxisome cross-sectional area per cell (PANC) and peroxisome fluorescent intensity per cell (PINC).</w:t>
      </w:r>
      <w:proofErr w:type="gramEnd"/>
      <w:r w:rsidRPr="0013327C">
        <w:rPr>
          <w:rFonts w:asciiTheme="majorHAnsi" w:hAnsiTheme="majorHAnsi"/>
        </w:rPr>
        <w:t xml:space="preserve"> All three heat maps show negatively skewed distributions signified by the increased abundance of blue rather than orange cells. The 5 GFP probes (darkest blue) are consistent highly negative scores in all three parameters. The heat maps differ between each other but there are some similarities, particularly between the PINC and PANC heat maps.</w:t>
      </w:r>
    </w:p>
    <w:p w:rsidR="00597427" w:rsidRPr="0013327C" w:rsidRDefault="00597427" w:rsidP="00AE0264">
      <w:pPr>
        <w:jc w:val="both"/>
        <w:rPr>
          <w:rFonts w:asciiTheme="majorHAnsi" w:hAnsiTheme="majorHAnsi"/>
        </w:rPr>
      </w:pPr>
      <w:r w:rsidRPr="0013327C">
        <w:rPr>
          <w:rFonts w:asciiTheme="majorHAnsi" w:hAnsiTheme="majorHAnsi"/>
        </w:rPr>
        <w:t>To investigate the relationship between median scores for peroxisome count, area and intensity the three were plotted against each other on graphs.</w:t>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603531" cy="2517103"/>
            <wp:effectExtent l="0" t="0" r="0" b="0"/>
            <wp:docPr id="1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cstate="print"/>
                    <a:srcRect/>
                    <a:stretch>
                      <a:fillRect/>
                    </a:stretch>
                  </pic:blipFill>
                  <pic:spPr bwMode="auto">
                    <a:xfrm>
                      <a:off x="0" y="0"/>
                      <a:ext cx="4617397" cy="2524684"/>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5.1</w:t>
      </w:r>
      <w:r w:rsidR="00654CA1">
        <w:rPr>
          <w:rFonts w:asciiTheme="majorHAnsi" w:hAnsiTheme="majorHAnsi"/>
          <w:b/>
        </w:rPr>
        <w:t>5</w:t>
      </w:r>
      <w:r w:rsidRPr="0013327C">
        <w:rPr>
          <w:rFonts w:asciiTheme="majorHAnsi" w:hAnsiTheme="majorHAnsi"/>
          <w:b/>
        </w:rPr>
        <w:t>.</w:t>
      </w:r>
      <w:proofErr w:type="gramEnd"/>
      <w:r w:rsidRPr="0013327C">
        <w:rPr>
          <w:rFonts w:asciiTheme="majorHAnsi" w:hAnsiTheme="majorHAnsi"/>
          <w:b/>
        </w:rPr>
        <w:t xml:space="preserve"> </w:t>
      </w:r>
      <w:r w:rsidRPr="00654CA1">
        <w:rPr>
          <w:rFonts w:asciiTheme="majorHAnsi" w:hAnsiTheme="majorHAnsi"/>
          <w:b/>
        </w:rPr>
        <w:t>Scatterplots of z-scores of Peroxisome cross-sectional area (blue) and integrated fluorescence intensity (red) plotted against peroxisome count z-score (x-axis).</w:t>
      </w:r>
      <w:r w:rsidRPr="0013327C">
        <w:rPr>
          <w:rFonts w:asciiTheme="majorHAnsi" w:hAnsiTheme="majorHAnsi"/>
        </w:rPr>
        <w:t xml:space="preserve"> Linear lines of fit are given for both the R-squared valued for PINC is 0.0009, for PANC is 0.0019. These suggest that there is a very low correlation between peroxisome count and either of the other two parameters. The two scatterplots are very closely distributed for each individual </w:t>
      </w:r>
      <w:proofErr w:type="gramStart"/>
      <w:r w:rsidRPr="0013327C">
        <w:rPr>
          <w:rFonts w:asciiTheme="majorHAnsi" w:hAnsiTheme="majorHAnsi"/>
        </w:rPr>
        <w:t>value,</w:t>
      </w:r>
      <w:proofErr w:type="gramEnd"/>
      <w:r w:rsidRPr="0013327C">
        <w:rPr>
          <w:rFonts w:asciiTheme="majorHAnsi" w:hAnsiTheme="majorHAnsi"/>
        </w:rPr>
        <w:t xml:space="preserve"> magnitudes for PANC exceed those for PINC in many cases. </w:t>
      </w:r>
    </w:p>
    <w:p w:rsidR="00597427" w:rsidRPr="0013327C" w:rsidRDefault="00597427" w:rsidP="00AE0264">
      <w:pPr>
        <w:jc w:val="both"/>
        <w:rPr>
          <w:rFonts w:asciiTheme="majorHAnsi" w:hAnsiTheme="majorHAnsi"/>
        </w:rPr>
      </w:pPr>
      <w:r w:rsidRPr="0013327C">
        <w:rPr>
          <w:rFonts w:asciiTheme="majorHAnsi" w:hAnsiTheme="majorHAnsi"/>
        </w:rPr>
        <w:t xml:space="preserve">The close positioning of the values of PANC and PINC and PCNC suggest that there may be a close relationship between the two. This is further supported by the similar lines of fit and R-squared values on the same plot. It was investigated to see if the two have a correlation in this assay. </w:t>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823852" cy="4016519"/>
            <wp:effectExtent l="0" t="0" r="0" b="0"/>
            <wp:docPr id="1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srcRect/>
                    <a:stretch>
                      <a:fillRect/>
                    </a:stretch>
                  </pic:blipFill>
                  <pic:spPr bwMode="auto">
                    <a:xfrm>
                      <a:off x="0" y="0"/>
                      <a:ext cx="4829940" cy="4021588"/>
                    </a:xfrm>
                    <a:prstGeom prst="rect">
                      <a:avLst/>
                    </a:prstGeom>
                    <a:noFill/>
                  </pic:spPr>
                </pic:pic>
              </a:graphicData>
            </a:graphic>
          </wp:inline>
        </w:drawing>
      </w:r>
    </w:p>
    <w:p w:rsidR="00597427" w:rsidRPr="0013327C" w:rsidRDefault="00D66985" w:rsidP="00AE0264">
      <w:pPr>
        <w:jc w:val="both"/>
        <w:rPr>
          <w:rFonts w:asciiTheme="majorHAnsi" w:hAnsiTheme="majorHAnsi"/>
        </w:rPr>
      </w:pPr>
      <w:proofErr w:type="gramStart"/>
      <w:r>
        <w:rPr>
          <w:rFonts w:asciiTheme="majorHAnsi" w:hAnsiTheme="majorHAnsi"/>
          <w:b/>
        </w:rPr>
        <w:t>Figure 5.1</w:t>
      </w:r>
      <w:r w:rsidR="00654CA1">
        <w:rPr>
          <w:rFonts w:asciiTheme="majorHAnsi" w:hAnsiTheme="majorHAnsi"/>
          <w:b/>
        </w:rPr>
        <w:t>6</w:t>
      </w:r>
      <w:r w:rsidR="00597427" w:rsidRPr="0013327C">
        <w:rPr>
          <w:rFonts w:asciiTheme="majorHAnsi" w:hAnsiTheme="majorHAnsi"/>
          <w:b/>
        </w:rPr>
        <w:t>.</w:t>
      </w:r>
      <w:proofErr w:type="gramEnd"/>
      <w:r w:rsidR="00597427" w:rsidRPr="0013327C">
        <w:rPr>
          <w:rFonts w:asciiTheme="majorHAnsi" w:hAnsiTheme="majorHAnsi"/>
        </w:rPr>
        <w:t xml:space="preserve"> </w:t>
      </w:r>
      <w:r w:rsidR="00597427" w:rsidRPr="00654CA1">
        <w:rPr>
          <w:rFonts w:asciiTheme="majorHAnsi" w:hAnsiTheme="majorHAnsi"/>
          <w:b/>
        </w:rPr>
        <w:t>Median z-scores of peroxisomal fluorescence integrated intensity per cell plotted against median z-scores of peroxisomal cross-sectional area per cell.</w:t>
      </w:r>
      <w:r w:rsidR="00597427" w:rsidRPr="0013327C">
        <w:rPr>
          <w:rFonts w:asciiTheme="majorHAnsi" w:hAnsiTheme="majorHAnsi"/>
        </w:rPr>
        <w:t xml:space="preserve"> There is a very strong, proportional </w:t>
      </w:r>
      <w:proofErr w:type="gramStart"/>
      <w:r w:rsidR="00597427" w:rsidRPr="0013327C">
        <w:rPr>
          <w:rFonts w:asciiTheme="majorHAnsi" w:hAnsiTheme="majorHAnsi"/>
        </w:rPr>
        <w:t>relationship,</w:t>
      </w:r>
      <w:proofErr w:type="gramEnd"/>
      <w:r w:rsidR="00597427" w:rsidRPr="0013327C">
        <w:rPr>
          <w:rFonts w:asciiTheme="majorHAnsi" w:hAnsiTheme="majorHAnsi"/>
        </w:rPr>
        <w:t xml:space="preserve"> the R-squared value is very high at 0.904 suggesting the correlation between the two datasets is a very strong linear one.</w:t>
      </w:r>
    </w:p>
    <w:p w:rsidR="00597427" w:rsidRPr="0013327C" w:rsidRDefault="00597427" w:rsidP="00AE0264">
      <w:pPr>
        <w:jc w:val="both"/>
        <w:rPr>
          <w:rFonts w:asciiTheme="majorHAnsi" w:hAnsiTheme="majorHAnsi"/>
        </w:rPr>
      </w:pPr>
      <w:r w:rsidRPr="0013327C">
        <w:rPr>
          <w:rFonts w:asciiTheme="majorHAnsi" w:hAnsiTheme="majorHAnsi"/>
        </w:rPr>
        <w:t xml:space="preserve">The outlying data point with </w:t>
      </w:r>
      <w:proofErr w:type="gramStart"/>
      <w:r w:rsidRPr="0013327C">
        <w:rPr>
          <w:rFonts w:asciiTheme="majorHAnsi" w:hAnsiTheme="majorHAnsi"/>
        </w:rPr>
        <w:t>an intensity</w:t>
      </w:r>
      <w:proofErr w:type="gramEnd"/>
      <w:r w:rsidRPr="0013327C">
        <w:rPr>
          <w:rFonts w:asciiTheme="majorHAnsi" w:hAnsiTheme="majorHAnsi"/>
        </w:rPr>
        <w:t xml:space="preserve"> of 9.4 and an area of -1.3 is Gemini. This fits well with its visual presentation. It has few peroxisomes (z-score of -2.9) from which its relatively low peroxisomal area would be derived. These peroxisomes are on average the same size but brighter than WT phenotypes but there </w:t>
      </w:r>
      <w:r w:rsidR="004E5D8D" w:rsidRPr="0013327C">
        <w:rPr>
          <w:rFonts w:asciiTheme="majorHAnsi" w:hAnsiTheme="majorHAnsi"/>
        </w:rPr>
        <w:t>are</w:t>
      </w:r>
      <w:r w:rsidRPr="0013327C">
        <w:rPr>
          <w:rFonts w:asciiTheme="majorHAnsi" w:hAnsiTheme="majorHAnsi"/>
        </w:rPr>
        <w:t xml:space="preserve"> a small proportion of cells in these images that have very bright peroxisomes which are abundant within the cell.</w:t>
      </w:r>
    </w:p>
    <w:p w:rsidR="00597427" w:rsidRPr="0013327C" w:rsidRDefault="00597427" w:rsidP="00AE0264">
      <w:pPr>
        <w:jc w:val="both"/>
        <w:rPr>
          <w:rFonts w:asciiTheme="majorHAnsi" w:hAnsiTheme="majorHAnsi"/>
        </w:rPr>
      </w:pPr>
      <w:r w:rsidRPr="0013327C">
        <w:rPr>
          <w:rFonts w:asciiTheme="majorHAnsi" w:hAnsiTheme="majorHAnsi"/>
        </w:rPr>
        <w:t>The implication of this graph is that as the cross-sectional area of peroxisomes per cell increases, the integrated intensity of the fluorescence increases in the same order. As peroxisomal cross-sectional area is a 2-</w:t>
      </w:r>
      <w:r w:rsidR="004E5D8D" w:rsidRPr="0013327C">
        <w:rPr>
          <w:rFonts w:asciiTheme="majorHAnsi" w:hAnsiTheme="majorHAnsi"/>
        </w:rPr>
        <w:t>dimensional</w:t>
      </w:r>
      <w:r w:rsidRPr="0013327C">
        <w:rPr>
          <w:rFonts w:asciiTheme="majorHAnsi" w:hAnsiTheme="majorHAnsi"/>
        </w:rPr>
        <w:t xml:space="preserve"> measurement, it can therefore be claimed that integrated intensity is also 2-dimensional. A number of conclusions can be drawn from this relationship:</w:t>
      </w:r>
    </w:p>
    <w:p w:rsidR="00597427" w:rsidRPr="0013327C" w:rsidRDefault="00597427" w:rsidP="00AE0264">
      <w:pPr>
        <w:pStyle w:val="ListParagraph"/>
        <w:numPr>
          <w:ilvl w:val="0"/>
          <w:numId w:val="18"/>
        </w:numPr>
        <w:jc w:val="both"/>
        <w:rPr>
          <w:rFonts w:asciiTheme="majorHAnsi" w:hAnsiTheme="majorHAnsi"/>
        </w:rPr>
      </w:pPr>
      <w:r w:rsidRPr="0013327C">
        <w:rPr>
          <w:rFonts w:asciiTheme="majorHAnsi" w:hAnsiTheme="majorHAnsi"/>
        </w:rPr>
        <w:lastRenderedPageBreak/>
        <w:t>On average (per image or well), fluorescence is equal for any given area of a peroxisome whether it comes from a large or small one. This implies equal distribution of fluorescent protein in the matrix.</w:t>
      </w:r>
    </w:p>
    <w:p w:rsidR="00597427" w:rsidRPr="0013327C" w:rsidRDefault="00597427" w:rsidP="00AE0264">
      <w:pPr>
        <w:pStyle w:val="ListParagraph"/>
        <w:numPr>
          <w:ilvl w:val="0"/>
          <w:numId w:val="18"/>
        </w:numPr>
        <w:jc w:val="both"/>
        <w:rPr>
          <w:rFonts w:asciiTheme="majorHAnsi" w:hAnsiTheme="majorHAnsi"/>
        </w:rPr>
      </w:pPr>
      <w:r w:rsidRPr="0013327C">
        <w:rPr>
          <w:rFonts w:asciiTheme="majorHAnsi" w:hAnsiTheme="majorHAnsi"/>
        </w:rPr>
        <w:t>Fluorescence that is not in focus is not measured. One would expect to see a binomial relationship if the fluorescence of the entire peroxisome was measured; this assumes even distribution of fluorescence and spherical peroxisomes.</w:t>
      </w:r>
    </w:p>
    <w:p w:rsidR="00597427" w:rsidRPr="0013327C" w:rsidRDefault="00597427" w:rsidP="00AE0264">
      <w:pPr>
        <w:ind w:left="360"/>
        <w:jc w:val="both"/>
        <w:rPr>
          <w:rFonts w:asciiTheme="majorHAnsi" w:hAnsiTheme="majorHAnsi"/>
        </w:rPr>
      </w:pPr>
    </w:p>
    <w:p w:rsidR="00597427" w:rsidRPr="0013327C" w:rsidRDefault="00597427" w:rsidP="00AE0264">
      <w:pPr>
        <w:jc w:val="both"/>
        <w:rPr>
          <w:rFonts w:asciiTheme="majorHAnsi" w:hAnsiTheme="majorHAnsi"/>
        </w:rPr>
      </w:pPr>
      <w:r w:rsidRPr="0013327C">
        <w:rPr>
          <w:rFonts w:asciiTheme="majorHAnsi" w:hAnsiTheme="majorHAnsi"/>
        </w:rPr>
        <w:t xml:space="preserve">This could mean that when analysing cells of this assay, it may not be necessary to consult both parameters as it can be assumed they will increase proportionally with each other to the mathematical order of 1.  </w:t>
      </w:r>
    </w:p>
    <w:p w:rsidR="00597427" w:rsidRPr="0013327C" w:rsidRDefault="00597427" w:rsidP="00AE0264">
      <w:pPr>
        <w:jc w:val="both"/>
        <w:rPr>
          <w:rFonts w:asciiTheme="majorHAnsi" w:hAnsiTheme="majorHAnsi"/>
        </w:rPr>
      </w:pPr>
      <w:r w:rsidRPr="0013327C">
        <w:rPr>
          <w:rFonts w:asciiTheme="majorHAnsi" w:hAnsiTheme="majorHAnsi"/>
        </w:rPr>
        <w:t>The directly proportional relationship between the two parameters is further supported by looking at a correlation table for the three plates within each parameter.</w:t>
      </w:r>
    </w:p>
    <w:p w:rsidR="00597427" w:rsidRPr="0013327C" w:rsidRDefault="00792A29" w:rsidP="00AE0264">
      <w:pPr>
        <w:jc w:val="both"/>
        <w:rPr>
          <w:rFonts w:asciiTheme="majorHAnsi" w:hAnsiTheme="majorHAnsi"/>
        </w:rPr>
      </w:pPr>
      <w:r>
        <w:rPr>
          <w:rFonts w:asciiTheme="majorHAnsi" w:hAnsiTheme="majorHAnsi"/>
          <w:noProof/>
          <w:lang w:eastAsia="en-GB"/>
        </w:rPr>
        <w:lastRenderedPageBreak/>
        <w:drawing>
          <wp:inline distT="0" distB="0" distL="0" distR="0">
            <wp:extent cx="5669592" cy="6307810"/>
            <wp:effectExtent l="19050" t="0" r="7308" b="0"/>
            <wp:docPr id="2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srcRect/>
                    <a:stretch>
                      <a:fillRect/>
                    </a:stretch>
                  </pic:blipFill>
                  <pic:spPr bwMode="auto">
                    <a:xfrm>
                      <a:off x="0" y="0"/>
                      <a:ext cx="5673775" cy="6312464"/>
                    </a:xfrm>
                    <a:prstGeom prst="rect">
                      <a:avLst/>
                    </a:prstGeom>
                    <a:noFill/>
                  </pic:spPr>
                </pic:pic>
              </a:graphicData>
            </a:graphic>
          </wp:inline>
        </w:drawing>
      </w:r>
    </w:p>
    <w:p w:rsidR="00597427" w:rsidRPr="0013327C" w:rsidRDefault="00654CA1" w:rsidP="00AE0264">
      <w:pPr>
        <w:jc w:val="both"/>
        <w:rPr>
          <w:rFonts w:asciiTheme="majorHAnsi" w:hAnsiTheme="majorHAnsi"/>
        </w:rPr>
      </w:pPr>
      <w:proofErr w:type="gramStart"/>
      <w:r>
        <w:rPr>
          <w:rFonts w:asciiTheme="majorHAnsi" w:hAnsiTheme="majorHAnsi"/>
          <w:b/>
        </w:rPr>
        <w:t>Figure 5.17</w:t>
      </w:r>
      <w:r w:rsidR="00597427" w:rsidRPr="00D66985">
        <w:rPr>
          <w:rFonts w:asciiTheme="majorHAnsi" w:hAnsiTheme="majorHAnsi"/>
          <w:b/>
        </w:rPr>
        <w:t>.</w:t>
      </w:r>
      <w:proofErr w:type="gramEnd"/>
      <w:r w:rsidR="00597427" w:rsidRPr="00D66985">
        <w:rPr>
          <w:rFonts w:asciiTheme="majorHAnsi" w:hAnsiTheme="majorHAnsi"/>
          <w:b/>
        </w:rPr>
        <w:t xml:space="preserve"> Correlation tables for</w:t>
      </w:r>
      <w:r w:rsidR="00D66985" w:rsidRPr="00D66985">
        <w:rPr>
          <w:rFonts w:asciiTheme="majorHAnsi" w:hAnsiTheme="majorHAnsi"/>
          <w:b/>
        </w:rPr>
        <w:t xml:space="preserve"> peroxisome count, area and intensity per cell.</w:t>
      </w:r>
      <w:r w:rsidR="00D66985">
        <w:rPr>
          <w:rFonts w:asciiTheme="majorHAnsi" w:hAnsiTheme="majorHAnsi"/>
        </w:rPr>
        <w:t xml:space="preserve"> </w:t>
      </w:r>
      <w:r w:rsidR="00597427" w:rsidRPr="0013327C">
        <w:rPr>
          <w:rFonts w:asciiTheme="majorHAnsi" w:hAnsiTheme="majorHAnsi"/>
        </w:rPr>
        <w:t xml:space="preserve"> </w:t>
      </w:r>
      <w:r w:rsidR="00D66985">
        <w:rPr>
          <w:rFonts w:asciiTheme="majorHAnsi" w:hAnsiTheme="majorHAnsi"/>
        </w:rPr>
        <w:t>E</w:t>
      </w:r>
      <w:r w:rsidR="00597427" w:rsidRPr="0013327C">
        <w:rPr>
          <w:rFonts w:asciiTheme="majorHAnsi" w:hAnsiTheme="majorHAnsi"/>
        </w:rPr>
        <w:t>ach replica plate</w:t>
      </w:r>
      <w:r w:rsidR="00D66985">
        <w:rPr>
          <w:rFonts w:asciiTheme="majorHAnsi" w:hAnsiTheme="majorHAnsi"/>
        </w:rPr>
        <w:t xml:space="preserve"> is plotted</w:t>
      </w:r>
      <w:r w:rsidR="00597427" w:rsidRPr="0013327C">
        <w:rPr>
          <w:rFonts w:asciiTheme="majorHAnsi" w:hAnsiTheme="majorHAnsi"/>
        </w:rPr>
        <w:t xml:space="preserve"> against the others for each parameter. The colour of each square represents the correlation of a scatter plot of each probe’s z-score matched against one of its replica’s. The colour of the square determines the R-squared score of all probes’ correlated values between the two replica plates. In peroxisome count.cell</w:t>
      </w:r>
      <w:r w:rsidR="00597427" w:rsidRPr="0013327C">
        <w:rPr>
          <w:rFonts w:asciiTheme="majorHAnsi" w:hAnsiTheme="majorHAnsi"/>
          <w:vertAlign w:val="superscript"/>
        </w:rPr>
        <w:t>-1</w:t>
      </w:r>
      <w:r w:rsidR="00597427" w:rsidRPr="0013327C">
        <w:rPr>
          <w:rFonts w:asciiTheme="majorHAnsi" w:hAnsiTheme="majorHAnsi"/>
        </w:rPr>
        <w:t xml:space="preserve"> </w:t>
      </w:r>
      <w:r w:rsidR="00E11B3A">
        <w:rPr>
          <w:rFonts w:asciiTheme="majorHAnsi" w:hAnsiTheme="majorHAnsi"/>
        </w:rPr>
        <w:t>(</w:t>
      </w:r>
      <w:r w:rsidR="00E11B3A" w:rsidRPr="00E11B3A">
        <w:rPr>
          <w:rFonts w:asciiTheme="majorHAnsi" w:hAnsiTheme="majorHAnsi"/>
          <w:b/>
        </w:rPr>
        <w:t>A</w:t>
      </w:r>
      <w:r w:rsidR="00E11B3A">
        <w:rPr>
          <w:rFonts w:asciiTheme="majorHAnsi" w:hAnsiTheme="majorHAnsi"/>
        </w:rPr>
        <w:t xml:space="preserve">) </w:t>
      </w:r>
      <w:r w:rsidR="00597427" w:rsidRPr="00E11B3A">
        <w:rPr>
          <w:rFonts w:asciiTheme="majorHAnsi" w:hAnsiTheme="majorHAnsi"/>
        </w:rPr>
        <w:t>replicates</w:t>
      </w:r>
      <w:r w:rsidR="00597427" w:rsidRPr="0013327C">
        <w:rPr>
          <w:rFonts w:asciiTheme="majorHAnsi" w:hAnsiTheme="majorHAnsi"/>
        </w:rPr>
        <w:t xml:space="preserve"> 1 and 2 correlate the least with a correlation of approx. 0.4. Replicate 3 correlates with both replicates 1 and 2 with a score of approx. 0.6. In both peroxisome area.cell</w:t>
      </w:r>
      <w:r w:rsidR="00597427" w:rsidRPr="0013327C">
        <w:rPr>
          <w:rFonts w:asciiTheme="majorHAnsi" w:hAnsiTheme="majorHAnsi"/>
          <w:vertAlign w:val="superscript"/>
        </w:rPr>
        <w:t>-1</w:t>
      </w:r>
      <w:r w:rsidR="00597427" w:rsidRPr="0013327C">
        <w:rPr>
          <w:rFonts w:asciiTheme="majorHAnsi" w:hAnsiTheme="majorHAnsi"/>
        </w:rPr>
        <w:t xml:space="preserve"> </w:t>
      </w:r>
      <w:r w:rsidR="00E11B3A">
        <w:rPr>
          <w:rFonts w:asciiTheme="majorHAnsi" w:hAnsiTheme="majorHAnsi"/>
        </w:rPr>
        <w:t>(</w:t>
      </w:r>
      <w:r w:rsidR="00E11B3A" w:rsidRPr="00E11B3A">
        <w:rPr>
          <w:rFonts w:asciiTheme="majorHAnsi" w:hAnsiTheme="majorHAnsi"/>
          <w:b/>
        </w:rPr>
        <w:t>B</w:t>
      </w:r>
      <w:r w:rsidR="00E11B3A">
        <w:rPr>
          <w:rFonts w:asciiTheme="majorHAnsi" w:hAnsiTheme="majorHAnsi"/>
        </w:rPr>
        <w:t xml:space="preserve">) </w:t>
      </w:r>
      <w:r w:rsidR="00597427" w:rsidRPr="00E11B3A">
        <w:rPr>
          <w:rFonts w:asciiTheme="majorHAnsi" w:hAnsiTheme="majorHAnsi"/>
        </w:rPr>
        <w:t>and</w:t>
      </w:r>
      <w:r w:rsidR="00597427" w:rsidRPr="0013327C">
        <w:rPr>
          <w:rFonts w:asciiTheme="majorHAnsi" w:hAnsiTheme="majorHAnsi"/>
        </w:rPr>
        <w:t xml:space="preserve"> peroxisome intensity.cell</w:t>
      </w:r>
      <w:r w:rsidR="00597427" w:rsidRPr="0013327C">
        <w:rPr>
          <w:rFonts w:asciiTheme="majorHAnsi" w:hAnsiTheme="majorHAnsi"/>
          <w:vertAlign w:val="superscript"/>
        </w:rPr>
        <w:t>-1</w:t>
      </w:r>
      <w:r w:rsidR="00597427" w:rsidRPr="0013327C">
        <w:rPr>
          <w:rFonts w:asciiTheme="majorHAnsi" w:hAnsiTheme="majorHAnsi"/>
        </w:rPr>
        <w:t xml:space="preserve"> </w:t>
      </w:r>
      <w:r w:rsidR="00E11B3A">
        <w:rPr>
          <w:rFonts w:asciiTheme="majorHAnsi" w:hAnsiTheme="majorHAnsi"/>
        </w:rPr>
        <w:t>(</w:t>
      </w:r>
      <w:r w:rsidR="00E11B3A">
        <w:rPr>
          <w:rFonts w:asciiTheme="majorHAnsi" w:hAnsiTheme="majorHAnsi"/>
          <w:b/>
        </w:rPr>
        <w:t>C</w:t>
      </w:r>
      <w:r w:rsidR="00E11B3A">
        <w:rPr>
          <w:rFonts w:asciiTheme="majorHAnsi" w:hAnsiTheme="majorHAnsi"/>
        </w:rPr>
        <w:t xml:space="preserve">) </w:t>
      </w:r>
      <w:r w:rsidR="00597427" w:rsidRPr="0013327C">
        <w:rPr>
          <w:rFonts w:asciiTheme="majorHAnsi" w:hAnsiTheme="majorHAnsi"/>
        </w:rPr>
        <w:t xml:space="preserve">all replicate plates score approx. 0.6 between each other. </w:t>
      </w:r>
    </w:p>
    <w:p w:rsidR="00597427" w:rsidRPr="0013327C" w:rsidRDefault="00597427" w:rsidP="00AE0264">
      <w:pPr>
        <w:pStyle w:val="Heading2"/>
        <w:jc w:val="both"/>
      </w:pPr>
      <w:bookmarkStart w:id="141" w:name="_Toc348423393"/>
      <w:r w:rsidRPr="0013327C">
        <w:lastRenderedPageBreak/>
        <w:t>Experiment Reproducibility</w:t>
      </w:r>
      <w:bookmarkEnd w:id="141"/>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4836729" cy="3029843"/>
            <wp:effectExtent l="19050" t="0" r="0" b="0"/>
            <wp:docPr id="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srcRect/>
                    <a:stretch>
                      <a:fillRect/>
                    </a:stretch>
                  </pic:blipFill>
                  <pic:spPr bwMode="auto">
                    <a:xfrm>
                      <a:off x="0" y="0"/>
                      <a:ext cx="4838871" cy="3031185"/>
                    </a:xfrm>
                    <a:prstGeom prst="rect">
                      <a:avLst/>
                    </a:prstGeom>
                    <a:noFill/>
                  </pic:spPr>
                </pic:pic>
              </a:graphicData>
            </a:graphic>
          </wp:inline>
        </w:drawing>
      </w:r>
    </w:p>
    <w:p w:rsidR="00597427" w:rsidRPr="0013327C" w:rsidRDefault="00036458" w:rsidP="00AE0264">
      <w:pPr>
        <w:jc w:val="both"/>
        <w:rPr>
          <w:rFonts w:asciiTheme="majorHAnsi" w:hAnsiTheme="majorHAnsi"/>
        </w:rPr>
      </w:pPr>
      <w:proofErr w:type="gramStart"/>
      <w:r>
        <w:rPr>
          <w:rFonts w:asciiTheme="majorHAnsi" w:hAnsiTheme="majorHAnsi"/>
          <w:b/>
        </w:rPr>
        <w:t>Figure 5.18</w:t>
      </w:r>
      <w:r w:rsidR="00597427" w:rsidRPr="0013327C">
        <w:rPr>
          <w:rFonts w:asciiTheme="majorHAnsi" w:hAnsiTheme="majorHAnsi"/>
          <w:b/>
        </w:rPr>
        <w:t>.</w:t>
      </w:r>
      <w:proofErr w:type="gramEnd"/>
      <w:r w:rsidR="00597427" w:rsidRPr="0013327C">
        <w:rPr>
          <w:rFonts w:asciiTheme="majorHAnsi" w:hAnsiTheme="majorHAnsi"/>
          <w:b/>
        </w:rPr>
        <w:t xml:space="preserve"> Reproducibility plots</w:t>
      </w:r>
      <w:r w:rsidR="00D66985">
        <w:rPr>
          <w:rFonts w:asciiTheme="majorHAnsi" w:hAnsiTheme="majorHAnsi"/>
          <w:b/>
        </w:rPr>
        <w:t xml:space="preserve"> per parameter</w:t>
      </w:r>
      <w:r w:rsidR="00597427" w:rsidRPr="0013327C">
        <w:rPr>
          <w:rFonts w:asciiTheme="majorHAnsi" w:hAnsiTheme="majorHAnsi"/>
          <w:b/>
        </w:rPr>
        <w:t xml:space="preserve">. </w:t>
      </w:r>
      <w:proofErr w:type="gramStart"/>
      <w:r w:rsidR="00597427" w:rsidRPr="0013327C">
        <w:rPr>
          <w:rFonts w:asciiTheme="majorHAnsi" w:hAnsiTheme="majorHAnsi"/>
        </w:rPr>
        <w:t>Standard deviations for each sample across the three replicates.</w:t>
      </w:r>
      <w:proofErr w:type="gramEnd"/>
      <w:r w:rsidR="00597427" w:rsidRPr="0013327C">
        <w:rPr>
          <w:rFonts w:asciiTheme="majorHAnsi" w:hAnsiTheme="majorHAnsi"/>
        </w:rPr>
        <w:t xml:space="preserve"> </w:t>
      </w:r>
      <w:r w:rsidR="00597427" w:rsidRPr="0013327C">
        <w:rPr>
          <w:rFonts w:asciiTheme="majorHAnsi" w:hAnsiTheme="majorHAnsi"/>
          <w:b/>
        </w:rPr>
        <w:t>A</w:t>
      </w:r>
      <w:r w:rsidR="00597427" w:rsidRPr="0013327C">
        <w:rPr>
          <w:rFonts w:asciiTheme="majorHAnsi" w:hAnsiTheme="majorHAnsi"/>
        </w:rPr>
        <w:t xml:space="preserve"> is of peroxisome count per cell. </w:t>
      </w:r>
      <w:r w:rsidR="00597427" w:rsidRPr="0013327C">
        <w:rPr>
          <w:rFonts w:asciiTheme="majorHAnsi" w:hAnsiTheme="majorHAnsi"/>
          <w:b/>
        </w:rPr>
        <w:t>B</w:t>
      </w:r>
      <w:r w:rsidR="00597427" w:rsidRPr="0013327C">
        <w:rPr>
          <w:rFonts w:asciiTheme="majorHAnsi" w:hAnsiTheme="majorHAnsi"/>
        </w:rPr>
        <w:t xml:space="preserve"> is of peroxisome area per cell. </w:t>
      </w:r>
      <w:r w:rsidR="00597427" w:rsidRPr="0013327C">
        <w:rPr>
          <w:rFonts w:asciiTheme="majorHAnsi" w:hAnsiTheme="majorHAnsi"/>
          <w:b/>
        </w:rPr>
        <w:t>C</w:t>
      </w:r>
      <w:r w:rsidR="00597427" w:rsidRPr="0013327C">
        <w:rPr>
          <w:rFonts w:asciiTheme="majorHAnsi" w:hAnsiTheme="majorHAnsi"/>
        </w:rPr>
        <w:t xml:space="preserve"> is of peroxisome fluorescent intensity per cell. The darker the red, the higher the standard deviation between replicates for that well. This suggests a low reproducibility.</w:t>
      </w:r>
    </w:p>
    <w:p w:rsidR="00597427" w:rsidRPr="0013327C" w:rsidRDefault="00597427" w:rsidP="00AE0264">
      <w:pPr>
        <w:jc w:val="both"/>
        <w:rPr>
          <w:rFonts w:asciiTheme="majorHAnsi" w:hAnsiTheme="majorHAnsi"/>
        </w:rPr>
      </w:pPr>
      <w:r w:rsidRPr="0013327C">
        <w:rPr>
          <w:rFonts w:asciiTheme="majorHAnsi" w:hAnsiTheme="majorHAnsi"/>
        </w:rPr>
        <w:t>The reproducibility plots show many probes caused high variation between the replicates despite there being some that had low standard deviations. In general the assay looks as though there are many probes which had greatly differing values in their parameters. This may be the result of heterogeneous cell morphologies. If this variation is enough to mask the appearance of aberrant phenotypes then the plates may have produced a large volume of false negatives. If this is true then a better more homogeneous assay would be required in order to allow the appearance of aberrant phenotypes from effective gene KDs.</w:t>
      </w:r>
    </w:p>
    <w:p w:rsidR="00597427" w:rsidRPr="0013327C" w:rsidRDefault="00597427" w:rsidP="00AE0264">
      <w:pPr>
        <w:pStyle w:val="Heading2"/>
        <w:jc w:val="both"/>
      </w:pPr>
      <w:bookmarkStart w:id="142" w:name="_Toc348423394"/>
      <w:r w:rsidRPr="0013327C">
        <w:lastRenderedPageBreak/>
        <w:t>Control evaluation for peroxisome count per cell.</w:t>
      </w:r>
      <w:bookmarkEnd w:id="142"/>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4836729" cy="1796679"/>
            <wp:effectExtent l="19050" t="0" r="1971" b="0"/>
            <wp:docPr id="161" name="Picture 7"/>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138" cstate="print"/>
                    <a:srcRect/>
                    <a:stretch>
                      <a:fillRect/>
                    </a:stretch>
                  </pic:blipFill>
                  <pic:spPr bwMode="auto">
                    <a:xfrm>
                      <a:off x="0" y="0"/>
                      <a:ext cx="4858354" cy="1804712"/>
                    </a:xfrm>
                    <a:prstGeom prst="rect">
                      <a:avLst/>
                    </a:prstGeom>
                    <a:noFill/>
                    <a:ln w="9525">
                      <a:noFill/>
                      <a:miter lim="800000"/>
                      <a:headEnd/>
                      <a:tailEnd/>
                    </a:ln>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5.</w:t>
      </w:r>
      <w:r w:rsidR="00036458">
        <w:rPr>
          <w:rFonts w:asciiTheme="majorHAnsi" w:hAnsiTheme="majorHAnsi"/>
          <w:b/>
        </w:rPr>
        <w:t>19</w:t>
      </w:r>
      <w:r w:rsidRPr="0013327C">
        <w:rPr>
          <w:rFonts w:asciiTheme="majorHAnsi" w:hAnsiTheme="majorHAnsi"/>
          <w:b/>
        </w:rPr>
        <w:t>.</w:t>
      </w:r>
      <w:proofErr w:type="gramEnd"/>
      <w:r w:rsidRPr="0013327C">
        <w:rPr>
          <w:rFonts w:asciiTheme="majorHAnsi" w:hAnsiTheme="majorHAnsi"/>
          <w:b/>
        </w:rPr>
        <w:t xml:space="preserve"> </w:t>
      </w:r>
      <w:r w:rsidR="004E5D8D" w:rsidRPr="0013327C">
        <w:rPr>
          <w:rFonts w:asciiTheme="majorHAnsi" w:hAnsiTheme="majorHAnsi"/>
          <w:b/>
        </w:rPr>
        <w:t xml:space="preserve">Box whisker plots of </w:t>
      </w:r>
      <w:r w:rsidR="004E5D8D">
        <w:rPr>
          <w:rFonts w:asciiTheme="majorHAnsi" w:hAnsiTheme="majorHAnsi"/>
          <w:b/>
        </w:rPr>
        <w:t>Z</w:t>
      </w:r>
      <w:r w:rsidR="004E5D8D" w:rsidRPr="0013327C">
        <w:rPr>
          <w:rFonts w:asciiTheme="majorHAnsi" w:hAnsiTheme="majorHAnsi"/>
          <w:b/>
        </w:rPr>
        <w:t>-scores for peroxisome per cell counts for control probes, including gfp</w:t>
      </w:r>
      <w:r w:rsidR="004E5D8D">
        <w:rPr>
          <w:rFonts w:asciiTheme="majorHAnsi" w:hAnsiTheme="majorHAnsi"/>
          <w:b/>
        </w:rPr>
        <w:t xml:space="preserve"> (GFP)</w:t>
      </w:r>
      <w:r w:rsidR="004E5D8D" w:rsidRPr="0013327C">
        <w:rPr>
          <w:rFonts w:asciiTheme="majorHAnsi" w:hAnsiTheme="majorHAnsi"/>
          <w:b/>
        </w:rPr>
        <w:t xml:space="preserve"> and negative controls, compared to the plate samples. </w:t>
      </w:r>
      <w:r w:rsidR="004E5D8D" w:rsidRPr="0013327C">
        <w:rPr>
          <w:rFonts w:asciiTheme="majorHAnsi" w:hAnsiTheme="majorHAnsi"/>
        </w:rPr>
        <w:t>Boxes</w:t>
      </w:r>
      <w:r w:rsidRPr="0013327C">
        <w:rPr>
          <w:rFonts w:asciiTheme="majorHAnsi" w:hAnsiTheme="majorHAnsi"/>
        </w:rPr>
        <w:t xml:space="preserve"> show 1σ, whiskers show 2σ, the black band is its median. Outlying data are displayed as rings, one per replicate. </w:t>
      </w:r>
      <w:r w:rsidR="008A0332">
        <w:rPr>
          <w:rFonts w:asciiTheme="majorHAnsi" w:hAnsiTheme="majorHAnsi"/>
        </w:rPr>
        <w:t>Each</w:t>
      </w:r>
      <w:r w:rsidRPr="0013327C">
        <w:rPr>
          <w:rFonts w:asciiTheme="majorHAnsi" w:hAnsiTheme="majorHAnsi"/>
        </w:rPr>
        <w:t xml:space="preserve"> control box represent</w:t>
      </w:r>
      <w:r w:rsidR="008A0332">
        <w:rPr>
          <w:rFonts w:asciiTheme="majorHAnsi" w:hAnsiTheme="majorHAnsi"/>
        </w:rPr>
        <w:t>s</w:t>
      </w:r>
      <w:r w:rsidRPr="0013327C">
        <w:rPr>
          <w:rFonts w:asciiTheme="majorHAnsi" w:hAnsiTheme="majorHAnsi"/>
        </w:rPr>
        <w:t xml:space="preserve"> six data points, 2 wells in triplicate. </w:t>
      </w:r>
      <w:r w:rsidR="008A0332">
        <w:rPr>
          <w:rFonts w:asciiTheme="majorHAnsi" w:hAnsiTheme="majorHAnsi"/>
        </w:rPr>
        <w:t>“</w:t>
      </w:r>
      <w:proofErr w:type="gramStart"/>
      <w:r w:rsidR="008A0332">
        <w:rPr>
          <w:rFonts w:asciiTheme="majorHAnsi" w:hAnsiTheme="majorHAnsi"/>
        </w:rPr>
        <w:t>gfp</w:t>
      </w:r>
      <w:proofErr w:type="gramEnd"/>
      <w:r w:rsidR="008A0332">
        <w:rPr>
          <w:rFonts w:asciiTheme="majorHAnsi" w:hAnsiTheme="majorHAnsi"/>
        </w:rPr>
        <w:t xml:space="preserve">” </w:t>
      </w:r>
      <w:r w:rsidR="008F6D45">
        <w:rPr>
          <w:rFonts w:asciiTheme="majorHAnsi" w:hAnsiTheme="majorHAnsi"/>
        </w:rPr>
        <w:t>represents</w:t>
      </w:r>
      <w:r w:rsidR="008A0332">
        <w:rPr>
          <w:rFonts w:asciiTheme="majorHAnsi" w:hAnsiTheme="majorHAnsi"/>
        </w:rPr>
        <w:t xml:space="preserve"> fifteen data points, 5 wells in triplicate. </w:t>
      </w:r>
      <w:r w:rsidR="008F6D45">
        <w:rPr>
          <w:rFonts w:asciiTheme="majorHAnsi" w:hAnsiTheme="majorHAnsi"/>
        </w:rPr>
        <w:t>“</w:t>
      </w:r>
      <w:proofErr w:type="gramStart"/>
      <w:r w:rsidR="008F6D45">
        <w:rPr>
          <w:rFonts w:asciiTheme="majorHAnsi" w:hAnsiTheme="majorHAnsi"/>
        </w:rPr>
        <w:t>neg</w:t>
      </w:r>
      <w:proofErr w:type="gramEnd"/>
      <w:r w:rsidR="008F6D45">
        <w:rPr>
          <w:rFonts w:asciiTheme="majorHAnsi" w:hAnsiTheme="majorHAnsi"/>
        </w:rPr>
        <w:t>” represents 327 data points, 109 in triplicate</w:t>
      </w:r>
      <w:r w:rsidR="006861E6">
        <w:rPr>
          <w:rFonts w:asciiTheme="majorHAnsi" w:hAnsiTheme="majorHAnsi"/>
        </w:rPr>
        <w:t>. “</w:t>
      </w:r>
      <w:proofErr w:type="gramStart"/>
      <w:r w:rsidR="006861E6">
        <w:rPr>
          <w:rFonts w:asciiTheme="majorHAnsi" w:hAnsiTheme="majorHAnsi"/>
        </w:rPr>
        <w:t>sample</w:t>
      </w:r>
      <w:proofErr w:type="gramEnd"/>
      <w:r w:rsidR="006861E6">
        <w:rPr>
          <w:rFonts w:asciiTheme="majorHAnsi" w:hAnsiTheme="majorHAnsi"/>
        </w:rPr>
        <w:t>” represents 825 data points, 275 in triplicate.</w:t>
      </w:r>
      <w:r w:rsidR="008F6D45">
        <w:rPr>
          <w:rFonts w:asciiTheme="majorHAnsi" w:hAnsiTheme="majorHAnsi"/>
        </w:rPr>
        <w:t xml:space="preserve"> </w:t>
      </w:r>
      <w:r w:rsidRPr="0013327C">
        <w:rPr>
          <w:rFonts w:asciiTheme="majorHAnsi" w:hAnsiTheme="majorHAnsi"/>
        </w:rPr>
        <w:t>μ = -0.15, σ = -1.66.</w:t>
      </w:r>
    </w:p>
    <w:p w:rsidR="00597427" w:rsidRPr="0013327C" w:rsidRDefault="00597427" w:rsidP="00AE0264">
      <w:pPr>
        <w:jc w:val="both"/>
        <w:rPr>
          <w:rFonts w:asciiTheme="majorHAnsi" w:hAnsiTheme="majorHAnsi"/>
        </w:rPr>
      </w:pPr>
      <w:r w:rsidRPr="0013327C">
        <w:rPr>
          <w:rFonts w:asciiTheme="majorHAnsi" w:hAnsiTheme="majorHAnsi"/>
        </w:rPr>
        <w:t>The control plot for peroxisome count per cell has shown that the controls have been more effective than the majority of the sample probes at producing z-scores below 2σ. All mean z-scores are below 2 σ (-2.33). The positive and negative controls provided by SRSF have also been highly effective. Negative controls almost entirely occur within 2σ of the sample mean, GFP controls have the highest z-scores of the dataset. Mean z-scores for the controls are given in Figure 5.18.2.</w:t>
      </w:r>
    </w:p>
    <w:p w:rsidR="00346CB5" w:rsidRDefault="00346CB5" w:rsidP="00D66985">
      <w:pPr>
        <w:jc w:val="center"/>
        <w:rPr>
          <w:rFonts w:asciiTheme="majorHAnsi" w:hAnsiTheme="majorHAnsi"/>
        </w:rPr>
      </w:pPr>
    </w:p>
    <w:p w:rsidR="00346CB5" w:rsidRDefault="00346CB5" w:rsidP="00D66985">
      <w:pPr>
        <w:jc w:val="center"/>
        <w:rPr>
          <w:rFonts w:asciiTheme="majorHAnsi" w:hAnsiTheme="majorHAnsi"/>
        </w:rPr>
      </w:pPr>
    </w:p>
    <w:p w:rsidR="00346CB5" w:rsidRDefault="00346CB5" w:rsidP="00D66985">
      <w:pPr>
        <w:jc w:val="center"/>
        <w:rPr>
          <w:rFonts w:asciiTheme="majorHAnsi" w:hAnsiTheme="majorHAnsi"/>
        </w:rPr>
      </w:pPr>
    </w:p>
    <w:p w:rsidR="00597427" w:rsidRPr="0013327C" w:rsidRDefault="00597427" w:rsidP="00D66985">
      <w:pPr>
        <w:jc w:val="center"/>
        <w:rPr>
          <w:rFonts w:asciiTheme="majorHAnsi" w:hAnsiTheme="majorHAnsi"/>
        </w:rPr>
      </w:pPr>
      <w:r w:rsidRPr="0013327C">
        <w:rPr>
          <w:rFonts w:asciiTheme="majorHAnsi" w:hAnsiTheme="majorHAnsi"/>
          <w:noProof/>
          <w:lang w:eastAsia="en-GB"/>
        </w:rPr>
        <w:lastRenderedPageBreak/>
        <w:drawing>
          <wp:inline distT="0" distB="0" distL="0" distR="0">
            <wp:extent cx="1950720" cy="2237740"/>
            <wp:effectExtent l="0" t="0" r="0" b="0"/>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srcRect/>
                    <a:stretch>
                      <a:fillRect/>
                    </a:stretch>
                  </pic:blipFill>
                  <pic:spPr bwMode="auto">
                    <a:xfrm>
                      <a:off x="0" y="0"/>
                      <a:ext cx="1950720" cy="2237740"/>
                    </a:xfrm>
                    <a:prstGeom prst="rect">
                      <a:avLst/>
                    </a:prstGeom>
                    <a:noFill/>
                  </pic:spPr>
                </pic:pic>
              </a:graphicData>
            </a:graphic>
          </wp:inline>
        </w:drawing>
      </w:r>
    </w:p>
    <w:p w:rsidR="00597427" w:rsidRDefault="00B57EFF" w:rsidP="00AE0264">
      <w:pPr>
        <w:jc w:val="both"/>
        <w:rPr>
          <w:rFonts w:asciiTheme="majorHAnsi" w:hAnsiTheme="majorHAnsi"/>
        </w:rPr>
      </w:pPr>
      <w:proofErr w:type="gramStart"/>
      <w:r>
        <w:rPr>
          <w:rFonts w:asciiTheme="majorHAnsi" w:hAnsiTheme="majorHAnsi"/>
          <w:b/>
        </w:rPr>
        <w:t xml:space="preserve">Table </w:t>
      </w:r>
      <w:r w:rsidR="00D66985">
        <w:rPr>
          <w:rFonts w:asciiTheme="majorHAnsi" w:hAnsiTheme="majorHAnsi"/>
          <w:b/>
        </w:rPr>
        <w:t>5.</w:t>
      </w:r>
      <w:r>
        <w:rPr>
          <w:rFonts w:asciiTheme="majorHAnsi" w:hAnsiTheme="majorHAnsi"/>
          <w:b/>
        </w:rPr>
        <w:t>4</w:t>
      </w:r>
      <w:r w:rsidR="00597427" w:rsidRPr="0013327C">
        <w:rPr>
          <w:rFonts w:asciiTheme="majorHAnsi" w:hAnsiTheme="majorHAnsi"/>
          <w:b/>
        </w:rPr>
        <w:t>.</w:t>
      </w:r>
      <w:proofErr w:type="gramEnd"/>
      <w:r w:rsidR="00597427" w:rsidRPr="0013327C">
        <w:rPr>
          <w:rFonts w:asciiTheme="majorHAnsi" w:hAnsiTheme="majorHAnsi"/>
          <w:b/>
        </w:rPr>
        <w:t xml:space="preserve"> Mean z-scores peroxisome count per cell for controls across all replicates.</w:t>
      </w:r>
      <w:r w:rsidR="00346CB5">
        <w:rPr>
          <w:rFonts w:asciiTheme="majorHAnsi" w:hAnsiTheme="majorHAnsi"/>
          <w:b/>
        </w:rPr>
        <w:t xml:space="preserve"> </w:t>
      </w:r>
      <w:proofErr w:type="gramStart"/>
      <w:r w:rsidR="00346CB5">
        <w:rPr>
          <w:rFonts w:asciiTheme="majorHAnsi" w:hAnsiTheme="majorHAnsi"/>
        </w:rPr>
        <w:t>Includes GFP and non-GFP negative controls.</w:t>
      </w:r>
      <w:proofErr w:type="gramEnd"/>
    </w:p>
    <w:p w:rsidR="00346CB5" w:rsidRPr="00346CB5" w:rsidRDefault="00346CB5" w:rsidP="00AE0264">
      <w:pPr>
        <w:jc w:val="both"/>
        <w:rPr>
          <w:rFonts w:asciiTheme="majorHAnsi" w:hAnsiTheme="majorHAnsi"/>
        </w:rPr>
      </w:pPr>
    </w:p>
    <w:p w:rsidR="00597427" w:rsidRPr="0013327C" w:rsidRDefault="00597427" w:rsidP="00346CB5">
      <w:pPr>
        <w:pStyle w:val="Heading2"/>
        <w:jc w:val="both"/>
      </w:pPr>
      <w:bookmarkStart w:id="143" w:name="_Toc348423395"/>
      <w:r w:rsidRPr="0013327C">
        <w:lastRenderedPageBreak/>
        <w:t>Statistical analysis of screen based on peroxisome number per cell</w:t>
      </w:r>
      <w:bookmarkEnd w:id="143"/>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4631777" cy="5013434"/>
            <wp:effectExtent l="19050" t="0" r="0" b="0"/>
            <wp:docPr id="163"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27018" cy="6227018"/>
                      <a:chOff x="971600" y="404664"/>
                      <a:chExt cx="6227018" cy="6227018"/>
                    </a:xfrm>
                  </a:grpSpPr>
                  <a:grpSp>
                    <a:nvGrpSpPr>
                      <a:cNvPr id="72" name="Group 71"/>
                      <a:cNvGrpSpPr/>
                    </a:nvGrpSpPr>
                    <a:grpSpPr>
                      <a:xfrm>
                        <a:off x="971600" y="404664"/>
                        <a:ext cx="6227018" cy="6227018"/>
                        <a:chOff x="971600" y="404664"/>
                        <a:chExt cx="6227018" cy="6227018"/>
                      </a:xfrm>
                    </a:grpSpPr>
                    <a:pic>
                      <a:nvPicPr>
                        <a:cNvPr id="19458" name="Picture 2"/>
                        <a:cNvPicPr>
                          <a:picLocks noChangeAspect="1" noChangeArrowheads="1"/>
                        </a:cNvPicPr>
                      </a:nvPicPr>
                      <a:blipFill>
                        <a:blip r:embed="rId140" cstate="print"/>
                        <a:srcRect/>
                        <a:stretch>
                          <a:fillRect/>
                        </a:stretch>
                      </a:blipFill>
                      <a:spPr bwMode="auto">
                        <a:xfrm>
                          <a:off x="971600" y="404664"/>
                          <a:ext cx="6227018" cy="6227018"/>
                        </a:xfrm>
                        <a:prstGeom prst="rect">
                          <a:avLst/>
                        </a:prstGeom>
                        <a:noFill/>
                        <a:ln w="9525">
                          <a:noFill/>
                          <a:miter lim="800000"/>
                          <a:headEnd/>
                          <a:tailEnd/>
                        </a:ln>
                      </a:spPr>
                    </a:pic>
                    <a:sp>
                      <a:nvSpPr>
                        <a:cNvPr id="3" name="TextBox 2"/>
                        <a:cNvSpPr txBox="1"/>
                      </a:nvSpPr>
                      <a:spPr>
                        <a:xfrm>
                          <a:off x="2843808" y="5589240"/>
                          <a:ext cx="2016224"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Metal response TF: -12.03</a:t>
                            </a:r>
                            <a:endParaRPr lang="en-GB" sz="1200" dirty="0"/>
                          </a:p>
                        </a:txBody>
                        <a:useSpRect/>
                      </a:txSp>
                    </a:sp>
                    <a:cxnSp>
                      <a:nvCxnSpPr>
                        <a:cNvPr id="5" name="Straight Connector 4"/>
                        <a:cNvCxnSpPr>
                          <a:endCxn id="3" idx="1"/>
                        </a:cNvCxnSpPr>
                      </a:nvCxnSpPr>
                      <a:spPr>
                        <a:xfrm>
                          <a:off x="2411760" y="5157192"/>
                          <a:ext cx="432048" cy="570548"/>
                        </a:xfrm>
                        <a:prstGeom prst="line">
                          <a:avLst/>
                        </a:prstGeom>
                      </a:spPr>
                      <a:style>
                        <a:lnRef idx="1">
                          <a:schemeClr val="accent1"/>
                        </a:lnRef>
                        <a:fillRef idx="0">
                          <a:schemeClr val="accent1"/>
                        </a:fillRef>
                        <a:effectRef idx="0">
                          <a:schemeClr val="accent1"/>
                        </a:effectRef>
                        <a:fontRef idx="minor">
                          <a:schemeClr val="tx1"/>
                        </a:fontRef>
                      </a:style>
                    </a:cxnSp>
                    <a:sp>
                      <a:nvSpPr>
                        <a:cNvPr id="6" name="TextBox 5"/>
                        <a:cNvSpPr txBox="1"/>
                      </a:nvSpPr>
                      <a:spPr>
                        <a:xfrm>
                          <a:off x="3059832" y="5373216"/>
                          <a:ext cx="108012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PEX16: -7.70</a:t>
                            </a:r>
                            <a:endParaRPr lang="en-GB" sz="1200" dirty="0"/>
                          </a:p>
                        </a:txBody>
                        <a:useSpRect/>
                      </a:txSp>
                    </a:sp>
                    <a:cxnSp>
                      <a:nvCxnSpPr>
                        <a:cNvPr id="8" name="Straight Connector 7"/>
                        <a:cNvCxnSpPr>
                          <a:endCxn id="6" idx="1"/>
                        </a:cNvCxnSpPr>
                      </a:nvCxnSpPr>
                      <a:spPr>
                        <a:xfrm>
                          <a:off x="2771800" y="3861048"/>
                          <a:ext cx="288032" cy="1650668"/>
                        </a:xfrm>
                        <a:prstGeom prst="line">
                          <a:avLst/>
                        </a:prstGeom>
                      </a:spPr>
                      <a:style>
                        <a:lnRef idx="1">
                          <a:schemeClr val="accent1"/>
                        </a:lnRef>
                        <a:fillRef idx="0">
                          <a:schemeClr val="accent1"/>
                        </a:fillRef>
                        <a:effectRef idx="0">
                          <a:schemeClr val="accent1"/>
                        </a:effectRef>
                        <a:fontRef idx="minor">
                          <a:schemeClr val="tx1"/>
                        </a:fontRef>
                      </a:style>
                    </a:cxnSp>
                    <a:sp>
                      <a:nvSpPr>
                        <a:cNvPr id="9" name="TextBox 8"/>
                        <a:cNvSpPr txBox="1"/>
                      </a:nvSpPr>
                      <a:spPr>
                        <a:xfrm>
                          <a:off x="3275856" y="5157192"/>
                          <a:ext cx="1512168"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nmd</a:t>
                            </a:r>
                            <a:r>
                              <a:rPr lang="en-GB" sz="1200" dirty="0" smtClean="0"/>
                              <a:t>: -7.22</a:t>
                            </a:r>
                            <a:endParaRPr lang="en-GB" sz="1200" dirty="0"/>
                          </a:p>
                        </a:txBody>
                        <a:useSpRect/>
                      </a:txSp>
                    </a:sp>
                    <a:cxnSp>
                      <a:nvCxnSpPr>
                        <a:cNvPr id="11" name="Straight Connector 10"/>
                        <a:cNvCxnSpPr>
                          <a:endCxn id="9" idx="1"/>
                        </a:cNvCxnSpPr>
                      </a:nvCxnSpPr>
                      <a:spPr>
                        <a:xfrm>
                          <a:off x="2843808" y="3717032"/>
                          <a:ext cx="432048" cy="1578660"/>
                        </a:xfrm>
                        <a:prstGeom prst="line">
                          <a:avLst/>
                        </a:prstGeom>
                      </a:spPr>
                      <a:style>
                        <a:lnRef idx="1">
                          <a:schemeClr val="accent1"/>
                        </a:lnRef>
                        <a:fillRef idx="0">
                          <a:schemeClr val="accent1"/>
                        </a:fillRef>
                        <a:effectRef idx="0">
                          <a:schemeClr val="accent1"/>
                        </a:effectRef>
                        <a:fontRef idx="minor">
                          <a:schemeClr val="tx1"/>
                        </a:fontRef>
                      </a:style>
                    </a:cxnSp>
                    <a:cxnSp>
                      <a:nvCxnSpPr>
                        <a:cNvPr id="13" name="Straight Connector 12"/>
                        <a:cNvCxnSpPr>
                          <a:endCxn id="14" idx="1"/>
                        </a:cNvCxnSpPr>
                      </a:nvCxnSpPr>
                      <a:spPr>
                        <a:xfrm>
                          <a:off x="2915816" y="3573016"/>
                          <a:ext cx="576064" cy="1506652"/>
                        </a:xfrm>
                        <a:prstGeom prst="line">
                          <a:avLst/>
                        </a:prstGeom>
                      </a:spPr>
                      <a:style>
                        <a:lnRef idx="1">
                          <a:schemeClr val="accent1"/>
                        </a:lnRef>
                        <a:fillRef idx="0">
                          <a:schemeClr val="accent1"/>
                        </a:fillRef>
                        <a:effectRef idx="0">
                          <a:schemeClr val="accent1"/>
                        </a:effectRef>
                        <a:fontRef idx="minor">
                          <a:schemeClr val="tx1"/>
                        </a:fontRef>
                      </a:style>
                    </a:cxnSp>
                    <a:sp>
                      <a:nvSpPr>
                        <a:cNvPr id="14" name="TextBox 13"/>
                        <a:cNvSpPr txBox="1"/>
                      </a:nvSpPr>
                      <a:spPr>
                        <a:xfrm>
                          <a:off x="3491880" y="4941168"/>
                          <a:ext cx="86409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sqh</a:t>
                            </a:r>
                            <a:r>
                              <a:rPr lang="en-GB" sz="1200" dirty="0" smtClean="0"/>
                              <a:t>: -5.52</a:t>
                            </a:r>
                            <a:endParaRPr lang="en-GB" sz="1200" dirty="0"/>
                          </a:p>
                        </a:txBody>
                        <a:useSpRect/>
                      </a:txSp>
                    </a:sp>
                    <a:cxnSp>
                      <a:nvCxnSpPr>
                        <a:cNvPr id="19" name="Straight Connector 18"/>
                        <a:cNvCxnSpPr>
                          <a:endCxn id="20" idx="1"/>
                        </a:cNvCxnSpPr>
                      </a:nvCxnSpPr>
                      <a:spPr>
                        <a:xfrm>
                          <a:off x="2915816" y="3356992"/>
                          <a:ext cx="720080" cy="1506652"/>
                        </a:xfrm>
                        <a:prstGeom prst="line">
                          <a:avLst/>
                        </a:prstGeom>
                      </a:spPr>
                      <a:style>
                        <a:lnRef idx="1">
                          <a:schemeClr val="accent1"/>
                        </a:lnRef>
                        <a:fillRef idx="0">
                          <a:schemeClr val="accent1"/>
                        </a:fillRef>
                        <a:effectRef idx="0">
                          <a:schemeClr val="accent1"/>
                        </a:effectRef>
                        <a:fontRef idx="minor">
                          <a:schemeClr val="tx1"/>
                        </a:fontRef>
                      </a:style>
                    </a:cxnSp>
                    <a:sp>
                      <a:nvSpPr>
                        <a:cNvPr id="20" name="TextBox 19"/>
                        <a:cNvSpPr txBox="1"/>
                      </a:nvSpPr>
                      <a:spPr>
                        <a:xfrm>
                          <a:off x="3635896" y="4725144"/>
                          <a:ext cx="936104"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PEX3: -5.06</a:t>
                            </a:r>
                            <a:endParaRPr lang="en-GB" sz="1200" dirty="0"/>
                          </a:p>
                        </a:txBody>
                        <a:useSpRect/>
                      </a:txSp>
                    </a:sp>
                    <a:sp>
                      <a:nvSpPr>
                        <a:cNvPr id="22" name="TextBox 21"/>
                        <a:cNvSpPr txBox="1"/>
                      </a:nvSpPr>
                      <a:spPr>
                        <a:xfrm>
                          <a:off x="3851920" y="4509120"/>
                          <a:ext cx="1656184"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sqh</a:t>
                            </a:r>
                            <a:r>
                              <a:rPr lang="en-GB" sz="1200" dirty="0" smtClean="0"/>
                              <a:t>: -4.91</a:t>
                            </a:r>
                            <a:endParaRPr lang="en-GB" dirty="0"/>
                          </a:p>
                        </a:txBody>
                        <a:useSpRect/>
                      </a:txSp>
                    </a:sp>
                    <a:cxnSp>
                      <a:nvCxnSpPr>
                        <a:cNvPr id="24" name="Straight Connector 23"/>
                        <a:cNvCxnSpPr>
                          <a:endCxn id="22" idx="1"/>
                        </a:cNvCxnSpPr>
                      </a:nvCxnSpPr>
                      <a:spPr>
                        <a:xfrm>
                          <a:off x="2915816" y="2996952"/>
                          <a:ext cx="936104" cy="1650668"/>
                        </a:xfrm>
                        <a:prstGeom prst="line">
                          <a:avLst/>
                        </a:prstGeom>
                      </a:spPr>
                      <a:style>
                        <a:lnRef idx="1">
                          <a:schemeClr val="accent1"/>
                        </a:lnRef>
                        <a:fillRef idx="0">
                          <a:schemeClr val="accent1"/>
                        </a:fillRef>
                        <a:effectRef idx="0">
                          <a:schemeClr val="accent1"/>
                        </a:effectRef>
                        <a:fontRef idx="minor">
                          <a:schemeClr val="tx1"/>
                        </a:fontRef>
                      </a:style>
                    </a:cxnSp>
                    <a:sp>
                      <a:nvSpPr>
                        <a:cNvPr id="25" name="TextBox 24"/>
                        <a:cNvSpPr txBox="1"/>
                      </a:nvSpPr>
                      <a:spPr>
                        <a:xfrm>
                          <a:off x="3995936" y="4376137"/>
                          <a:ext cx="158417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PEX13: -4.56</a:t>
                            </a:r>
                            <a:endParaRPr lang="en-GB" sz="1200" dirty="0"/>
                          </a:p>
                        </a:txBody>
                        <a:useSpRect/>
                      </a:txSp>
                    </a:sp>
                    <a:cxnSp>
                      <a:nvCxnSpPr>
                        <a:cNvPr id="27" name="Straight Connector 26"/>
                        <a:cNvCxnSpPr>
                          <a:endCxn id="25" idx="1"/>
                        </a:cNvCxnSpPr>
                      </a:nvCxnSpPr>
                      <a:spPr>
                        <a:xfrm>
                          <a:off x="2987824" y="2924944"/>
                          <a:ext cx="1008112" cy="1589693"/>
                        </a:xfrm>
                        <a:prstGeom prst="line">
                          <a:avLst/>
                        </a:prstGeom>
                      </a:spPr>
                      <a:style>
                        <a:lnRef idx="1">
                          <a:schemeClr val="accent1"/>
                        </a:lnRef>
                        <a:fillRef idx="0">
                          <a:schemeClr val="accent1"/>
                        </a:fillRef>
                        <a:effectRef idx="0">
                          <a:schemeClr val="accent1"/>
                        </a:effectRef>
                        <a:fontRef idx="minor">
                          <a:schemeClr val="tx1"/>
                        </a:fontRef>
                      </a:style>
                    </a:cxnSp>
                    <a:sp>
                      <a:nvSpPr>
                        <a:cNvPr id="28" name="TextBox 27"/>
                        <a:cNvSpPr txBox="1"/>
                      </a:nvSpPr>
                      <a:spPr>
                        <a:xfrm>
                          <a:off x="4139952" y="4221088"/>
                          <a:ext cx="1152128"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CG1109: -4.07</a:t>
                            </a:r>
                            <a:endParaRPr lang="en-GB" sz="1200" dirty="0"/>
                          </a:p>
                        </a:txBody>
                        <a:useSpRect/>
                      </a:txSp>
                    </a:sp>
                    <a:cxnSp>
                      <a:nvCxnSpPr>
                        <a:cNvPr id="30" name="Straight Connector 29"/>
                        <a:cNvCxnSpPr>
                          <a:endCxn id="28" idx="1"/>
                        </a:cNvCxnSpPr>
                      </a:nvCxnSpPr>
                      <a:spPr>
                        <a:xfrm>
                          <a:off x="3059832" y="2708920"/>
                          <a:ext cx="1080120" cy="1650668"/>
                        </a:xfrm>
                        <a:prstGeom prst="line">
                          <a:avLst/>
                        </a:prstGeom>
                      </a:spPr>
                      <a:style>
                        <a:lnRef idx="1">
                          <a:schemeClr val="accent1"/>
                        </a:lnRef>
                        <a:fillRef idx="0">
                          <a:schemeClr val="accent1"/>
                        </a:fillRef>
                        <a:effectRef idx="0">
                          <a:schemeClr val="accent1"/>
                        </a:effectRef>
                        <a:fontRef idx="minor">
                          <a:schemeClr val="tx1"/>
                        </a:fontRef>
                      </a:style>
                    </a:cxnSp>
                    <a:sp>
                      <a:nvSpPr>
                        <a:cNvPr id="31" name="TextBox 30"/>
                        <a:cNvSpPr txBox="1"/>
                      </a:nvSpPr>
                      <a:spPr>
                        <a:xfrm>
                          <a:off x="4355976" y="4005064"/>
                          <a:ext cx="1512168"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Tango11</a:t>
                            </a:r>
                            <a:r>
                              <a:rPr lang="en-GB" sz="1200" dirty="0" smtClean="0"/>
                              <a:t>: -3.55</a:t>
                            </a:r>
                            <a:endParaRPr lang="en-GB" sz="1200" dirty="0"/>
                          </a:p>
                        </a:txBody>
                        <a:useSpRect/>
                      </a:txSp>
                    </a:sp>
                    <a:cxnSp>
                      <a:nvCxnSpPr>
                        <a:cNvPr id="33" name="Straight Connector 32"/>
                        <a:cNvCxnSpPr>
                          <a:stCxn id="31" idx="1"/>
                        </a:cNvCxnSpPr>
                      </a:nvCxnSpPr>
                      <a:spPr>
                        <a:xfrm flipH="1" flipV="1">
                          <a:off x="3059832" y="2708921"/>
                          <a:ext cx="1296144" cy="1434643"/>
                        </a:xfrm>
                        <a:prstGeom prst="line">
                          <a:avLst/>
                        </a:prstGeom>
                      </a:spPr>
                      <a:style>
                        <a:lnRef idx="1">
                          <a:schemeClr val="accent1"/>
                        </a:lnRef>
                        <a:fillRef idx="0">
                          <a:schemeClr val="accent1"/>
                        </a:fillRef>
                        <a:effectRef idx="0">
                          <a:schemeClr val="accent1"/>
                        </a:effectRef>
                        <a:fontRef idx="minor">
                          <a:schemeClr val="tx1"/>
                        </a:fontRef>
                      </a:style>
                    </a:cxnSp>
                    <a:sp>
                      <a:nvSpPr>
                        <a:cNvPr id="34" name="TextBox 33"/>
                        <a:cNvSpPr txBox="1"/>
                      </a:nvSpPr>
                      <a:spPr>
                        <a:xfrm>
                          <a:off x="4572000" y="3872081"/>
                          <a:ext cx="1152128"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Moleskin: -3.45</a:t>
                            </a:r>
                            <a:endParaRPr lang="en-GB" sz="1200" dirty="0"/>
                          </a:p>
                        </a:txBody>
                        <a:useSpRect/>
                      </a:txSp>
                    </a:sp>
                    <a:cxnSp>
                      <a:nvCxnSpPr>
                        <a:cNvPr id="37" name="Straight Connector 36"/>
                        <a:cNvCxnSpPr/>
                      </a:nvCxnSpPr>
                      <a:spPr>
                        <a:xfrm flipH="1" flipV="1">
                          <a:off x="3131840" y="2636912"/>
                          <a:ext cx="1440160" cy="1368152"/>
                        </a:xfrm>
                        <a:prstGeom prst="line">
                          <a:avLst/>
                        </a:prstGeom>
                      </a:spPr>
                      <a:style>
                        <a:lnRef idx="1">
                          <a:schemeClr val="accent1"/>
                        </a:lnRef>
                        <a:fillRef idx="0">
                          <a:schemeClr val="accent1"/>
                        </a:fillRef>
                        <a:effectRef idx="0">
                          <a:schemeClr val="accent1"/>
                        </a:effectRef>
                        <a:fontRef idx="minor">
                          <a:schemeClr val="tx1"/>
                        </a:fontRef>
                      </a:style>
                    </a:cxnSp>
                    <a:sp>
                      <a:nvSpPr>
                        <a:cNvPr id="38" name="TextBox 37"/>
                        <a:cNvSpPr txBox="1"/>
                      </a:nvSpPr>
                      <a:spPr>
                        <a:xfrm>
                          <a:off x="4788024" y="3717032"/>
                          <a:ext cx="158417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Atlastin</a:t>
                            </a:r>
                            <a:r>
                              <a:rPr lang="en-GB" sz="1200" dirty="0" smtClean="0"/>
                              <a:t>: -3.28</a:t>
                            </a:r>
                            <a:endParaRPr lang="en-GB" sz="1200" dirty="0"/>
                          </a:p>
                        </a:txBody>
                        <a:useSpRect/>
                      </a:txSp>
                    </a:sp>
                    <a:cxnSp>
                      <a:nvCxnSpPr>
                        <a:cNvPr id="40" name="Straight Connector 39"/>
                        <a:cNvCxnSpPr>
                          <a:endCxn id="38" idx="1"/>
                        </a:cNvCxnSpPr>
                      </a:nvCxnSpPr>
                      <a:spPr>
                        <a:xfrm>
                          <a:off x="3203848" y="2636912"/>
                          <a:ext cx="1584176" cy="1218620"/>
                        </a:xfrm>
                        <a:prstGeom prst="line">
                          <a:avLst/>
                        </a:prstGeom>
                      </a:spPr>
                      <a:style>
                        <a:lnRef idx="1">
                          <a:schemeClr val="accent1"/>
                        </a:lnRef>
                        <a:fillRef idx="0">
                          <a:schemeClr val="accent1"/>
                        </a:fillRef>
                        <a:effectRef idx="0">
                          <a:schemeClr val="accent1"/>
                        </a:effectRef>
                        <a:fontRef idx="minor">
                          <a:schemeClr val="tx1"/>
                        </a:fontRef>
                      </a:style>
                    </a:cxnSp>
                    <a:sp>
                      <a:nvSpPr>
                        <a:cNvPr id="41" name="TextBox 40"/>
                        <a:cNvSpPr txBox="1"/>
                      </a:nvSpPr>
                      <a:spPr>
                        <a:xfrm>
                          <a:off x="5004048" y="3573016"/>
                          <a:ext cx="1368152"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archipelago -3.08</a:t>
                            </a:r>
                            <a:endParaRPr lang="en-GB" sz="1200" dirty="0"/>
                          </a:p>
                        </a:txBody>
                        <a:useSpRect/>
                      </a:txSp>
                    </a:sp>
                    <a:cxnSp>
                      <a:nvCxnSpPr>
                        <a:cNvPr id="43" name="Straight Connector 42"/>
                        <a:cNvCxnSpPr>
                          <a:endCxn id="41" idx="1"/>
                        </a:cNvCxnSpPr>
                      </a:nvCxnSpPr>
                      <a:spPr>
                        <a:xfrm>
                          <a:off x="3203848" y="2564904"/>
                          <a:ext cx="1800200" cy="1146612"/>
                        </a:xfrm>
                        <a:prstGeom prst="line">
                          <a:avLst/>
                        </a:prstGeom>
                      </a:spPr>
                      <a:style>
                        <a:lnRef idx="1">
                          <a:schemeClr val="accent1"/>
                        </a:lnRef>
                        <a:fillRef idx="0">
                          <a:schemeClr val="accent1"/>
                        </a:fillRef>
                        <a:effectRef idx="0">
                          <a:schemeClr val="accent1"/>
                        </a:effectRef>
                        <a:fontRef idx="minor">
                          <a:schemeClr val="tx1"/>
                        </a:fontRef>
                      </a:style>
                    </a:cxnSp>
                    <a:cxnSp>
                      <a:nvCxnSpPr>
                        <a:cNvPr id="45" name="Straight Connector 44"/>
                        <a:cNvCxnSpPr>
                          <a:endCxn id="46" idx="1"/>
                        </a:cNvCxnSpPr>
                      </a:nvCxnSpPr>
                      <a:spPr>
                        <a:xfrm>
                          <a:off x="3275856" y="2564904"/>
                          <a:ext cx="1872208" cy="930588"/>
                        </a:xfrm>
                        <a:prstGeom prst="line">
                          <a:avLst/>
                        </a:prstGeom>
                      </a:spPr>
                      <a:style>
                        <a:lnRef idx="1">
                          <a:schemeClr val="accent1"/>
                        </a:lnRef>
                        <a:fillRef idx="0">
                          <a:schemeClr val="accent1"/>
                        </a:fillRef>
                        <a:effectRef idx="0">
                          <a:schemeClr val="accent1"/>
                        </a:effectRef>
                        <a:fontRef idx="minor">
                          <a:schemeClr val="tx1"/>
                        </a:fontRef>
                      </a:style>
                    </a:cxnSp>
                    <a:sp>
                      <a:nvSpPr>
                        <a:cNvPr id="46" name="TextBox 45"/>
                        <a:cNvSpPr txBox="1"/>
                      </a:nvSpPr>
                      <a:spPr>
                        <a:xfrm>
                          <a:off x="5148064" y="3356992"/>
                          <a:ext cx="108012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gemini</a:t>
                            </a:r>
                            <a:r>
                              <a:rPr lang="en-GB" sz="1200" dirty="0" smtClean="0"/>
                              <a:t>: -2.94</a:t>
                            </a:r>
                            <a:endParaRPr lang="en-GB" sz="1200" dirty="0"/>
                          </a:p>
                        </a:txBody>
                        <a:useSpRect/>
                      </a:txSp>
                    </a:sp>
                    <a:sp>
                      <a:nvSpPr>
                        <a:cNvPr id="50" name="TextBox 49"/>
                        <a:cNvSpPr txBox="1"/>
                      </a:nvSpPr>
                      <a:spPr>
                        <a:xfrm>
                          <a:off x="5364088" y="3212976"/>
                          <a:ext cx="108012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Drp1</a:t>
                            </a:r>
                            <a:r>
                              <a:rPr lang="en-GB" sz="1200" dirty="0" smtClean="0"/>
                              <a:t>: -2.90</a:t>
                            </a:r>
                            <a:endParaRPr lang="en-GB" sz="1200" dirty="0"/>
                          </a:p>
                        </a:txBody>
                        <a:useSpRect/>
                      </a:txSp>
                    </a:sp>
                    <a:cxnSp>
                      <a:nvCxnSpPr>
                        <a:cNvPr id="52" name="Straight Connector 51"/>
                        <a:cNvCxnSpPr>
                          <a:endCxn id="50" idx="1"/>
                        </a:cNvCxnSpPr>
                      </a:nvCxnSpPr>
                      <a:spPr>
                        <a:xfrm>
                          <a:off x="3275856" y="2492896"/>
                          <a:ext cx="2088232" cy="858580"/>
                        </a:xfrm>
                        <a:prstGeom prst="line">
                          <a:avLst/>
                        </a:prstGeom>
                      </a:spPr>
                      <a:style>
                        <a:lnRef idx="1">
                          <a:schemeClr val="accent1"/>
                        </a:lnRef>
                        <a:fillRef idx="0">
                          <a:schemeClr val="accent1"/>
                        </a:fillRef>
                        <a:effectRef idx="0">
                          <a:schemeClr val="accent1"/>
                        </a:effectRef>
                        <a:fontRef idx="minor">
                          <a:schemeClr val="tx1"/>
                        </a:fontRef>
                      </a:style>
                    </a:cxnSp>
                    <a:sp>
                      <a:nvSpPr>
                        <a:cNvPr id="53" name="TextBox 52"/>
                        <a:cNvSpPr txBox="1"/>
                      </a:nvSpPr>
                      <a:spPr>
                        <a:xfrm>
                          <a:off x="5436096" y="3068960"/>
                          <a:ext cx="158417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Trithorax</a:t>
                            </a:r>
                            <a:r>
                              <a:rPr lang="en-GB" sz="1200" dirty="0" smtClean="0"/>
                              <a:t>-related-2.72</a:t>
                            </a:r>
                            <a:endParaRPr lang="en-GB" sz="1200" dirty="0"/>
                          </a:p>
                        </a:txBody>
                        <a:useSpRect/>
                      </a:txSp>
                    </a:sp>
                    <a:cxnSp>
                      <a:nvCxnSpPr>
                        <a:cNvPr id="55" name="Straight Connector 54"/>
                        <a:cNvCxnSpPr>
                          <a:endCxn id="53" idx="1"/>
                        </a:cNvCxnSpPr>
                      </a:nvCxnSpPr>
                      <a:spPr>
                        <a:xfrm>
                          <a:off x="3275856" y="2420888"/>
                          <a:ext cx="2160240" cy="786572"/>
                        </a:xfrm>
                        <a:prstGeom prst="line">
                          <a:avLst/>
                        </a:prstGeom>
                      </a:spPr>
                      <a:style>
                        <a:lnRef idx="1">
                          <a:schemeClr val="accent1"/>
                        </a:lnRef>
                        <a:fillRef idx="0">
                          <a:schemeClr val="accent1"/>
                        </a:fillRef>
                        <a:effectRef idx="0">
                          <a:schemeClr val="accent1"/>
                        </a:effectRef>
                        <a:fontRef idx="minor">
                          <a:schemeClr val="tx1"/>
                        </a:fontRef>
                      </a:style>
                    </a:cxnSp>
                    <a:sp>
                      <a:nvSpPr>
                        <a:cNvPr id="56" name="TextBox 55"/>
                        <a:cNvSpPr txBox="1"/>
                      </a:nvSpPr>
                      <a:spPr>
                        <a:xfrm>
                          <a:off x="5724128" y="2924944"/>
                          <a:ext cx="108012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PEX1: -2.53</a:t>
                            </a:r>
                            <a:endParaRPr lang="en-GB" sz="1200" dirty="0"/>
                          </a:p>
                        </a:txBody>
                        <a:useSpRect/>
                      </a:txSp>
                    </a:sp>
                    <a:cxnSp>
                      <a:nvCxnSpPr>
                        <a:cNvPr id="58" name="Straight Connector 57"/>
                        <a:cNvCxnSpPr>
                          <a:stCxn id="56" idx="1"/>
                        </a:cNvCxnSpPr>
                      </a:nvCxnSpPr>
                      <a:spPr>
                        <a:xfrm flipH="1" flipV="1">
                          <a:off x="3347864" y="2420888"/>
                          <a:ext cx="2376264" cy="642556"/>
                        </a:xfrm>
                        <a:prstGeom prst="line">
                          <a:avLst/>
                        </a:prstGeom>
                      </a:spPr>
                      <a:style>
                        <a:lnRef idx="1">
                          <a:schemeClr val="accent1"/>
                        </a:lnRef>
                        <a:fillRef idx="0">
                          <a:schemeClr val="accent1"/>
                        </a:fillRef>
                        <a:effectRef idx="0">
                          <a:schemeClr val="accent1"/>
                        </a:effectRef>
                        <a:fontRef idx="minor">
                          <a:schemeClr val="tx1"/>
                        </a:fontRef>
                      </a:style>
                    </a:cxnSp>
                    <a:sp>
                      <a:nvSpPr>
                        <a:cNvPr id="59" name="TextBox 58"/>
                        <a:cNvSpPr txBox="1"/>
                      </a:nvSpPr>
                      <a:spPr>
                        <a:xfrm>
                          <a:off x="5868144" y="2780928"/>
                          <a:ext cx="108012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err="1" smtClean="0"/>
                              <a:t>Ephexin</a:t>
                            </a:r>
                            <a:r>
                              <a:rPr lang="en-GB" sz="1200" dirty="0" smtClean="0"/>
                              <a:t>: -2.40</a:t>
                            </a:r>
                            <a:endParaRPr lang="en-GB" sz="1200" dirty="0"/>
                          </a:p>
                        </a:txBody>
                        <a:useSpRect/>
                      </a:txSp>
                    </a:sp>
                    <a:cxnSp>
                      <a:nvCxnSpPr>
                        <a:cNvPr id="61" name="Straight Connector 60"/>
                        <a:cNvCxnSpPr>
                          <a:endCxn id="59" idx="1"/>
                        </a:cNvCxnSpPr>
                      </a:nvCxnSpPr>
                      <a:spPr>
                        <a:xfrm>
                          <a:off x="3347864" y="2348880"/>
                          <a:ext cx="2520280" cy="570548"/>
                        </a:xfrm>
                        <a:prstGeom prst="line">
                          <a:avLst/>
                        </a:prstGeom>
                      </a:spPr>
                      <a:style>
                        <a:lnRef idx="1">
                          <a:schemeClr val="accent1"/>
                        </a:lnRef>
                        <a:fillRef idx="0">
                          <a:schemeClr val="accent1"/>
                        </a:fillRef>
                        <a:effectRef idx="0">
                          <a:schemeClr val="accent1"/>
                        </a:effectRef>
                        <a:fontRef idx="minor">
                          <a:schemeClr val="tx1"/>
                        </a:fontRef>
                      </a:style>
                    </a:cxnSp>
                    <a:cxnSp>
                      <a:nvCxnSpPr>
                        <a:cNvPr id="63" name="Straight Connector 62"/>
                        <a:cNvCxnSpPr>
                          <a:endCxn id="64" idx="1"/>
                        </a:cNvCxnSpPr>
                      </a:nvCxnSpPr>
                      <a:spPr>
                        <a:xfrm>
                          <a:off x="3419872" y="2276872"/>
                          <a:ext cx="2520280" cy="498540"/>
                        </a:xfrm>
                        <a:prstGeom prst="line">
                          <a:avLst/>
                        </a:prstGeom>
                      </a:spPr>
                      <a:style>
                        <a:lnRef idx="1">
                          <a:schemeClr val="accent1"/>
                        </a:lnRef>
                        <a:fillRef idx="0">
                          <a:schemeClr val="accent1"/>
                        </a:fillRef>
                        <a:effectRef idx="0">
                          <a:schemeClr val="accent1"/>
                        </a:effectRef>
                        <a:fontRef idx="minor">
                          <a:schemeClr val="tx1"/>
                        </a:fontRef>
                      </a:style>
                    </a:cxnSp>
                    <a:sp>
                      <a:nvSpPr>
                        <a:cNvPr id="64" name="TextBox 63"/>
                        <a:cNvSpPr txBox="1"/>
                      </a:nvSpPr>
                      <a:spPr>
                        <a:xfrm>
                          <a:off x="5940152" y="2636912"/>
                          <a:ext cx="1008112"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Lola: -2.09</a:t>
                            </a:r>
                            <a:endParaRPr lang="en-GB" sz="1200" dirty="0"/>
                          </a:p>
                        </a:txBody>
                        <a:useSpRect/>
                      </a:txSp>
                    </a:sp>
                    <a:sp>
                      <a:nvSpPr>
                        <a:cNvPr id="66" name="TextBox 65"/>
                        <a:cNvSpPr txBox="1"/>
                      </a:nvSpPr>
                      <a:spPr>
                        <a:xfrm>
                          <a:off x="5940152" y="2492896"/>
                          <a:ext cx="122413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chickadee: -2.08</a:t>
                            </a:r>
                            <a:endParaRPr lang="en-GB" sz="1200" dirty="0"/>
                          </a:p>
                        </a:txBody>
                        <a:useSpRect/>
                      </a:txSp>
                    </a:sp>
                    <a:cxnSp>
                      <a:nvCxnSpPr>
                        <a:cNvPr id="68" name="Straight Connector 67"/>
                        <a:cNvCxnSpPr>
                          <a:stCxn id="66" idx="1"/>
                        </a:cNvCxnSpPr>
                      </a:nvCxnSpPr>
                      <a:spPr>
                        <a:xfrm flipH="1" flipV="1">
                          <a:off x="3419872" y="2204865"/>
                          <a:ext cx="2520280" cy="426531"/>
                        </a:xfrm>
                        <a:prstGeom prst="line">
                          <a:avLst/>
                        </a:prstGeom>
                      </a:spPr>
                      <a:style>
                        <a:lnRef idx="1">
                          <a:schemeClr val="accent1"/>
                        </a:lnRef>
                        <a:fillRef idx="0">
                          <a:schemeClr val="accent1"/>
                        </a:fillRef>
                        <a:effectRef idx="0">
                          <a:schemeClr val="accent1"/>
                        </a:effectRef>
                        <a:fontRef idx="minor">
                          <a:schemeClr val="tx1"/>
                        </a:fontRef>
                      </a:style>
                    </a:cxnSp>
                    <a:cxnSp>
                      <a:nvCxnSpPr>
                        <a:cNvPr id="70" name="Straight Connector 69"/>
                        <a:cNvCxnSpPr/>
                      </a:nvCxnSpPr>
                      <a:spPr>
                        <a:xfrm>
                          <a:off x="1691680" y="2204864"/>
                          <a:ext cx="5400600" cy="0"/>
                        </a:xfrm>
                        <a:prstGeom prst="line">
                          <a:avLst/>
                        </a:prstGeom>
                        <a:ln w="12700">
                          <a:solidFill>
                            <a:srgbClr val="FF0000"/>
                          </a:solidFill>
                        </a:ln>
                      </a:spPr>
                      <a:style>
                        <a:lnRef idx="1">
                          <a:schemeClr val="accent1"/>
                        </a:lnRef>
                        <a:fillRef idx="0">
                          <a:schemeClr val="accent1"/>
                        </a:fillRef>
                        <a:effectRef idx="0">
                          <a:schemeClr val="accent1"/>
                        </a:effectRef>
                        <a:fontRef idx="minor">
                          <a:schemeClr val="tx1"/>
                        </a:fontRef>
                      </a:style>
                    </a:cxnSp>
                    <a:sp>
                      <a:nvSpPr>
                        <a:cNvPr id="71" name="TextBox 70"/>
                        <a:cNvSpPr txBox="1"/>
                      </a:nvSpPr>
                      <a:spPr>
                        <a:xfrm rot="16200000">
                          <a:off x="1305509" y="2014971"/>
                          <a:ext cx="360040"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b="1" dirty="0" smtClean="0">
                                <a:solidFill>
                                  <a:srgbClr val="FF0000"/>
                                </a:solidFill>
                              </a:rPr>
                              <a:t>-2</a:t>
                            </a:r>
                            <a:endParaRPr lang="en-GB" sz="1400" b="1" dirty="0">
                              <a:solidFill>
                                <a:srgbClr val="FF0000"/>
                              </a:solidFill>
                            </a:endParaRPr>
                          </a:p>
                        </a:txBody>
                        <a:useSpRect/>
                      </a:txSp>
                    </a:sp>
                  </a:grpSp>
                </lc:lockedCanvas>
              </a:graphicData>
            </a:graphic>
          </wp:inline>
        </w:drawing>
      </w:r>
      <w:r w:rsidRPr="0013327C">
        <w:rPr>
          <w:rFonts w:asciiTheme="majorHAnsi" w:hAnsiTheme="majorHAnsi"/>
        </w:rPr>
        <w:t xml:space="preserve"> </w:t>
      </w:r>
    </w:p>
    <w:p w:rsidR="00597427" w:rsidRPr="0013327C" w:rsidRDefault="00C179B3" w:rsidP="00AE0264">
      <w:pPr>
        <w:jc w:val="both"/>
        <w:rPr>
          <w:rFonts w:asciiTheme="majorHAnsi" w:hAnsiTheme="majorHAnsi"/>
        </w:rPr>
      </w:pPr>
      <w:proofErr w:type="gramStart"/>
      <w:r>
        <w:rPr>
          <w:rFonts w:asciiTheme="majorHAnsi" w:hAnsiTheme="majorHAnsi"/>
          <w:b/>
        </w:rPr>
        <w:t>Figure 5.2</w:t>
      </w:r>
      <w:r w:rsidR="00F0444A">
        <w:rPr>
          <w:rFonts w:asciiTheme="majorHAnsi" w:hAnsiTheme="majorHAnsi"/>
          <w:b/>
        </w:rPr>
        <w:t>0</w:t>
      </w:r>
      <w:r w:rsidR="00597427" w:rsidRPr="00C179B3">
        <w:rPr>
          <w:rFonts w:asciiTheme="majorHAnsi" w:hAnsiTheme="majorHAnsi"/>
          <w:b/>
        </w:rPr>
        <w:t>.</w:t>
      </w:r>
      <w:proofErr w:type="gramEnd"/>
      <w:r w:rsidR="00597427" w:rsidRPr="00C179B3">
        <w:rPr>
          <w:rFonts w:asciiTheme="majorHAnsi" w:hAnsiTheme="majorHAnsi"/>
          <w:b/>
        </w:rPr>
        <w:t xml:space="preserve"> </w:t>
      </w:r>
      <w:proofErr w:type="gramStart"/>
      <w:r w:rsidR="00597427" w:rsidRPr="00C179B3">
        <w:rPr>
          <w:rFonts w:asciiTheme="majorHAnsi" w:hAnsiTheme="majorHAnsi"/>
          <w:b/>
        </w:rPr>
        <w:t>A Q-Q plot of the median z-scores for peroxisome count per cell for samples and negative controls in the secondary screen.</w:t>
      </w:r>
      <w:proofErr w:type="gramEnd"/>
      <w:r w:rsidR="00597427" w:rsidRPr="00C179B3">
        <w:rPr>
          <w:rFonts w:asciiTheme="majorHAnsi" w:hAnsiTheme="majorHAnsi"/>
          <w:b/>
        </w:rPr>
        <w:t xml:space="preserve"> </w:t>
      </w:r>
      <w:r w:rsidR="00597427" w:rsidRPr="0013327C">
        <w:rPr>
          <w:rFonts w:asciiTheme="majorHAnsi" w:hAnsiTheme="majorHAnsi"/>
        </w:rPr>
        <w:t>Sample probes are denoted with black rings, negative controls with blue rings. The gene KDs with z-scores less than -2 are shown pointing to their datapoint.</w:t>
      </w:r>
    </w:p>
    <w:p w:rsidR="00597427" w:rsidRPr="0013327C" w:rsidRDefault="00597427" w:rsidP="00AE0264">
      <w:pPr>
        <w:jc w:val="both"/>
        <w:rPr>
          <w:rFonts w:asciiTheme="majorHAnsi" w:hAnsiTheme="majorHAnsi"/>
        </w:rPr>
      </w:pPr>
      <w:proofErr w:type="gramStart"/>
      <w:r w:rsidRPr="0013327C">
        <w:rPr>
          <w:rFonts w:asciiTheme="majorHAnsi" w:hAnsiTheme="majorHAnsi"/>
        </w:rPr>
        <w:t>As with the previous two screens the secondary screen would be analysed statistically based on the number of peroxisomes per cell.</w:t>
      </w:r>
      <w:proofErr w:type="gramEnd"/>
      <w:r w:rsidRPr="0013327C">
        <w:rPr>
          <w:rFonts w:asciiTheme="majorHAnsi" w:hAnsiTheme="majorHAnsi"/>
        </w:rPr>
        <w:t xml:space="preserve"> In previous screens data were normalised within each plate and then across all the plates before z-scores were taken. The same was done for this dataset but z-scores were calculated for each probe within its plate. A median was then taken of the triplicate of values for that probe across the three plates. This reduces the impact of uneven distribution and variance within a small population (triplicate of probes) which would have such a large effect on </w:t>
      </w:r>
      <w:r w:rsidRPr="0013327C">
        <w:rPr>
          <w:rFonts w:asciiTheme="majorHAnsi" w:hAnsiTheme="majorHAnsi"/>
        </w:rPr>
        <w:lastRenderedPageBreak/>
        <w:t xml:space="preserve">determining the mean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"ISBN" : "1-4051-0243-8", "author" : [ { "dropping-particle" : "", "family" : "Dytham", "given" : "Calvin", "non-dropping-particle" : "", "parse-names" : false, "suffix" : "" } ], "edition" : "2nd", "id" : "ITEM-1", "issued" : { "date-parts" : [ [ "2003" ] ] }, "page" : "7-22", "publisher" : "Blackwell Publishing", "title" : "Choosing and Using Statistics - A Biologist's Guide", "type" : "book" }, "uris" : [ "http://www.mendeley.com/documents/?uuid=096b77a3-4183-40d9-8ba3-f6cb0cf60f9b" ] } ], "mendeley" : { "previouslyFormattedCitation" : "(Dytham 2003)" }, "properties" : { "noteIndex" : 0 }, "schema" : "https://github.com/citation-style-language/schema/raw/master/csl-citation.json" }</w:instrText>
      </w:r>
      <w:r w:rsidR="009A1FEC" w:rsidRPr="0013327C">
        <w:rPr>
          <w:rFonts w:asciiTheme="majorHAnsi" w:hAnsiTheme="majorHAnsi"/>
        </w:rPr>
        <w:fldChar w:fldCharType="separate"/>
      </w:r>
      <w:r w:rsidR="00E5134C" w:rsidRPr="00E5134C">
        <w:rPr>
          <w:rFonts w:asciiTheme="majorHAnsi" w:hAnsiTheme="majorHAnsi"/>
          <w:noProof/>
        </w:rPr>
        <w:t>(Dytham 2003)</w:t>
      </w:r>
      <w:r w:rsidR="009A1FEC" w:rsidRPr="0013327C">
        <w:rPr>
          <w:rFonts w:asciiTheme="majorHAnsi" w:hAnsiTheme="majorHAnsi"/>
        </w:rPr>
        <w:fldChar w:fldCharType="end"/>
      </w:r>
      <w:r w:rsidRPr="0013327C">
        <w:rPr>
          <w:rFonts w:asciiTheme="majorHAnsi" w:hAnsiTheme="majorHAnsi"/>
        </w:rPr>
        <w:t xml:space="preserve">. </w:t>
      </w:r>
      <w:proofErr w:type="gramStart"/>
      <w:r w:rsidRPr="0013327C">
        <w:rPr>
          <w:rFonts w:asciiTheme="majorHAnsi" w:hAnsiTheme="majorHAnsi"/>
        </w:rPr>
        <w:t>Table 5.</w:t>
      </w:r>
      <w:r w:rsidR="00097993">
        <w:rPr>
          <w:rFonts w:asciiTheme="majorHAnsi" w:hAnsiTheme="majorHAnsi"/>
        </w:rPr>
        <w:t>25</w:t>
      </w:r>
      <w:r w:rsidRPr="0013327C">
        <w:rPr>
          <w:rFonts w:asciiTheme="majorHAnsi" w:hAnsiTheme="majorHAnsi"/>
        </w:rPr>
        <w:t>.</w:t>
      </w:r>
      <w:proofErr w:type="gramEnd"/>
      <w:r w:rsidRPr="0013327C">
        <w:rPr>
          <w:rFonts w:asciiTheme="majorHAnsi" w:hAnsiTheme="majorHAnsi"/>
        </w:rPr>
        <w:t xml:space="preserve"> </w:t>
      </w:r>
      <w:proofErr w:type="gramStart"/>
      <w:r w:rsidRPr="0013327C">
        <w:rPr>
          <w:rFonts w:asciiTheme="majorHAnsi" w:hAnsiTheme="majorHAnsi"/>
        </w:rPr>
        <w:t>shows</w:t>
      </w:r>
      <w:proofErr w:type="gramEnd"/>
      <w:r w:rsidRPr="0013327C">
        <w:rPr>
          <w:rFonts w:asciiTheme="majorHAnsi" w:hAnsiTheme="majorHAnsi"/>
        </w:rPr>
        <w:t xml:space="preserve"> which probes were among the outliers of this distribution of median z-scores.</w:t>
      </w:r>
    </w:p>
    <w:p w:rsidR="00597427" w:rsidRPr="0013327C" w:rsidRDefault="00597427" w:rsidP="00AE0264">
      <w:pPr>
        <w:jc w:val="both"/>
        <w:rPr>
          <w:rFonts w:asciiTheme="majorHAnsi" w:hAnsiTheme="majorHAnsi"/>
        </w:rPr>
      </w:pPr>
      <w:r w:rsidRPr="0013327C">
        <w:rPr>
          <w:rFonts w:asciiTheme="majorHAnsi" w:hAnsiTheme="majorHAnsi"/>
          <w:b/>
          <w:noProof/>
          <w:lang w:eastAsia="en-GB"/>
        </w:rPr>
        <w:drawing>
          <wp:inline distT="0" distB="0" distL="0" distR="0">
            <wp:extent cx="5064149" cy="4222165"/>
            <wp:effectExtent l="0" t="0" r="3151" b="0"/>
            <wp:docPr id="1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srcRect/>
                    <a:stretch>
                      <a:fillRect/>
                    </a:stretch>
                  </pic:blipFill>
                  <pic:spPr bwMode="auto">
                    <a:xfrm>
                      <a:off x="0" y="0"/>
                      <a:ext cx="5062450" cy="4220748"/>
                    </a:xfrm>
                    <a:prstGeom prst="rect">
                      <a:avLst/>
                    </a:prstGeom>
                    <a:noFill/>
                  </pic:spPr>
                </pic:pic>
              </a:graphicData>
            </a:graphic>
          </wp:inline>
        </w:drawing>
      </w:r>
      <w:proofErr w:type="gramStart"/>
      <w:r w:rsidR="00C179B3">
        <w:rPr>
          <w:rFonts w:asciiTheme="majorHAnsi" w:hAnsiTheme="majorHAnsi"/>
          <w:b/>
        </w:rPr>
        <w:t>Table 5.</w:t>
      </w:r>
      <w:r w:rsidR="00B57EFF">
        <w:rPr>
          <w:rFonts w:asciiTheme="majorHAnsi" w:hAnsiTheme="majorHAnsi"/>
          <w:b/>
        </w:rPr>
        <w:t>5</w:t>
      </w:r>
      <w:r w:rsidRPr="0013327C">
        <w:rPr>
          <w:rFonts w:asciiTheme="majorHAnsi" w:hAnsiTheme="majorHAnsi"/>
          <w:b/>
        </w:rPr>
        <w:t>.</w:t>
      </w:r>
      <w:proofErr w:type="gramEnd"/>
      <w:r w:rsidRPr="0013327C">
        <w:rPr>
          <w:rFonts w:asciiTheme="majorHAnsi" w:hAnsiTheme="majorHAnsi"/>
          <w:b/>
        </w:rPr>
        <w:t xml:space="preserve"> </w:t>
      </w:r>
      <w:proofErr w:type="gramStart"/>
      <w:r w:rsidRPr="00C179B3">
        <w:rPr>
          <w:rFonts w:asciiTheme="majorHAnsi" w:hAnsiTheme="majorHAnsi"/>
          <w:b/>
        </w:rPr>
        <w:t xml:space="preserve">A list of the probes with the highest and lowest </w:t>
      </w:r>
      <w:r w:rsidR="00C179B3" w:rsidRPr="00C179B3">
        <w:rPr>
          <w:rFonts w:asciiTheme="majorHAnsi" w:hAnsiTheme="majorHAnsi"/>
          <w:b/>
        </w:rPr>
        <w:t xml:space="preserve">median </w:t>
      </w:r>
      <w:r w:rsidRPr="00C179B3">
        <w:rPr>
          <w:rFonts w:asciiTheme="majorHAnsi" w:hAnsiTheme="majorHAnsi"/>
          <w:b/>
        </w:rPr>
        <w:t>z-scores for peroxisome count per cell.</w:t>
      </w:r>
      <w:proofErr w:type="gramEnd"/>
      <w:r w:rsidRPr="00C179B3">
        <w:rPr>
          <w:rFonts w:asciiTheme="majorHAnsi" w:hAnsiTheme="majorHAnsi"/>
          <w:b/>
        </w:rPr>
        <w:t xml:space="preserve"> </w:t>
      </w:r>
      <w:r w:rsidRPr="0013327C">
        <w:rPr>
          <w:rFonts w:asciiTheme="majorHAnsi" w:hAnsiTheme="majorHAnsi"/>
        </w:rPr>
        <w:t xml:space="preserve">Peroxisome per cell count was converted to a replicate z-score and a median was taken of these, displayed in the first column. The plate locations, Gene Identifiers (target gene), names and codes for the targeted genes are also given. Genes that were </w:t>
      </w:r>
      <w:r w:rsidRPr="0013327C">
        <w:rPr>
          <w:rFonts w:asciiTheme="majorHAnsi" w:hAnsiTheme="majorHAnsi"/>
          <w:b/>
        </w:rPr>
        <w:t xml:space="preserve">both </w:t>
      </w:r>
      <w:r w:rsidRPr="0013327C">
        <w:rPr>
          <w:rFonts w:asciiTheme="majorHAnsi" w:hAnsiTheme="majorHAnsi"/>
        </w:rPr>
        <w:t xml:space="preserve">statistically significant </w:t>
      </w:r>
      <w:r w:rsidRPr="0013327C">
        <w:rPr>
          <w:rFonts w:asciiTheme="majorHAnsi" w:hAnsiTheme="majorHAnsi"/>
          <w:b/>
        </w:rPr>
        <w:t>and</w:t>
      </w:r>
      <w:r w:rsidRPr="0013327C">
        <w:rPr>
          <w:rFonts w:asciiTheme="majorHAnsi" w:hAnsiTheme="majorHAnsi"/>
        </w:rPr>
        <w:t xml:space="preserve"> visually aberrant in Screen 2 are confirmed. Genes which were visually aberrant from the WT in the visual secondary screen have the number of plates counted in the final column.</w:t>
      </w:r>
    </w:p>
    <w:p w:rsidR="00AB46DA" w:rsidRDefault="00C179B3" w:rsidP="00AB46DA">
      <w:pPr>
        <w:jc w:val="center"/>
        <w:rPr>
          <w:rFonts w:asciiTheme="majorHAnsi" w:hAnsiTheme="majorHAnsi"/>
          <w:b/>
        </w:rPr>
      </w:pPr>
      <w:r>
        <w:rPr>
          <w:rFonts w:asciiTheme="majorHAnsi" w:hAnsiTheme="majorHAnsi"/>
          <w:b/>
          <w:noProof/>
          <w:lang w:eastAsia="en-GB"/>
        </w:rPr>
        <w:lastRenderedPageBreak/>
        <w:drawing>
          <wp:inline distT="0" distB="0" distL="0" distR="0">
            <wp:extent cx="5188381" cy="4097348"/>
            <wp:effectExtent l="19050" t="0" r="0" b="0"/>
            <wp:docPr id="2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cstate="print"/>
                    <a:srcRect/>
                    <a:stretch>
                      <a:fillRect/>
                    </a:stretch>
                  </pic:blipFill>
                  <pic:spPr bwMode="auto">
                    <a:xfrm>
                      <a:off x="0" y="0"/>
                      <a:ext cx="5196236" cy="4103551"/>
                    </a:xfrm>
                    <a:prstGeom prst="rect">
                      <a:avLst/>
                    </a:prstGeom>
                    <a:noFill/>
                  </pic:spPr>
                </pic:pic>
              </a:graphicData>
            </a:graphic>
          </wp:inline>
        </w:drawing>
      </w:r>
    </w:p>
    <w:p w:rsidR="00597427" w:rsidRDefault="00C179B3" w:rsidP="00AB46DA">
      <w:pPr>
        <w:jc w:val="both"/>
        <w:rPr>
          <w:rFonts w:asciiTheme="majorHAnsi" w:hAnsiTheme="majorHAnsi"/>
        </w:rPr>
      </w:pPr>
      <w:proofErr w:type="gramStart"/>
      <w:r w:rsidRPr="00AB46DA">
        <w:rPr>
          <w:rFonts w:asciiTheme="majorHAnsi" w:hAnsiTheme="majorHAnsi"/>
          <w:b/>
        </w:rPr>
        <w:t>Figure 5.</w:t>
      </w:r>
      <w:r w:rsidR="00F0444A">
        <w:rPr>
          <w:rFonts w:asciiTheme="majorHAnsi" w:hAnsiTheme="majorHAnsi"/>
          <w:b/>
        </w:rPr>
        <w:t>21</w:t>
      </w:r>
      <w:r w:rsidR="00597427" w:rsidRPr="00AB46DA">
        <w:rPr>
          <w:rFonts w:asciiTheme="majorHAnsi" w:hAnsiTheme="majorHAnsi"/>
          <w:b/>
        </w:rPr>
        <w:t>.</w:t>
      </w:r>
      <w:proofErr w:type="gramEnd"/>
      <w:r w:rsidR="00597427" w:rsidRPr="00AB46DA">
        <w:rPr>
          <w:rFonts w:asciiTheme="majorHAnsi" w:hAnsiTheme="majorHAnsi"/>
          <w:b/>
        </w:rPr>
        <w:t xml:space="preserve"> </w:t>
      </w:r>
      <w:r w:rsidR="00AB46DA" w:rsidRPr="00AB46DA">
        <w:rPr>
          <w:rFonts w:asciiTheme="majorHAnsi" w:hAnsiTheme="majorHAnsi"/>
          <w:b/>
        </w:rPr>
        <w:t>I</w:t>
      </w:r>
      <w:r w:rsidRPr="00AB46DA">
        <w:rPr>
          <w:rFonts w:asciiTheme="majorHAnsi" w:hAnsiTheme="majorHAnsi"/>
          <w:b/>
        </w:rPr>
        <w:t xml:space="preserve">mages of </w:t>
      </w:r>
      <w:r w:rsidR="00AB46DA" w:rsidRPr="00AB46DA">
        <w:rPr>
          <w:rFonts w:asciiTheme="majorHAnsi" w:hAnsiTheme="majorHAnsi"/>
          <w:b/>
        </w:rPr>
        <w:t xml:space="preserve">the </w:t>
      </w:r>
      <w:r w:rsidRPr="00AB46DA">
        <w:rPr>
          <w:rFonts w:asciiTheme="majorHAnsi" w:hAnsiTheme="majorHAnsi"/>
          <w:b/>
        </w:rPr>
        <w:t>9 t</w:t>
      </w:r>
      <w:r w:rsidR="00AB46DA" w:rsidRPr="00AB46DA">
        <w:rPr>
          <w:rFonts w:asciiTheme="majorHAnsi" w:hAnsiTheme="majorHAnsi"/>
          <w:b/>
        </w:rPr>
        <w:t>op</w:t>
      </w:r>
      <w:r w:rsidRPr="00AB46DA">
        <w:rPr>
          <w:rFonts w:asciiTheme="majorHAnsi" w:hAnsiTheme="majorHAnsi"/>
          <w:b/>
        </w:rPr>
        <w:t xml:space="preserve"> z-scores of </w:t>
      </w:r>
      <w:r w:rsidR="00AB46DA" w:rsidRPr="00AB46DA">
        <w:rPr>
          <w:rFonts w:asciiTheme="majorHAnsi" w:hAnsiTheme="majorHAnsi"/>
          <w:b/>
        </w:rPr>
        <w:t xml:space="preserve">KDs of </w:t>
      </w:r>
      <w:r w:rsidRPr="00AB46DA">
        <w:rPr>
          <w:rFonts w:asciiTheme="majorHAnsi" w:hAnsiTheme="majorHAnsi"/>
          <w:b/>
        </w:rPr>
        <w:t>peroxisome count per cell</w:t>
      </w:r>
      <w:r w:rsidR="00AB46DA" w:rsidRPr="00AB46DA">
        <w:rPr>
          <w:rFonts w:asciiTheme="majorHAnsi" w:hAnsiTheme="majorHAnsi"/>
          <w:b/>
        </w:rPr>
        <w:t xml:space="preserve">. Statistical outliers </w:t>
      </w:r>
      <w:r w:rsidR="00F0444A">
        <w:rPr>
          <w:rFonts w:asciiTheme="majorHAnsi" w:hAnsiTheme="majorHAnsi"/>
          <w:b/>
        </w:rPr>
        <w:t xml:space="preserve">- </w:t>
      </w:r>
      <w:r w:rsidR="00AB46DA" w:rsidRPr="00AB46DA">
        <w:rPr>
          <w:rFonts w:asciiTheme="majorHAnsi" w:hAnsiTheme="majorHAnsi"/>
          <w:b/>
        </w:rPr>
        <w:t>A</w:t>
      </w:r>
      <w:r w:rsidR="00AB46DA">
        <w:rPr>
          <w:rFonts w:asciiTheme="majorHAnsi" w:hAnsiTheme="majorHAnsi"/>
        </w:rPr>
        <w:t xml:space="preserve">. </w:t>
      </w:r>
      <w:r w:rsidR="00597427" w:rsidRPr="0013327C">
        <w:rPr>
          <w:rFonts w:asciiTheme="majorHAnsi" w:hAnsiTheme="majorHAnsi"/>
        </w:rPr>
        <w:t xml:space="preserve">S2R+ cells stably transfected with </w:t>
      </w:r>
      <w:r w:rsidR="004E5D8D" w:rsidRPr="0013327C">
        <w:rPr>
          <w:rFonts w:asciiTheme="majorHAnsi" w:hAnsiTheme="majorHAnsi"/>
        </w:rPr>
        <w:t>pMt</w:t>
      </w:r>
      <w:r w:rsidR="00597427" w:rsidRPr="0013327C">
        <w:rPr>
          <w:rFonts w:asciiTheme="majorHAnsi" w:hAnsiTheme="majorHAnsi"/>
        </w:rPr>
        <w:t>-eGFP-PTS1 were grown for 5 days and then induced for 24hrs with 50µM CuSO</w:t>
      </w:r>
      <w:r w:rsidR="00597427" w:rsidRPr="0013327C">
        <w:rPr>
          <w:rFonts w:asciiTheme="majorHAnsi" w:hAnsiTheme="majorHAnsi"/>
          <w:vertAlign w:val="subscript"/>
        </w:rPr>
        <w:t>4</w:t>
      </w:r>
      <w:r w:rsidR="00597427" w:rsidRPr="0013327C">
        <w:rPr>
          <w:rFonts w:asciiTheme="majorHAnsi" w:hAnsiTheme="majorHAnsi"/>
        </w:rPr>
        <w:t xml:space="preserve"> before fixation and imaging. Gene KDs using long dsRNA are shown against the 9 probes with the lowest z-scores. These were MTF-1, </w:t>
      </w:r>
      <w:r w:rsidR="000C26B2" w:rsidRPr="000C26B2">
        <w:rPr>
          <w:rFonts w:asciiTheme="majorHAnsi" w:hAnsiTheme="majorHAnsi"/>
          <w:i/>
        </w:rPr>
        <w:t>PEX</w:t>
      </w:r>
      <w:r w:rsidR="00597427" w:rsidRPr="0013327C">
        <w:rPr>
          <w:rFonts w:asciiTheme="majorHAnsi" w:hAnsiTheme="majorHAnsi"/>
        </w:rPr>
        <w:t xml:space="preserve">16, nmd, sqh (2), </w:t>
      </w:r>
      <w:r w:rsidR="000C26B2" w:rsidRPr="000C26B2">
        <w:rPr>
          <w:rFonts w:asciiTheme="majorHAnsi" w:hAnsiTheme="majorHAnsi"/>
          <w:i/>
        </w:rPr>
        <w:t>PEX</w:t>
      </w:r>
      <w:r w:rsidR="00597427" w:rsidRPr="0013327C">
        <w:rPr>
          <w:rFonts w:asciiTheme="majorHAnsi" w:hAnsiTheme="majorHAnsi"/>
        </w:rPr>
        <w:t xml:space="preserve">3, </w:t>
      </w:r>
      <w:r w:rsidR="000C26B2" w:rsidRPr="000C26B2">
        <w:rPr>
          <w:rFonts w:asciiTheme="majorHAnsi" w:hAnsiTheme="majorHAnsi"/>
          <w:i/>
        </w:rPr>
        <w:t>PEX</w:t>
      </w:r>
      <w:r w:rsidR="00597427" w:rsidRPr="0013327C">
        <w:rPr>
          <w:rFonts w:asciiTheme="majorHAnsi" w:hAnsiTheme="majorHAnsi"/>
        </w:rPr>
        <w:t>13, CG1109, and Tango11. Bar = 20 µm.</w:t>
      </w:r>
    </w:p>
    <w:p w:rsidR="00097993" w:rsidRPr="0013327C" w:rsidRDefault="00097993" w:rsidP="00AB46DA">
      <w:pPr>
        <w:jc w:val="both"/>
        <w:rPr>
          <w:rFonts w:asciiTheme="majorHAnsi" w:hAnsiTheme="majorHAnsi"/>
        </w:rPr>
      </w:pPr>
    </w:p>
    <w:p w:rsidR="00597427" w:rsidRPr="0013327C" w:rsidRDefault="00AB46DA" w:rsidP="00AE0264">
      <w:pPr>
        <w:jc w:val="both"/>
        <w:rPr>
          <w:rFonts w:asciiTheme="majorHAnsi" w:hAnsiTheme="majorHAnsi"/>
        </w:rPr>
      </w:pPr>
      <w:r>
        <w:rPr>
          <w:rFonts w:asciiTheme="majorHAnsi" w:hAnsiTheme="majorHAnsi"/>
          <w:b/>
          <w:noProof/>
          <w:lang w:eastAsia="en-GB"/>
        </w:rPr>
        <w:lastRenderedPageBreak/>
        <w:drawing>
          <wp:inline distT="0" distB="0" distL="0" distR="0">
            <wp:extent cx="5102990" cy="2786332"/>
            <wp:effectExtent l="19050" t="0" r="2410" b="0"/>
            <wp:docPr id="2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cstate="print"/>
                    <a:srcRect/>
                    <a:stretch>
                      <a:fillRect/>
                    </a:stretch>
                  </pic:blipFill>
                  <pic:spPr bwMode="auto">
                    <a:xfrm>
                      <a:off x="0" y="0"/>
                      <a:ext cx="5108192" cy="2789172"/>
                    </a:xfrm>
                    <a:prstGeom prst="rect">
                      <a:avLst/>
                    </a:prstGeom>
                    <a:noFill/>
                  </pic:spPr>
                </pic:pic>
              </a:graphicData>
            </a:graphic>
          </wp:inline>
        </w:drawing>
      </w:r>
      <w:r w:rsidR="00597427" w:rsidRPr="0013327C">
        <w:rPr>
          <w:rFonts w:asciiTheme="majorHAnsi" w:hAnsiTheme="majorHAnsi"/>
          <w:b/>
        </w:rPr>
        <w:t xml:space="preserve"> </w:t>
      </w:r>
      <w:proofErr w:type="gramStart"/>
      <w:r w:rsidR="00597427" w:rsidRPr="0013327C">
        <w:rPr>
          <w:rFonts w:asciiTheme="majorHAnsi" w:hAnsiTheme="majorHAnsi"/>
          <w:b/>
        </w:rPr>
        <w:t>Figure 5.</w:t>
      </w:r>
      <w:r w:rsidR="00F0444A">
        <w:rPr>
          <w:rFonts w:asciiTheme="majorHAnsi" w:hAnsiTheme="majorHAnsi"/>
          <w:b/>
        </w:rPr>
        <w:t>22</w:t>
      </w:r>
      <w:r w:rsidR="00597427" w:rsidRPr="0013327C">
        <w:rPr>
          <w:rFonts w:asciiTheme="majorHAnsi" w:hAnsiTheme="majorHAnsi"/>
          <w:b/>
        </w:rPr>
        <w:t>.</w:t>
      </w:r>
      <w:proofErr w:type="gramEnd"/>
      <w:r w:rsidR="00597427" w:rsidRPr="0013327C">
        <w:rPr>
          <w:rFonts w:asciiTheme="majorHAnsi" w:hAnsiTheme="majorHAnsi"/>
        </w:rPr>
        <w:t xml:space="preserve"> </w:t>
      </w:r>
      <w:r w:rsidR="00512797" w:rsidRPr="00512797">
        <w:rPr>
          <w:rFonts w:asciiTheme="majorHAnsi" w:hAnsiTheme="majorHAnsi"/>
          <w:b/>
        </w:rPr>
        <w:t>5</w:t>
      </w:r>
      <w:r w:rsidR="00512797">
        <w:rPr>
          <w:rFonts w:asciiTheme="majorHAnsi" w:hAnsiTheme="majorHAnsi"/>
        </w:rPr>
        <w:t xml:space="preserve"> </w:t>
      </w:r>
      <w:r w:rsidRPr="00AB46DA">
        <w:rPr>
          <w:rFonts w:asciiTheme="majorHAnsi" w:hAnsiTheme="majorHAnsi"/>
          <w:b/>
        </w:rPr>
        <w:t xml:space="preserve">Images of the top z-scores of KDs of peroxisome count per cell. Statistical outliers </w:t>
      </w:r>
      <w:r w:rsidR="00A84A70">
        <w:rPr>
          <w:rFonts w:asciiTheme="majorHAnsi" w:hAnsiTheme="majorHAnsi"/>
          <w:b/>
        </w:rPr>
        <w:t xml:space="preserve">- </w:t>
      </w:r>
      <w:r w:rsidR="00512797">
        <w:rPr>
          <w:rFonts w:asciiTheme="majorHAnsi" w:hAnsiTheme="majorHAnsi"/>
          <w:b/>
        </w:rPr>
        <w:t>B.</w:t>
      </w:r>
      <w:r w:rsidRPr="0013327C">
        <w:rPr>
          <w:rFonts w:asciiTheme="majorHAnsi" w:hAnsiTheme="majorHAnsi"/>
        </w:rPr>
        <w:t xml:space="preserve"> </w:t>
      </w:r>
      <w:r w:rsidR="00597427" w:rsidRPr="0013327C">
        <w:rPr>
          <w:rFonts w:asciiTheme="majorHAnsi" w:hAnsiTheme="majorHAnsi"/>
        </w:rPr>
        <w:t xml:space="preserve">S2R+ cells stably transfected with </w:t>
      </w:r>
      <w:r w:rsidR="004E5D8D" w:rsidRPr="0013327C">
        <w:rPr>
          <w:rFonts w:asciiTheme="majorHAnsi" w:hAnsiTheme="majorHAnsi"/>
        </w:rPr>
        <w:t>pMt</w:t>
      </w:r>
      <w:r w:rsidR="00597427" w:rsidRPr="0013327C">
        <w:rPr>
          <w:rFonts w:asciiTheme="majorHAnsi" w:hAnsiTheme="majorHAnsi"/>
        </w:rPr>
        <w:t>-eGFP-PTS1 were grown for 5 days and then induced for 24hrs with 50µM CuSO</w:t>
      </w:r>
      <w:r w:rsidR="00597427" w:rsidRPr="0013327C">
        <w:rPr>
          <w:rFonts w:asciiTheme="majorHAnsi" w:hAnsiTheme="majorHAnsi"/>
          <w:vertAlign w:val="subscript"/>
        </w:rPr>
        <w:t>4</w:t>
      </w:r>
      <w:r w:rsidR="00597427" w:rsidRPr="0013327C">
        <w:rPr>
          <w:rFonts w:asciiTheme="majorHAnsi" w:hAnsiTheme="majorHAnsi"/>
        </w:rPr>
        <w:t xml:space="preserve"> before fixation and imaging. Gene KDs using long dsRNA are shown against 5 of the probes with the lowest z-scores that exceed -2. These were Atlastin, archipelago, Moleskin, Gemini. Bar = 20 µm</w:t>
      </w:r>
    </w:p>
    <w:p w:rsidR="00597427" w:rsidRPr="0013327C" w:rsidRDefault="00597427" w:rsidP="00AE0264">
      <w:pPr>
        <w:jc w:val="both"/>
        <w:rPr>
          <w:rFonts w:asciiTheme="majorHAnsi" w:hAnsiTheme="majorHAnsi"/>
        </w:rPr>
      </w:pPr>
    </w:p>
    <w:p w:rsidR="00512797" w:rsidRDefault="00597427" w:rsidP="00AB46DA">
      <w:pPr>
        <w:jc w:val="center"/>
        <w:rPr>
          <w:rFonts w:asciiTheme="majorHAnsi" w:hAnsiTheme="majorHAnsi"/>
        </w:rPr>
      </w:pPr>
      <w:r w:rsidRPr="0013327C">
        <w:rPr>
          <w:rFonts w:asciiTheme="majorHAnsi" w:hAnsiTheme="majorHAnsi"/>
          <w:b/>
          <w:noProof/>
          <w:lang w:eastAsia="en-GB"/>
        </w:rPr>
        <w:drawing>
          <wp:inline distT="0" distB="0" distL="0" distR="0">
            <wp:extent cx="4820963" cy="2506718"/>
            <wp:effectExtent l="19050" t="0" r="0" b="0"/>
            <wp:docPr id="167"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97533" cy="4411494"/>
                      <a:chOff x="107504" y="106918"/>
                      <a:chExt cx="7997533" cy="4411494"/>
                    </a:xfrm>
                  </a:grpSpPr>
                  <a:grpSp>
                    <a:nvGrpSpPr>
                      <a:cNvPr id="24" name="Group 23"/>
                      <a:cNvGrpSpPr/>
                    </a:nvGrpSpPr>
                    <a:grpSpPr>
                      <a:xfrm>
                        <a:off x="107504" y="106918"/>
                        <a:ext cx="7997533" cy="4411494"/>
                        <a:chOff x="107504" y="106918"/>
                        <a:chExt cx="7997533" cy="4411494"/>
                      </a:xfrm>
                    </a:grpSpPr>
                    <a:grpSp>
                      <a:nvGrpSpPr>
                        <a:cNvPr id="3" name="Group 21"/>
                        <a:cNvGrpSpPr/>
                      </a:nvGrpSpPr>
                      <a:grpSpPr>
                        <a:xfrm>
                          <a:off x="107504" y="106918"/>
                          <a:ext cx="7997533" cy="4411494"/>
                          <a:chOff x="107504" y="106918"/>
                          <a:chExt cx="7997533" cy="4411494"/>
                        </a:xfrm>
                      </a:grpSpPr>
                      <a:pic>
                        <a:nvPicPr>
                          <a:cNvPr id="26628" name="Picture 4"/>
                          <a:cNvPicPr>
                            <a:picLocks noChangeAspect="1" noChangeArrowheads="1"/>
                          </a:cNvPicPr>
                        </a:nvPicPr>
                        <a:blipFill>
                          <a:blip r:embed="rId144" cstate="print"/>
                          <a:srcRect/>
                          <a:stretch>
                            <a:fillRect/>
                          </a:stretch>
                        </a:blipFill>
                        <a:spPr bwMode="auto">
                          <a:xfrm rot="5400000">
                            <a:off x="471747" y="-257325"/>
                            <a:ext cx="1881922" cy="2610408"/>
                          </a:xfrm>
                          <a:prstGeom prst="rect">
                            <a:avLst/>
                          </a:prstGeom>
                          <a:noFill/>
                          <a:ln w="9525">
                            <a:noFill/>
                            <a:miter lim="800000"/>
                            <a:headEnd/>
                            <a:tailEnd/>
                          </a:ln>
                          <a:effectLst/>
                        </a:spPr>
                      </a:pic>
                      <a:sp>
                        <a:nvSpPr>
                          <a:cNvPr id="9" name="TextBox 8"/>
                          <a:cNvSpPr txBox="1"/>
                        </a:nvSpPr>
                        <a:spPr>
                          <a:xfrm>
                            <a:off x="179512" y="1916832"/>
                            <a:ext cx="244827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err="1" smtClean="0"/>
                                <a:t>trithorax</a:t>
                              </a:r>
                              <a:r>
                                <a:rPr lang="en-GB" dirty="0" smtClean="0"/>
                                <a:t>-related</a:t>
                              </a:r>
                              <a:endParaRPr lang="en-GB" dirty="0"/>
                            </a:p>
                          </a:txBody>
                          <a:useSpRect/>
                        </a:txSp>
                      </a:sp>
                      <a:pic>
                        <a:nvPicPr>
                          <a:cNvPr id="26629" name="Picture 5"/>
                          <a:cNvPicPr>
                            <a:picLocks noChangeAspect="1" noChangeArrowheads="1"/>
                          </a:cNvPicPr>
                        </a:nvPicPr>
                        <a:blipFill>
                          <a:blip r:embed="rId145" cstate="print"/>
                          <a:srcRect/>
                          <a:stretch>
                            <a:fillRect/>
                          </a:stretch>
                        </a:blipFill>
                        <a:spPr bwMode="auto">
                          <a:xfrm rot="5400000">
                            <a:off x="3134163" y="-245731"/>
                            <a:ext cx="1872208" cy="2596934"/>
                          </a:xfrm>
                          <a:prstGeom prst="rect">
                            <a:avLst/>
                          </a:prstGeom>
                          <a:noFill/>
                          <a:ln w="9525">
                            <a:noFill/>
                            <a:miter lim="800000"/>
                            <a:headEnd/>
                            <a:tailEnd/>
                          </a:ln>
                          <a:effectLst/>
                        </a:spPr>
                      </a:pic>
                      <a:sp>
                        <a:nvSpPr>
                          <a:cNvPr id="11" name="TextBox 10"/>
                          <a:cNvSpPr txBox="1"/>
                        </a:nvSpPr>
                        <a:spPr>
                          <a:xfrm>
                            <a:off x="2771800" y="1916832"/>
                            <a:ext cx="2592288"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PEX1</a:t>
                              </a:r>
                              <a:endParaRPr lang="en-GB" dirty="0"/>
                            </a:p>
                          </a:txBody>
                          <a:useSpRect/>
                        </a:txSp>
                      </a:sp>
                      <a:pic>
                        <a:nvPicPr>
                          <a:cNvPr id="12" name="Picture 2"/>
                          <a:cNvPicPr>
                            <a:picLocks noChangeAspect="1" noChangeArrowheads="1"/>
                          </a:cNvPicPr>
                        </a:nvPicPr>
                        <a:blipFill>
                          <a:blip r:embed="rId146" cstate="print"/>
                          <a:srcRect/>
                          <a:stretch>
                            <a:fillRect/>
                          </a:stretch>
                        </a:blipFill>
                        <a:spPr bwMode="auto">
                          <a:xfrm>
                            <a:off x="1471008" y="2348880"/>
                            <a:ext cx="2596933" cy="1872208"/>
                          </a:xfrm>
                          <a:prstGeom prst="rect">
                            <a:avLst/>
                          </a:prstGeom>
                          <a:noFill/>
                          <a:ln w="9525">
                            <a:noFill/>
                            <a:miter lim="800000"/>
                            <a:headEnd/>
                            <a:tailEnd/>
                          </a:ln>
                          <a:effectLst/>
                        </a:spPr>
                      </a:pic>
                      <a:sp>
                        <a:nvSpPr>
                          <a:cNvPr id="13" name="TextBox 12"/>
                          <a:cNvSpPr txBox="1"/>
                        </a:nvSpPr>
                        <a:spPr>
                          <a:xfrm>
                            <a:off x="1506057" y="4149080"/>
                            <a:ext cx="2552223"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Chickadee</a:t>
                              </a:r>
                              <a:endParaRPr lang="en-GB" dirty="0"/>
                            </a:p>
                          </a:txBody>
                          <a:useSpRect/>
                        </a:txSp>
                      </a:sp>
                      <a:pic>
                        <a:nvPicPr>
                          <a:cNvPr id="14" name="Picture 3"/>
                          <a:cNvPicPr>
                            <a:picLocks noChangeAspect="1" noChangeArrowheads="1"/>
                          </a:cNvPicPr>
                        </a:nvPicPr>
                        <a:blipFill>
                          <a:blip r:embed="rId147" cstate="print"/>
                          <a:srcRect/>
                          <a:stretch>
                            <a:fillRect/>
                          </a:stretch>
                        </a:blipFill>
                        <a:spPr bwMode="auto">
                          <a:xfrm rot="5400000">
                            <a:off x="4497667" y="1986517"/>
                            <a:ext cx="1872209" cy="2596936"/>
                          </a:xfrm>
                          <a:prstGeom prst="rect">
                            <a:avLst/>
                          </a:prstGeom>
                          <a:noFill/>
                          <a:ln w="9525">
                            <a:noFill/>
                            <a:miter lim="800000"/>
                            <a:headEnd/>
                            <a:tailEnd/>
                          </a:ln>
                          <a:effectLst/>
                        </a:spPr>
                      </a:pic>
                      <a:sp>
                        <a:nvSpPr>
                          <a:cNvPr id="15" name="TextBox 14"/>
                          <a:cNvSpPr txBox="1"/>
                        </a:nvSpPr>
                        <a:spPr>
                          <a:xfrm>
                            <a:off x="4067944" y="4149080"/>
                            <a:ext cx="2736304"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err="1" smtClean="0"/>
                                <a:t>longitudinals</a:t>
                              </a:r>
                              <a:r>
                                <a:rPr lang="en-GB" dirty="0" smtClean="0"/>
                                <a:t> </a:t>
                              </a:r>
                              <a:r>
                                <a:rPr lang="en-GB" dirty="0" smtClean="0"/>
                                <a:t>lacking (</a:t>
                              </a:r>
                              <a:r>
                                <a:rPr lang="en-GB" dirty="0" err="1" smtClean="0"/>
                                <a:t>lola</a:t>
                              </a:r>
                              <a:r>
                                <a:rPr lang="en-GB" dirty="0" smtClean="0"/>
                                <a:t>)</a:t>
                              </a:r>
                              <a:endParaRPr lang="en-GB" dirty="0"/>
                            </a:p>
                          </a:txBody>
                          <a:useSpRect/>
                        </a:txSp>
                      </a:sp>
                      <a:pic>
                        <a:nvPicPr>
                          <a:cNvPr id="16" name="Picture 4"/>
                          <a:cNvPicPr>
                            <a:picLocks noChangeAspect="1" noChangeArrowheads="1"/>
                          </a:cNvPicPr>
                        </a:nvPicPr>
                        <a:blipFill>
                          <a:blip r:embed="rId148" cstate="print"/>
                          <a:srcRect/>
                          <a:stretch>
                            <a:fillRect/>
                          </a:stretch>
                        </a:blipFill>
                        <a:spPr bwMode="auto">
                          <a:xfrm>
                            <a:off x="5508104" y="116632"/>
                            <a:ext cx="2596933" cy="1872208"/>
                          </a:xfrm>
                          <a:prstGeom prst="rect">
                            <a:avLst/>
                          </a:prstGeom>
                          <a:noFill/>
                          <a:ln w="9525">
                            <a:noFill/>
                            <a:miter lim="800000"/>
                            <a:headEnd/>
                            <a:tailEnd/>
                          </a:ln>
                          <a:effectLst/>
                        </a:spPr>
                      </a:pic>
                      <a:sp>
                        <a:nvSpPr>
                          <a:cNvPr id="21" name="TextBox 20"/>
                          <a:cNvSpPr txBox="1"/>
                        </a:nvSpPr>
                        <a:spPr>
                          <a:xfrm>
                            <a:off x="5508104" y="1916832"/>
                            <a:ext cx="252028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err="1" smtClean="0"/>
                                <a:t>Ephexin</a:t>
                              </a:r>
                              <a:endParaRPr lang="en-GB" dirty="0"/>
                            </a:p>
                          </a:txBody>
                          <a:useSpRect/>
                        </a:txSp>
                      </a:sp>
                    </a:grpSp>
                    <a:cxnSp>
                      <a:nvCxnSpPr>
                        <a:cNvPr id="17" name="Straight Connector 16"/>
                        <a:cNvCxnSpPr/>
                      </a:nvCxnSpPr>
                      <a:spPr>
                        <a:xfrm>
                          <a:off x="395536" y="1772816"/>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8" name="Straight Connector 17"/>
                        <a:cNvCxnSpPr/>
                      </a:nvCxnSpPr>
                      <a:spPr>
                        <a:xfrm>
                          <a:off x="5796136" y="1772816"/>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9" name="Straight Connector 18"/>
                        <a:cNvCxnSpPr/>
                      </a:nvCxnSpPr>
                      <a:spPr>
                        <a:xfrm>
                          <a:off x="3059832" y="1772816"/>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20" name="Straight Connector 19"/>
                        <a:cNvCxnSpPr/>
                      </a:nvCxnSpPr>
                      <a:spPr>
                        <a:xfrm>
                          <a:off x="4427984" y="400506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23" name="Straight Connector 22"/>
                        <a:cNvCxnSpPr/>
                      </a:nvCxnSpPr>
                      <a:spPr>
                        <a:xfrm>
                          <a:off x="1763688" y="4005064"/>
                          <a:ext cx="948736" cy="0"/>
                        </a:xfrm>
                        <a:prstGeom prst="line">
                          <a:avLst/>
                        </a:prstGeom>
                        <a:ln w="19050">
                          <a:solidFill>
                            <a:srgbClr val="FF0000"/>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r w:rsidRPr="0013327C">
        <w:rPr>
          <w:rFonts w:asciiTheme="majorHAnsi" w:hAnsiTheme="majorHAnsi"/>
        </w:rPr>
        <w:t xml:space="preserve"> </w:t>
      </w:r>
    </w:p>
    <w:p w:rsidR="00597427" w:rsidRPr="0013327C" w:rsidRDefault="00512797" w:rsidP="00512797">
      <w:pPr>
        <w:jc w:val="both"/>
        <w:rPr>
          <w:rFonts w:asciiTheme="majorHAnsi" w:hAnsiTheme="majorHAnsi"/>
        </w:rPr>
      </w:pPr>
      <w:proofErr w:type="gramStart"/>
      <w:r w:rsidRPr="0013327C">
        <w:rPr>
          <w:rFonts w:asciiTheme="majorHAnsi" w:hAnsiTheme="majorHAnsi"/>
          <w:b/>
        </w:rPr>
        <w:t>Figure 5.</w:t>
      </w:r>
      <w:r>
        <w:rPr>
          <w:rFonts w:asciiTheme="majorHAnsi" w:hAnsiTheme="majorHAnsi"/>
          <w:b/>
        </w:rPr>
        <w:t>2</w:t>
      </w:r>
      <w:r w:rsidR="00A84A70">
        <w:rPr>
          <w:rFonts w:asciiTheme="majorHAnsi" w:hAnsiTheme="majorHAnsi"/>
          <w:b/>
        </w:rPr>
        <w:t>3</w:t>
      </w:r>
      <w:r w:rsidRPr="0013327C">
        <w:rPr>
          <w:rFonts w:asciiTheme="majorHAnsi" w:hAnsiTheme="majorHAnsi"/>
          <w:b/>
        </w:rPr>
        <w:t>.</w:t>
      </w:r>
      <w:proofErr w:type="gramEnd"/>
      <w:r w:rsidRPr="0013327C">
        <w:rPr>
          <w:rFonts w:asciiTheme="majorHAnsi" w:hAnsiTheme="majorHAnsi"/>
        </w:rPr>
        <w:t xml:space="preserve"> </w:t>
      </w:r>
      <w:r w:rsidRPr="00512797">
        <w:rPr>
          <w:rFonts w:asciiTheme="majorHAnsi" w:hAnsiTheme="majorHAnsi"/>
          <w:b/>
        </w:rPr>
        <w:t>5</w:t>
      </w:r>
      <w:r>
        <w:rPr>
          <w:rFonts w:asciiTheme="majorHAnsi" w:hAnsiTheme="majorHAnsi"/>
        </w:rPr>
        <w:t xml:space="preserve"> </w:t>
      </w:r>
      <w:r w:rsidRPr="00AB46DA">
        <w:rPr>
          <w:rFonts w:asciiTheme="majorHAnsi" w:hAnsiTheme="majorHAnsi"/>
          <w:b/>
        </w:rPr>
        <w:t xml:space="preserve">Images of the top z-scores of KDs of peroxisome count per cell. Statistical outliers </w:t>
      </w:r>
      <w:r w:rsidR="00A84A70">
        <w:rPr>
          <w:rFonts w:asciiTheme="majorHAnsi" w:hAnsiTheme="majorHAnsi"/>
          <w:b/>
        </w:rPr>
        <w:t xml:space="preserve">- </w:t>
      </w:r>
      <w:r>
        <w:rPr>
          <w:rFonts w:asciiTheme="majorHAnsi" w:hAnsiTheme="majorHAnsi"/>
          <w:b/>
        </w:rPr>
        <w:t>C.</w:t>
      </w:r>
      <w:r w:rsidR="00597427" w:rsidRPr="0013327C">
        <w:rPr>
          <w:rFonts w:asciiTheme="majorHAnsi" w:hAnsiTheme="majorHAnsi"/>
        </w:rPr>
        <w:t xml:space="preserve">S2R+ cells stably transfected with </w:t>
      </w:r>
      <w:r w:rsidR="004E5D8D" w:rsidRPr="0013327C">
        <w:rPr>
          <w:rFonts w:asciiTheme="majorHAnsi" w:hAnsiTheme="majorHAnsi"/>
        </w:rPr>
        <w:t>pMt</w:t>
      </w:r>
      <w:r w:rsidR="00597427" w:rsidRPr="0013327C">
        <w:rPr>
          <w:rFonts w:asciiTheme="majorHAnsi" w:hAnsiTheme="majorHAnsi"/>
        </w:rPr>
        <w:t>-eGFP-PTS1 were grown for 5 days and then induced for 24hrs with 50µM CuSO</w:t>
      </w:r>
      <w:r w:rsidR="00597427" w:rsidRPr="0013327C">
        <w:rPr>
          <w:rFonts w:asciiTheme="majorHAnsi" w:hAnsiTheme="majorHAnsi"/>
          <w:vertAlign w:val="subscript"/>
        </w:rPr>
        <w:t>4</w:t>
      </w:r>
      <w:r w:rsidR="00597427" w:rsidRPr="0013327C">
        <w:rPr>
          <w:rFonts w:asciiTheme="majorHAnsi" w:hAnsiTheme="majorHAnsi"/>
        </w:rPr>
        <w:t xml:space="preserve"> before fixation and imaging. Gene KDs using long dsRNA are shown against the 5 genes whose probes produced the z-scores below -2 with the lowest magnitude. These were trithorax related, </w:t>
      </w:r>
      <w:r w:rsidR="000C26B2" w:rsidRPr="000C26B2">
        <w:rPr>
          <w:rFonts w:asciiTheme="majorHAnsi" w:hAnsiTheme="majorHAnsi"/>
          <w:i/>
        </w:rPr>
        <w:t>PEX</w:t>
      </w:r>
      <w:r w:rsidR="00597427" w:rsidRPr="0013327C">
        <w:rPr>
          <w:rFonts w:asciiTheme="majorHAnsi" w:hAnsiTheme="majorHAnsi"/>
        </w:rPr>
        <w:t xml:space="preserve">1, Ephexin, Chickadee and </w:t>
      </w:r>
      <w:proofErr w:type="gramStart"/>
      <w:r w:rsidR="00597427" w:rsidRPr="0013327C">
        <w:rPr>
          <w:rFonts w:asciiTheme="majorHAnsi" w:hAnsiTheme="majorHAnsi"/>
        </w:rPr>
        <w:t>lola</w:t>
      </w:r>
      <w:proofErr w:type="gramEnd"/>
      <w:r w:rsidR="00597427" w:rsidRPr="0013327C">
        <w:rPr>
          <w:rFonts w:asciiTheme="majorHAnsi" w:hAnsiTheme="majorHAnsi"/>
        </w:rPr>
        <w:t>. Bar = 20µm.</w:t>
      </w:r>
    </w:p>
    <w:p w:rsidR="00597427" w:rsidRPr="0013327C" w:rsidRDefault="00597427" w:rsidP="00AE0264">
      <w:pPr>
        <w:jc w:val="both"/>
        <w:rPr>
          <w:rFonts w:asciiTheme="majorHAnsi" w:hAnsiTheme="majorHAnsi"/>
        </w:rPr>
      </w:pPr>
      <w:r w:rsidRPr="0013327C">
        <w:rPr>
          <w:rFonts w:asciiTheme="majorHAnsi" w:hAnsiTheme="majorHAnsi"/>
        </w:rPr>
        <w:lastRenderedPageBreak/>
        <w:t>34 gene KDs that exceeded a standard deviation magnitude of 2 were returned from the statistical analysis of peroxisome count per cell. Of the negatively scoring KDs 13 were recognised as statistically aberrant in the second screen while 6 had uncertain phenotypes that were manually included. The three genes whose knockdowns were found in the first screen, nmd, sqh and atl, were not only present in the secondary screening but 2 of them were among the top four results; they were all in the top ten results of Screen 2. This shows that these probes’ KDs are effective enough at producing aberrant phenotypes that achieve statistically significant data from mean populations in both the transiently and stably transfected cell-lines.  These three genes are statistically the three best novel candidates for further research.</w:t>
      </w:r>
    </w:p>
    <w:p w:rsidR="00597427" w:rsidRPr="0013327C" w:rsidRDefault="00597427" w:rsidP="00AE0264">
      <w:pPr>
        <w:pStyle w:val="Heading2"/>
        <w:jc w:val="both"/>
      </w:pPr>
      <w:bookmarkStart w:id="144" w:name="_Toc348423396"/>
      <w:r w:rsidRPr="0013327C">
        <w:t>Three novel genes consistently produced aberrations in phenotype, generating statistically significant z-scores from mean data.</w:t>
      </w:r>
      <w:bookmarkEnd w:id="144"/>
    </w:p>
    <w:p w:rsidR="00597427" w:rsidRPr="0013327C" w:rsidRDefault="00597427" w:rsidP="00AE0264">
      <w:pPr>
        <w:jc w:val="both"/>
        <w:rPr>
          <w:rFonts w:asciiTheme="majorHAnsi" w:hAnsiTheme="majorHAnsi"/>
        </w:rPr>
      </w:pPr>
      <w:r w:rsidRPr="0013327C">
        <w:rPr>
          <w:rFonts w:asciiTheme="majorHAnsi" w:hAnsiTheme="majorHAnsi"/>
        </w:rPr>
        <w:t xml:space="preserve">From the first genome-wide screen using transiently transfected pMt-eGFP-PTS1 as a marker, the KD of CG5395 (nmd), CG3595 (sqh) and CG6668 (atl) produced non-WT phenotypes that produced statistically significant z-scores; the exception was atl which would produce statistically significant z-scores in subsequent normalised analyses. The three genes continued to produce not just aberrant phenotypes and data but data that occurred among the KDs with the highest z-scores such as </w:t>
      </w:r>
      <w:r w:rsidR="000C26B2" w:rsidRPr="000C26B2">
        <w:rPr>
          <w:rFonts w:asciiTheme="majorHAnsi" w:hAnsiTheme="majorHAnsi"/>
          <w:i/>
        </w:rPr>
        <w:t>PEX</w:t>
      </w:r>
      <w:r w:rsidRPr="0013327C">
        <w:rPr>
          <w:rFonts w:asciiTheme="majorHAnsi" w:hAnsiTheme="majorHAnsi"/>
        </w:rPr>
        <w:t xml:space="preserve">16,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 xml:space="preserve">1 and </w:t>
      </w:r>
      <w:r w:rsidR="000C26B2" w:rsidRPr="000C26B2">
        <w:rPr>
          <w:rFonts w:asciiTheme="majorHAnsi" w:hAnsiTheme="majorHAnsi"/>
          <w:i/>
        </w:rPr>
        <w:t>PEX</w:t>
      </w:r>
      <w:r w:rsidRPr="0013327C">
        <w:rPr>
          <w:rFonts w:asciiTheme="majorHAnsi" w:hAnsiTheme="majorHAnsi"/>
        </w:rPr>
        <w:t xml:space="preserve">13. Other novel genes also were reported as statistically significant in deviating from WT data in Screen 2 and the secondary screen; some of them had recurring phenotypes. None of these other genes affected their respective population of imaged cells with the same ubiquitous presence that is observed with these three. There are many reasons why this may occur, including those stated in chapter 3.5. In addition there may be aspects of the assay such as the cell-line used or induction </w:t>
      </w:r>
      <w:proofErr w:type="gramStart"/>
      <w:r w:rsidRPr="0013327C">
        <w:rPr>
          <w:rFonts w:asciiTheme="majorHAnsi" w:hAnsiTheme="majorHAnsi"/>
        </w:rPr>
        <w:t>concentration that mean</w:t>
      </w:r>
      <w:proofErr w:type="gramEnd"/>
      <w:r w:rsidRPr="0013327C">
        <w:rPr>
          <w:rFonts w:asciiTheme="majorHAnsi" w:hAnsiTheme="majorHAnsi"/>
        </w:rPr>
        <w:t xml:space="preserve"> that these probes were incapable of </w:t>
      </w:r>
      <w:r w:rsidR="004E5D8D" w:rsidRPr="0013327C">
        <w:rPr>
          <w:rFonts w:asciiTheme="majorHAnsi" w:hAnsiTheme="majorHAnsi"/>
        </w:rPr>
        <w:t>affecting</w:t>
      </w:r>
      <w:r w:rsidRPr="0013327C">
        <w:rPr>
          <w:rFonts w:asciiTheme="majorHAnsi" w:hAnsiTheme="majorHAnsi"/>
        </w:rPr>
        <w:t xml:space="preserve"> a KD sufficient enough to noticeably change the phenotype from WT, either visually or statistically. From the experiments done these three are the best candidates and further work continues with them.</w:t>
      </w:r>
    </w:p>
    <w:p w:rsidR="00597427" w:rsidRPr="0013327C" w:rsidRDefault="00597427" w:rsidP="00AE0264">
      <w:pPr>
        <w:pStyle w:val="Heading2"/>
        <w:jc w:val="both"/>
      </w:pPr>
      <w:bookmarkStart w:id="145" w:name="_Toc348423397"/>
      <w:r w:rsidRPr="0013327C">
        <w:t>Four known peroxins were among the statistically significant data.</w:t>
      </w:r>
      <w:bookmarkEnd w:id="145"/>
      <w:r w:rsidRPr="0013327C">
        <w:t xml:space="preserve"> </w:t>
      </w:r>
    </w:p>
    <w:p w:rsidR="00597427" w:rsidRPr="0013327C" w:rsidRDefault="00597427" w:rsidP="00AE0264">
      <w:pPr>
        <w:jc w:val="both"/>
        <w:rPr>
          <w:rFonts w:asciiTheme="majorHAnsi" w:hAnsiTheme="majorHAnsi"/>
        </w:rPr>
      </w:pPr>
      <w:r w:rsidRPr="0013327C">
        <w:rPr>
          <w:rFonts w:asciiTheme="majorHAnsi" w:hAnsiTheme="majorHAnsi"/>
        </w:rPr>
        <w:t xml:space="preserve">Peroxins 16, 13, 3 and 1 were the highest scoring peroxins the secondary screen reported. </w:t>
      </w:r>
      <w:r w:rsidR="000C26B2" w:rsidRPr="000C26B2">
        <w:rPr>
          <w:rFonts w:asciiTheme="majorHAnsi" w:hAnsiTheme="majorHAnsi"/>
          <w:i/>
        </w:rPr>
        <w:t>PEX</w:t>
      </w:r>
      <w:r w:rsidRPr="0013327C">
        <w:rPr>
          <w:rFonts w:asciiTheme="majorHAnsi" w:hAnsiTheme="majorHAnsi"/>
        </w:rPr>
        <w:t xml:space="preserve">16 has consistently been a high scoring KD throughout the screening process. The images show almost the entire population of cells with very few </w:t>
      </w:r>
      <w:r w:rsidRPr="0013327C">
        <w:rPr>
          <w:rFonts w:asciiTheme="majorHAnsi" w:hAnsiTheme="majorHAnsi"/>
        </w:rPr>
        <w:lastRenderedPageBreak/>
        <w:t xml:space="preserve">peroxisomes or none at all and bold, cytosolic mis-localisation of eGFP-PTS1. This was especially true of the cells knocked down with </w:t>
      </w:r>
      <w:r w:rsidR="000C26B2" w:rsidRPr="000C26B2">
        <w:rPr>
          <w:rFonts w:asciiTheme="majorHAnsi" w:hAnsiTheme="majorHAnsi"/>
          <w:i/>
        </w:rPr>
        <w:t>PEX</w:t>
      </w:r>
      <w:r w:rsidRPr="0013327C">
        <w:rPr>
          <w:rFonts w:asciiTheme="majorHAnsi" w:hAnsiTheme="majorHAnsi"/>
        </w:rPr>
        <w:t xml:space="preserve">16 in the secondary screen. The other three </w:t>
      </w:r>
      <w:r w:rsidR="000C26B2" w:rsidRPr="000C26B2">
        <w:rPr>
          <w:rFonts w:asciiTheme="majorHAnsi" w:hAnsiTheme="majorHAnsi"/>
          <w:i/>
        </w:rPr>
        <w:t>PEX</w:t>
      </w:r>
      <w:r w:rsidRPr="0013327C">
        <w:rPr>
          <w:rFonts w:asciiTheme="majorHAnsi" w:hAnsiTheme="majorHAnsi"/>
        </w:rPr>
        <w:t xml:space="preserve"> genes in the secondary screen that were knocked down had only a moderate reduction in cell number compared with Screen 2. In Screen 2 these KDs presented phenotypes with an apparent lack of peroxisomes and cytosolically mis-localised eGFP-PTS1. For some reason these KDs were not as effective in reducing peroxisome count per cell in the secondary screen and this is evident from the images. The assay was carried out with the same protocol as Screen </w:t>
      </w:r>
      <w:proofErr w:type="gramStart"/>
      <w:r w:rsidRPr="0013327C">
        <w:rPr>
          <w:rFonts w:asciiTheme="majorHAnsi" w:hAnsiTheme="majorHAnsi"/>
        </w:rPr>
        <w:t>2,</w:t>
      </w:r>
      <w:proofErr w:type="gramEnd"/>
      <w:r w:rsidRPr="0013327C">
        <w:rPr>
          <w:rFonts w:asciiTheme="majorHAnsi" w:hAnsiTheme="majorHAnsi"/>
        </w:rPr>
        <w:t xml:space="preserve"> the conditions that were different were the sample of S2R+ cells used and the batch of dsRNAs. It may be possible that the dsRNA probes were not as concentrated in the secondary screen though this would be difficult to prove. More likely is that the two different samples of cells had differing background expression levels of the poorly regulated </w:t>
      </w:r>
      <w:r w:rsidR="004E5D8D" w:rsidRPr="0013327C">
        <w:rPr>
          <w:rFonts w:asciiTheme="majorHAnsi" w:hAnsiTheme="majorHAnsi"/>
        </w:rPr>
        <w:t>pMt</w:t>
      </w:r>
      <w:r w:rsidRPr="0013327C">
        <w:rPr>
          <w:rFonts w:asciiTheme="majorHAnsi" w:hAnsiTheme="majorHAnsi"/>
        </w:rPr>
        <w:t xml:space="preserve"> promoter in the pMK33 plasmid. As these three peroxins are involved in import of PTS1 proteins, the fall in peroxisome number that was reported is from the lack of contrast between peroxisomal and cytosolic eGFP-PTS1; in the most effective knockdowns, there is no peroxisomal marker. A slight increase in background eGFP-PTS1 expression during the period that peroxisomes are import-functional would make peroxisome-matrices fluoresce. This fluorescence would continue into the period where PTS1 matrix protein uptake is blocked. This would explain the co-presence of cytosolic eGFP-PTS1 and the punctate pattern that is dimmer than in WT cells.</w:t>
      </w:r>
    </w:p>
    <w:p w:rsidR="00597427" w:rsidRPr="0013327C" w:rsidRDefault="00597427" w:rsidP="00AE0264">
      <w:pPr>
        <w:jc w:val="both"/>
        <w:rPr>
          <w:rFonts w:asciiTheme="majorHAnsi" w:hAnsiTheme="majorHAnsi"/>
        </w:rPr>
      </w:pPr>
      <w:r w:rsidRPr="0013327C">
        <w:rPr>
          <w:rFonts w:asciiTheme="majorHAnsi" w:hAnsiTheme="majorHAnsi"/>
        </w:rPr>
        <w:t xml:space="preserve">This shows </w:t>
      </w:r>
      <w:r w:rsidR="000C26B2" w:rsidRPr="000C26B2">
        <w:rPr>
          <w:rFonts w:asciiTheme="majorHAnsi" w:hAnsiTheme="majorHAnsi"/>
          <w:i/>
        </w:rPr>
        <w:t>PEX</w:t>
      </w:r>
      <w:r w:rsidRPr="0013327C">
        <w:rPr>
          <w:rFonts w:asciiTheme="majorHAnsi" w:hAnsiTheme="majorHAnsi"/>
        </w:rPr>
        <w:t xml:space="preserve">16 to be a gene crucial in </w:t>
      </w:r>
      <w:r w:rsidR="000211B9" w:rsidRPr="0013327C">
        <w:rPr>
          <w:rFonts w:asciiTheme="majorHAnsi" w:hAnsiTheme="majorHAnsi"/>
        </w:rPr>
        <w:t>maintaining</w:t>
      </w:r>
      <w:r w:rsidRPr="0013327C">
        <w:rPr>
          <w:rFonts w:asciiTheme="majorHAnsi" w:hAnsiTheme="majorHAnsi"/>
        </w:rPr>
        <w:t xml:space="preserve"> peroxisome number. The fact that nmd has throughout the screening processes had an almost identical appearance to that of </w:t>
      </w:r>
      <w:r w:rsidR="000C26B2" w:rsidRPr="000C26B2">
        <w:rPr>
          <w:rFonts w:asciiTheme="majorHAnsi" w:hAnsiTheme="majorHAnsi"/>
          <w:i/>
        </w:rPr>
        <w:t>PEX</w:t>
      </w:r>
      <w:r w:rsidRPr="0013327C">
        <w:rPr>
          <w:rFonts w:asciiTheme="majorHAnsi" w:hAnsiTheme="majorHAnsi"/>
        </w:rPr>
        <w:t xml:space="preserve">16 is promising evidence that there may be a fourth Class II peroxin functional in animal cells. </w:t>
      </w:r>
    </w:p>
    <w:p w:rsidR="00597427" w:rsidRPr="0013327C" w:rsidRDefault="00597427" w:rsidP="00AE0264">
      <w:pPr>
        <w:pStyle w:val="Heading2"/>
        <w:jc w:val="both"/>
      </w:pPr>
      <w:bookmarkStart w:id="146" w:name="_Toc348423398"/>
      <w:r w:rsidRPr="0013327C">
        <w:t>57 novel genes were reported from visual and statistical screening in the secondary screen</w:t>
      </w:r>
      <w:bookmarkEnd w:id="146"/>
    </w:p>
    <w:p w:rsidR="00597427" w:rsidRPr="0013327C" w:rsidRDefault="00597427" w:rsidP="00AE0264">
      <w:pPr>
        <w:jc w:val="both"/>
        <w:rPr>
          <w:rFonts w:asciiTheme="majorHAnsi" w:hAnsiTheme="majorHAnsi"/>
        </w:rPr>
      </w:pPr>
      <w:r w:rsidRPr="0013327C">
        <w:rPr>
          <w:rFonts w:asciiTheme="majorHAnsi" w:hAnsiTheme="majorHAnsi"/>
        </w:rPr>
        <w:t xml:space="preserve">Combining the two results datasheets for peroxisome count per cell gives 92 gene KDs in total, 58 from visual screening and 34 from statistical analysis. 12 of these were </w:t>
      </w:r>
      <w:r w:rsidR="000C26B2" w:rsidRPr="000C26B2">
        <w:rPr>
          <w:rFonts w:asciiTheme="majorHAnsi" w:hAnsiTheme="majorHAnsi"/>
          <w:i/>
        </w:rPr>
        <w:t>PEX</w:t>
      </w:r>
      <w:r w:rsidRPr="0013327C">
        <w:rPr>
          <w:rFonts w:asciiTheme="majorHAnsi" w:hAnsiTheme="majorHAnsi"/>
        </w:rPr>
        <w:t xml:space="preserve"> genes, 8 from visual observations, 4 from statistical analysis. 4 were of non-</w:t>
      </w:r>
      <w:r w:rsidR="000C26B2" w:rsidRPr="000C26B2">
        <w:rPr>
          <w:rFonts w:asciiTheme="majorHAnsi" w:hAnsiTheme="majorHAnsi"/>
          <w:i/>
        </w:rPr>
        <w:t>PEX</w:t>
      </w:r>
      <w:r w:rsidRPr="0013327C">
        <w:rPr>
          <w:rFonts w:asciiTheme="majorHAnsi" w:hAnsiTheme="majorHAnsi"/>
        </w:rPr>
        <w:t xml:space="preserve"> genes associated with peroxisomal fission and segregation; Drp1 and Tango11, both counted twice. 5 were GFP controls in the visual screen. Spaghetti squash had two probes, both of which were recorded twice, only one counts in this sum. Finally 12 of the remaining gene KDs were reported twice. This leaves 57 novel genes </w:t>
      </w:r>
      <w:proofErr w:type="gramStart"/>
      <w:r w:rsidRPr="0013327C">
        <w:rPr>
          <w:rFonts w:asciiTheme="majorHAnsi" w:hAnsiTheme="majorHAnsi"/>
        </w:rPr>
        <w:t>whose</w:t>
      </w:r>
      <w:proofErr w:type="gramEnd"/>
      <w:r w:rsidRPr="0013327C">
        <w:rPr>
          <w:rFonts w:asciiTheme="majorHAnsi" w:hAnsiTheme="majorHAnsi"/>
        </w:rPr>
        <w:t xml:space="preserve"> KDs could be of interest when investigating peroxisomal function. This is a vast improvement since the results from Screen 1 which were unable to report enough genes to fill in the gaps with </w:t>
      </w:r>
      <w:r w:rsidRPr="0013327C">
        <w:rPr>
          <w:rFonts w:asciiTheme="majorHAnsi" w:hAnsiTheme="majorHAnsi"/>
        </w:rPr>
        <w:lastRenderedPageBreak/>
        <w:t xml:space="preserve">missing homologues of yeast peroxins. With this current finalised list there would be enough candidates even if the </w:t>
      </w:r>
      <w:r w:rsidRPr="0013327C">
        <w:rPr>
          <w:rFonts w:asciiTheme="majorHAnsi" w:hAnsiTheme="majorHAnsi"/>
          <w:i/>
        </w:rPr>
        <w:t>D. melanogaster</w:t>
      </w:r>
      <w:r w:rsidRPr="0013327C">
        <w:rPr>
          <w:rFonts w:asciiTheme="majorHAnsi" w:hAnsiTheme="majorHAnsi"/>
        </w:rPr>
        <w:t xml:space="preserve"> family of peroxins </w:t>
      </w:r>
      <w:r w:rsidR="00FC7A43">
        <w:rPr>
          <w:rFonts w:asciiTheme="majorHAnsi" w:hAnsiTheme="majorHAnsi"/>
        </w:rPr>
        <w:t>proved to be</w:t>
      </w:r>
      <w:r w:rsidRPr="0013327C">
        <w:rPr>
          <w:rFonts w:asciiTheme="majorHAnsi" w:hAnsiTheme="majorHAnsi"/>
        </w:rPr>
        <w:t xml:space="preserve"> 50% larger than that of </w:t>
      </w:r>
      <w:r w:rsidR="000211B9" w:rsidRPr="0013327C">
        <w:rPr>
          <w:rFonts w:asciiTheme="majorHAnsi" w:hAnsiTheme="majorHAnsi"/>
          <w:i/>
        </w:rPr>
        <w:t>S. cerevisiae</w:t>
      </w:r>
      <w:r w:rsidRPr="0013327C">
        <w:rPr>
          <w:rFonts w:asciiTheme="majorHAnsi" w:hAnsiTheme="majorHAnsi"/>
        </w:rPr>
        <w:t xml:space="preserve">. It would be impractical to pursue all of them in subsequent research for this </w:t>
      </w:r>
      <w:r w:rsidR="00FC7A43">
        <w:rPr>
          <w:rFonts w:asciiTheme="majorHAnsi" w:hAnsiTheme="majorHAnsi"/>
        </w:rPr>
        <w:t>thesis</w:t>
      </w:r>
      <w:r w:rsidRPr="0013327C">
        <w:rPr>
          <w:rFonts w:asciiTheme="majorHAnsi" w:hAnsiTheme="majorHAnsi"/>
        </w:rPr>
        <w:t>. For two of these genes, loss of function has been replicated with probes designed on the E-RNAi website. Probes for KDs of nmd and sqh were used effectively as positive controls for the Secondary Screen.</w:t>
      </w:r>
    </w:p>
    <w:p w:rsidR="00597427" w:rsidRPr="0013327C" w:rsidRDefault="00597427" w:rsidP="00AE0264">
      <w:pPr>
        <w:jc w:val="both"/>
        <w:rPr>
          <w:rFonts w:asciiTheme="majorHAnsi" w:hAnsiTheme="majorHAnsi"/>
        </w:rPr>
      </w:pPr>
      <w:r w:rsidRPr="0013327C">
        <w:rPr>
          <w:rFonts w:asciiTheme="majorHAnsi" w:hAnsiTheme="majorHAnsi"/>
        </w:rPr>
        <w:t xml:space="preserve">It was decided that the best gene to investigate further is nmd. The high similarity of both phenotype and z-score in all three screenings with those of </w:t>
      </w:r>
      <w:r w:rsidR="000C26B2" w:rsidRPr="000C26B2">
        <w:rPr>
          <w:rFonts w:asciiTheme="majorHAnsi" w:hAnsiTheme="majorHAnsi"/>
          <w:i/>
        </w:rPr>
        <w:t>PEX</w:t>
      </w:r>
      <w:r w:rsidRPr="0013327C">
        <w:rPr>
          <w:rFonts w:asciiTheme="majorHAnsi" w:hAnsiTheme="majorHAnsi"/>
        </w:rPr>
        <w:t>16 and the implied possibility of another Class II peroxin was sufficient to confirm nmd as the best choice for performing further experiments.</w:t>
      </w:r>
    </w:p>
    <w:p w:rsidR="00597427" w:rsidRPr="0013327C" w:rsidRDefault="00597427" w:rsidP="00AE0264">
      <w:pPr>
        <w:pStyle w:val="Heading2"/>
        <w:jc w:val="both"/>
      </w:pPr>
      <w:bookmarkStart w:id="147" w:name="_Toc348423399"/>
      <w:r w:rsidRPr="0013327C">
        <w:t xml:space="preserve">5-day KD of nmd produces phenotypes similar to </w:t>
      </w:r>
      <w:r w:rsidR="000C26B2" w:rsidRPr="000C26B2">
        <w:rPr>
          <w:i/>
        </w:rPr>
        <w:t>PEX</w:t>
      </w:r>
      <w:r w:rsidRPr="0013327C">
        <w:t>16 KDs</w:t>
      </w:r>
      <w:bookmarkEnd w:id="147"/>
    </w:p>
    <w:p w:rsidR="00597427" w:rsidRPr="0013327C" w:rsidRDefault="00597427" w:rsidP="00AE0264">
      <w:pPr>
        <w:jc w:val="both"/>
        <w:rPr>
          <w:rFonts w:asciiTheme="majorHAnsi" w:hAnsiTheme="majorHAnsi"/>
        </w:rPr>
      </w:pPr>
      <w:r w:rsidRPr="0013327C">
        <w:rPr>
          <w:rFonts w:asciiTheme="majorHAnsi" w:hAnsiTheme="majorHAnsi"/>
        </w:rPr>
        <w:t xml:space="preserve">From the Screens performed with eGFP-PTS1 two key observations are important of the nmd KDs. </w:t>
      </w:r>
    </w:p>
    <w:p w:rsidR="00597427" w:rsidRPr="0013327C" w:rsidRDefault="00597427" w:rsidP="00AE0264">
      <w:pPr>
        <w:pStyle w:val="ListParagraph"/>
        <w:numPr>
          <w:ilvl w:val="0"/>
          <w:numId w:val="19"/>
        </w:numPr>
        <w:jc w:val="both"/>
        <w:rPr>
          <w:rFonts w:asciiTheme="majorHAnsi" w:hAnsiTheme="majorHAnsi"/>
        </w:rPr>
      </w:pPr>
      <w:r w:rsidRPr="0013327C">
        <w:rPr>
          <w:rFonts w:asciiTheme="majorHAnsi" w:hAnsiTheme="majorHAnsi"/>
        </w:rPr>
        <w:t>Peroxisome number appears to be greatly reduced or zero.</w:t>
      </w:r>
    </w:p>
    <w:p w:rsidR="00597427" w:rsidRPr="0013327C" w:rsidRDefault="00597427" w:rsidP="00AE0264">
      <w:pPr>
        <w:pStyle w:val="ListParagraph"/>
        <w:numPr>
          <w:ilvl w:val="0"/>
          <w:numId w:val="19"/>
        </w:numPr>
        <w:jc w:val="both"/>
        <w:rPr>
          <w:rFonts w:asciiTheme="majorHAnsi" w:hAnsiTheme="majorHAnsi"/>
        </w:rPr>
      </w:pPr>
      <w:proofErr w:type="gramStart"/>
      <w:r w:rsidRPr="0013327C">
        <w:rPr>
          <w:rFonts w:asciiTheme="majorHAnsi" w:hAnsiTheme="majorHAnsi"/>
        </w:rPr>
        <w:t>eGFP-PTS1</w:t>
      </w:r>
      <w:proofErr w:type="gramEnd"/>
      <w:r w:rsidRPr="0013327C">
        <w:rPr>
          <w:rFonts w:asciiTheme="majorHAnsi" w:hAnsiTheme="majorHAnsi"/>
        </w:rPr>
        <w:t xml:space="preserve"> is widely mislocalised to the cytosol.</w:t>
      </w:r>
    </w:p>
    <w:p w:rsidR="00597427" w:rsidRPr="0013327C" w:rsidRDefault="00597427" w:rsidP="00AE0264">
      <w:pPr>
        <w:jc w:val="both"/>
        <w:rPr>
          <w:rFonts w:asciiTheme="majorHAnsi" w:hAnsiTheme="majorHAnsi"/>
        </w:rPr>
      </w:pPr>
      <w:r w:rsidRPr="0013327C">
        <w:rPr>
          <w:rFonts w:asciiTheme="majorHAnsi" w:hAnsiTheme="majorHAnsi"/>
        </w:rPr>
        <w:t xml:space="preserve">To investigate whether this phenotype is caused by a true reduction in peroxisome </w:t>
      </w:r>
      <w:proofErr w:type="gramStart"/>
      <w:r w:rsidRPr="0013327C">
        <w:rPr>
          <w:rFonts w:asciiTheme="majorHAnsi" w:hAnsiTheme="majorHAnsi"/>
        </w:rPr>
        <w:t>number,</w:t>
      </w:r>
      <w:proofErr w:type="gramEnd"/>
      <w:r w:rsidRPr="0013327C">
        <w:rPr>
          <w:rFonts w:asciiTheme="majorHAnsi" w:hAnsiTheme="majorHAnsi"/>
        </w:rPr>
        <w:t xml:space="preserve"> or a block in matrix protein uptake further investigation was required.</w:t>
      </w:r>
    </w:p>
    <w:p w:rsidR="00597427" w:rsidRPr="0013327C" w:rsidRDefault="00597427" w:rsidP="00AE0264">
      <w:pPr>
        <w:jc w:val="both"/>
        <w:rPr>
          <w:rFonts w:asciiTheme="majorHAnsi" w:hAnsiTheme="majorHAnsi"/>
        </w:rPr>
      </w:pPr>
      <w:r w:rsidRPr="0013327C">
        <w:rPr>
          <w:rFonts w:asciiTheme="majorHAnsi" w:hAnsiTheme="majorHAnsi"/>
        </w:rPr>
        <w:t xml:space="preserve">The long dsRNA probes used as controls for Screen 2 and the Secondary Screen to knock down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 xml:space="preserve">16 and nmd were compared with WT presentations of S2R+ cells. Cells were to be stably transfected with two constructs using the pMK33 vector. The first was a red fluorescent peroxisomal matrix marker, monomeric red fluorescent protein (mRFP) with a PTS1 motif in the form of C-terminal SKL. The second was a peroxisomal membrane marker, ATP-binding cassette D3 (ABCD3) C-terminally tagged with eGFP. The aim of this experiment was to determine if nmd function was affecting peroxisome number maintenance or inhibiting the PTS1-targeting and translocation machinery. The ABCD3-eGFP localises to the peroxisomal membrane. Assuming peroxisomal membrane protein delivery is unaffected by RNAi then ABCD3-eGFP should localise to peroxisomes in a punctate pattern. In WT cells this pattern would colocalise with the punctate pattern produced by the mRFP-PTS1. </w:t>
      </w:r>
    </w:p>
    <w:p w:rsidR="00597427" w:rsidRPr="0013327C" w:rsidRDefault="00597427" w:rsidP="00AE0264">
      <w:pPr>
        <w:jc w:val="both"/>
        <w:rPr>
          <w:rFonts w:asciiTheme="majorHAnsi" w:hAnsiTheme="majorHAnsi"/>
        </w:rPr>
      </w:pPr>
      <w:r w:rsidRPr="0013327C">
        <w:rPr>
          <w:rFonts w:asciiTheme="majorHAnsi" w:hAnsiTheme="majorHAnsi"/>
        </w:rPr>
        <w:t xml:space="preserve">When performing KDs the deviation in phenotype will help determine what effect the KD of nmd is having and suggest what function it may be performing. If PTS1-import machinery is inhibited then one would be expected to observe mislocalisation of the mRFP-PTS1 to the cytosol while ABCD3-eGFP remains in a punctate </w:t>
      </w:r>
      <w:r w:rsidR="000211B9" w:rsidRPr="0013327C">
        <w:rPr>
          <w:rFonts w:asciiTheme="majorHAnsi" w:hAnsiTheme="majorHAnsi"/>
        </w:rPr>
        <w:t>pattern</w:t>
      </w:r>
      <w:r w:rsidRPr="0013327C">
        <w:rPr>
          <w:rFonts w:asciiTheme="majorHAnsi" w:hAnsiTheme="majorHAnsi"/>
        </w:rPr>
        <w:t xml:space="preserve">.  If </w:t>
      </w:r>
      <w:r w:rsidRPr="0013327C">
        <w:rPr>
          <w:rFonts w:asciiTheme="majorHAnsi" w:hAnsiTheme="majorHAnsi"/>
        </w:rPr>
        <w:lastRenderedPageBreak/>
        <w:t xml:space="preserve">peroxisome population maintenance is affected, either by the inhibition of biogenesis, fission or segregation into daughter cells, then there would be a reduction in the number of green fluorescent puncta observed. There would likely still be some colocalisation with mRFP-PTS1 if its import remains unaffected, but this would also likely be accompanied by some cytosolic mRFP-PTS1 as observed with </w:t>
      </w:r>
      <w:r w:rsidR="000C26B2" w:rsidRPr="000C26B2">
        <w:rPr>
          <w:rFonts w:asciiTheme="majorHAnsi" w:hAnsiTheme="majorHAnsi"/>
          <w:i/>
        </w:rPr>
        <w:t>PEX</w:t>
      </w:r>
      <w:r w:rsidRPr="0013327C">
        <w:rPr>
          <w:rFonts w:asciiTheme="majorHAnsi" w:hAnsiTheme="majorHAnsi"/>
        </w:rPr>
        <w:t>16 KDs in Screen 2 and the Secondary Screen with 1-2 puncta per cell. Inhibition of function of peroxisomal membrane delivery to the peroxisome would cause mislocalisation of ABCD3 to the cytosol. This could potentially attenuate the biological pathways of both peroxisome population maintenance and the functions of PTS1 machinery proteins. Both require the delivery of proteins to the peroxisomal membrane to function properly. If cytosolic mislocalisation of both ABCD3-eGFP and mRFP-PTS1 occur then this may be the most likely cause.</w:t>
      </w:r>
    </w:p>
    <w:p w:rsidR="00597427" w:rsidRDefault="00597427" w:rsidP="00AE0264">
      <w:pPr>
        <w:jc w:val="both"/>
        <w:rPr>
          <w:rFonts w:asciiTheme="majorHAnsi" w:hAnsiTheme="majorHAnsi"/>
        </w:rPr>
      </w:pPr>
      <w:r w:rsidRPr="0013327C">
        <w:rPr>
          <w:rFonts w:asciiTheme="majorHAnsi" w:hAnsiTheme="majorHAnsi"/>
        </w:rPr>
        <w:t xml:space="preserve">The cells were transfected and grown in 6 well plates as described in Chapter 2 and selected for in hygromycin B selection media as described in Chapter 4. Once reporter expression had reached 90% of cells experiments were begun. Approximately 2/3 of the cells were expressing both reporters with the remaining transfected cells expressing one of the others. Cells were knocked down and seeded in 6-well plates as described in Chapter 3. Probes used were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16, nmd and a WT population was also tested. After 5 days the cells were induced with 50µM CuSO</w:t>
      </w:r>
      <w:r w:rsidRPr="0013327C">
        <w:rPr>
          <w:rFonts w:asciiTheme="majorHAnsi" w:hAnsiTheme="majorHAnsi"/>
          <w:vertAlign w:val="subscript"/>
        </w:rPr>
        <w:t>4</w:t>
      </w:r>
      <w:r w:rsidRPr="0013327C">
        <w:rPr>
          <w:rFonts w:asciiTheme="majorHAnsi" w:hAnsiTheme="majorHAnsi"/>
        </w:rPr>
        <w:t xml:space="preserve"> for 24 hours. Cells were fixed and mounted as described in Chapter 3. </w:t>
      </w:r>
    </w:p>
    <w:p w:rsidR="00FC7A43" w:rsidRPr="0013327C" w:rsidRDefault="00FC7A43"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305245" cy="3078488"/>
            <wp:effectExtent l="0" t="0" r="0" b="0"/>
            <wp:docPr id="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srcRect/>
                    <a:stretch>
                      <a:fillRect/>
                    </a:stretch>
                  </pic:blipFill>
                  <pic:spPr bwMode="auto">
                    <a:xfrm>
                      <a:off x="0" y="0"/>
                      <a:ext cx="5315670" cy="3084537"/>
                    </a:xfrm>
                    <a:prstGeom prst="rect">
                      <a:avLst/>
                    </a:prstGeom>
                    <a:noFill/>
                  </pic:spPr>
                </pic:pic>
              </a:graphicData>
            </a:graphic>
          </wp:inline>
        </w:drawing>
      </w:r>
    </w:p>
    <w:p w:rsidR="00597427" w:rsidRPr="0013327C" w:rsidRDefault="00512797" w:rsidP="00AE0264">
      <w:pPr>
        <w:jc w:val="both"/>
        <w:rPr>
          <w:rFonts w:asciiTheme="majorHAnsi" w:hAnsiTheme="majorHAnsi"/>
        </w:rPr>
      </w:pPr>
      <w:proofErr w:type="gramStart"/>
      <w:r>
        <w:rPr>
          <w:rFonts w:asciiTheme="majorHAnsi" w:hAnsiTheme="majorHAnsi"/>
          <w:b/>
        </w:rPr>
        <w:t>Figure 5.2</w:t>
      </w:r>
      <w:r w:rsidR="00A84A70">
        <w:rPr>
          <w:rFonts w:asciiTheme="majorHAnsi" w:hAnsiTheme="majorHAnsi"/>
          <w:b/>
        </w:rPr>
        <w:t>4</w:t>
      </w:r>
      <w:r>
        <w:rPr>
          <w:rFonts w:asciiTheme="majorHAnsi" w:hAnsiTheme="majorHAnsi"/>
          <w:b/>
        </w:rPr>
        <w:t>.</w:t>
      </w:r>
      <w:proofErr w:type="gramEnd"/>
      <w:r w:rsidR="00597427" w:rsidRPr="0013327C">
        <w:rPr>
          <w:rFonts w:asciiTheme="majorHAnsi" w:hAnsiTheme="majorHAnsi"/>
          <w:b/>
        </w:rPr>
        <w:t xml:space="preserve"> </w:t>
      </w:r>
      <w:proofErr w:type="gramStart"/>
      <w:r w:rsidR="00597427" w:rsidRPr="0013327C">
        <w:rPr>
          <w:rFonts w:asciiTheme="majorHAnsi" w:hAnsiTheme="majorHAnsi"/>
          <w:b/>
        </w:rPr>
        <w:t>WT phenotype of double-labelled S2R+ cells.</w:t>
      </w:r>
      <w:proofErr w:type="gramEnd"/>
      <w:r w:rsidR="00597427" w:rsidRPr="0013327C">
        <w:rPr>
          <w:rFonts w:asciiTheme="majorHAnsi" w:hAnsiTheme="majorHAnsi"/>
          <w:b/>
        </w:rPr>
        <w:t xml:space="preserve"> </w:t>
      </w:r>
      <w:r w:rsidR="00597427" w:rsidRPr="0013327C">
        <w:rPr>
          <w:rFonts w:asciiTheme="majorHAnsi" w:hAnsiTheme="majorHAnsi"/>
        </w:rPr>
        <w:t>S2R+ cells stably transfected with ABCD3-eGFP and mRFP-PTS1 were grown for 5 days before induction for 24 hours with 50µM CuSO</w:t>
      </w:r>
      <w:r w:rsidR="00597427" w:rsidRPr="0013327C">
        <w:rPr>
          <w:rFonts w:asciiTheme="majorHAnsi" w:hAnsiTheme="majorHAnsi"/>
          <w:vertAlign w:val="subscript"/>
        </w:rPr>
        <w:t>4</w:t>
      </w:r>
      <w:r w:rsidR="00597427" w:rsidRPr="0013327C">
        <w:rPr>
          <w:rFonts w:asciiTheme="majorHAnsi" w:hAnsiTheme="majorHAnsi"/>
        </w:rPr>
        <w:t xml:space="preserve">. Cells were then fixed and imaged. </w:t>
      </w:r>
      <w:proofErr w:type="gramStart"/>
      <w:r w:rsidR="00597427" w:rsidRPr="0013327C">
        <w:rPr>
          <w:rFonts w:asciiTheme="majorHAnsi" w:hAnsiTheme="majorHAnsi"/>
          <w:b/>
        </w:rPr>
        <w:t>A</w:t>
      </w:r>
      <w:r w:rsidR="00597427" w:rsidRPr="0013327C">
        <w:rPr>
          <w:rFonts w:asciiTheme="majorHAnsi" w:hAnsiTheme="majorHAnsi"/>
        </w:rPr>
        <w:t xml:space="preserve"> shows</w:t>
      </w:r>
      <w:proofErr w:type="gramEnd"/>
      <w:r w:rsidR="00597427" w:rsidRPr="0013327C">
        <w:rPr>
          <w:rFonts w:asciiTheme="majorHAnsi" w:hAnsiTheme="majorHAnsi"/>
        </w:rPr>
        <w:t xml:space="preserve"> 2 cells with peroxisomes of a consistently small size. The matrix protein (mRFP-PTS1) and membrane protein (ABCD3-eGFP) colocalise without any noticeably high cytosolic mislocalisation. </w:t>
      </w:r>
      <w:r w:rsidR="00597427" w:rsidRPr="0013327C">
        <w:rPr>
          <w:rFonts w:asciiTheme="majorHAnsi" w:hAnsiTheme="majorHAnsi"/>
          <w:b/>
        </w:rPr>
        <w:t xml:space="preserve">B </w:t>
      </w:r>
      <w:r w:rsidR="00597427" w:rsidRPr="0013327C">
        <w:rPr>
          <w:rFonts w:asciiTheme="majorHAnsi" w:hAnsiTheme="majorHAnsi"/>
        </w:rPr>
        <w:t xml:space="preserve">shows two cells from the same sample as </w:t>
      </w:r>
      <w:r w:rsidR="00597427" w:rsidRPr="0013327C">
        <w:rPr>
          <w:rFonts w:asciiTheme="majorHAnsi" w:hAnsiTheme="majorHAnsi"/>
          <w:b/>
        </w:rPr>
        <w:t>A</w:t>
      </w:r>
      <w:r w:rsidR="00597427" w:rsidRPr="0013327C">
        <w:rPr>
          <w:rFonts w:asciiTheme="majorHAnsi" w:hAnsiTheme="majorHAnsi"/>
        </w:rPr>
        <w:t xml:space="preserve"> that have colocalising matrix and membrane proteins but with more variety in size of peroxisome. The larger peroxisomes appear as above average-sized rings in the green channel and as massive red puncta in the red. All images are merged z-stacks taken at 60X magnification. Bar = 50µm.</w:t>
      </w:r>
    </w:p>
    <w:p w:rsidR="00597427" w:rsidRPr="0013327C" w:rsidRDefault="00597427" w:rsidP="00AE0264">
      <w:pPr>
        <w:jc w:val="both"/>
        <w:rPr>
          <w:rFonts w:asciiTheme="majorHAnsi" w:hAnsiTheme="majorHAnsi"/>
        </w:rPr>
      </w:pPr>
      <w:r w:rsidRPr="0013327C">
        <w:rPr>
          <w:rFonts w:asciiTheme="majorHAnsi" w:hAnsiTheme="majorHAnsi"/>
        </w:rPr>
        <w:t>The addition of a membrane protein in this assay appears to have made some peroxisomes larger than others in some cells. Consequently these puncta have much brighter matrix protein than the smaller ones. This needs to be considered when viewing cells that have been knocked down as it may affect the KD phenotype in a way that omission of membrane protein from the assay would not.</w:t>
      </w: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662362" cy="3026980"/>
            <wp:effectExtent l="0" t="0" r="4888" b="0"/>
            <wp:docPr id="1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srcRect/>
                    <a:stretch>
                      <a:fillRect/>
                    </a:stretch>
                  </pic:blipFill>
                  <pic:spPr bwMode="auto">
                    <a:xfrm>
                      <a:off x="0" y="0"/>
                      <a:ext cx="4673458" cy="3034184"/>
                    </a:xfrm>
                    <a:prstGeom prst="rect">
                      <a:avLst/>
                    </a:prstGeom>
                    <a:noFill/>
                  </pic:spPr>
                </pic:pic>
              </a:graphicData>
            </a:graphic>
          </wp:inline>
        </w:drawing>
      </w:r>
    </w:p>
    <w:p w:rsidR="00597427" w:rsidRPr="0013327C" w:rsidRDefault="00512797" w:rsidP="00AE0264">
      <w:pPr>
        <w:jc w:val="both"/>
        <w:rPr>
          <w:rFonts w:asciiTheme="majorHAnsi" w:hAnsiTheme="majorHAnsi"/>
        </w:rPr>
      </w:pPr>
      <w:proofErr w:type="gramStart"/>
      <w:r>
        <w:rPr>
          <w:rFonts w:asciiTheme="majorHAnsi" w:hAnsiTheme="majorHAnsi"/>
          <w:b/>
        </w:rPr>
        <w:t>Figure 5.</w:t>
      </w:r>
      <w:r w:rsidR="00395E02">
        <w:rPr>
          <w:rFonts w:asciiTheme="majorHAnsi" w:hAnsiTheme="majorHAnsi"/>
          <w:b/>
        </w:rPr>
        <w:t>25</w:t>
      </w:r>
      <w:r w:rsidR="00597427" w:rsidRPr="0013327C">
        <w:rPr>
          <w:rFonts w:asciiTheme="majorHAnsi" w:hAnsiTheme="majorHAnsi"/>
          <w:b/>
        </w:rPr>
        <w:t>.</w:t>
      </w:r>
      <w:proofErr w:type="gramEnd"/>
      <w:r w:rsidR="00597427" w:rsidRPr="0013327C">
        <w:rPr>
          <w:rFonts w:asciiTheme="majorHAnsi" w:hAnsiTheme="majorHAnsi"/>
        </w:rPr>
        <w:t xml:space="preserve"> </w:t>
      </w:r>
      <w:proofErr w:type="gramStart"/>
      <w:r w:rsidR="000C26B2" w:rsidRPr="000C26B2">
        <w:rPr>
          <w:rFonts w:asciiTheme="majorHAnsi" w:hAnsiTheme="majorHAnsi"/>
          <w:b/>
          <w:i/>
        </w:rPr>
        <w:t>PEX</w:t>
      </w:r>
      <w:r w:rsidR="00597427" w:rsidRPr="0013327C">
        <w:rPr>
          <w:rFonts w:asciiTheme="majorHAnsi" w:hAnsiTheme="majorHAnsi"/>
          <w:b/>
        </w:rPr>
        <w:t>5</w:t>
      </w:r>
      <w:r w:rsidR="00597427" w:rsidRPr="0013327C">
        <w:rPr>
          <w:rFonts w:asciiTheme="majorHAnsi" w:hAnsiTheme="majorHAnsi"/>
        </w:rPr>
        <w:t xml:space="preserve"> </w:t>
      </w:r>
      <w:r w:rsidR="00597427" w:rsidRPr="0013327C">
        <w:rPr>
          <w:rFonts w:asciiTheme="majorHAnsi" w:hAnsiTheme="majorHAnsi"/>
          <w:b/>
        </w:rPr>
        <w:t>phenotype of double-labelled S2R+ cells.</w:t>
      </w:r>
      <w:proofErr w:type="gramEnd"/>
      <w:r w:rsidR="00597427" w:rsidRPr="0013327C">
        <w:rPr>
          <w:rFonts w:asciiTheme="majorHAnsi" w:hAnsiTheme="majorHAnsi"/>
          <w:b/>
        </w:rPr>
        <w:t xml:space="preserve"> </w:t>
      </w:r>
      <w:r w:rsidR="00597427" w:rsidRPr="0013327C">
        <w:rPr>
          <w:rFonts w:asciiTheme="majorHAnsi" w:hAnsiTheme="majorHAnsi"/>
        </w:rPr>
        <w:t xml:space="preserve">S2R+ cells stably transfected with ABCD3-eGFP and mRFP-PTS1 were seeded with 2 µg </w:t>
      </w:r>
      <w:r w:rsidR="000C26B2" w:rsidRPr="000C26B2">
        <w:rPr>
          <w:rFonts w:asciiTheme="majorHAnsi" w:hAnsiTheme="majorHAnsi"/>
          <w:i/>
        </w:rPr>
        <w:t>PEX</w:t>
      </w:r>
      <w:r w:rsidR="00597427" w:rsidRPr="0013327C">
        <w:rPr>
          <w:rFonts w:asciiTheme="majorHAnsi" w:hAnsiTheme="majorHAnsi"/>
        </w:rPr>
        <w:t>5 dsRNA and grown for 5 days before induction for 24 hours with 50µM CuSO</w:t>
      </w:r>
      <w:r w:rsidR="00597427" w:rsidRPr="0013327C">
        <w:rPr>
          <w:rFonts w:asciiTheme="majorHAnsi" w:hAnsiTheme="majorHAnsi"/>
          <w:vertAlign w:val="subscript"/>
        </w:rPr>
        <w:t>4</w:t>
      </w:r>
      <w:r w:rsidR="00597427" w:rsidRPr="0013327C">
        <w:rPr>
          <w:rFonts w:asciiTheme="majorHAnsi" w:hAnsiTheme="majorHAnsi"/>
        </w:rPr>
        <w:t xml:space="preserve">. Cells were then fixed and imaged. </w:t>
      </w:r>
      <w:proofErr w:type="gramStart"/>
      <w:r w:rsidR="00597427" w:rsidRPr="0013327C">
        <w:rPr>
          <w:rFonts w:asciiTheme="majorHAnsi" w:hAnsiTheme="majorHAnsi"/>
          <w:b/>
        </w:rPr>
        <w:t>A</w:t>
      </w:r>
      <w:r w:rsidR="00597427" w:rsidRPr="0013327C">
        <w:rPr>
          <w:rFonts w:asciiTheme="majorHAnsi" w:hAnsiTheme="majorHAnsi"/>
        </w:rPr>
        <w:t xml:space="preserve"> shows</w:t>
      </w:r>
      <w:proofErr w:type="gramEnd"/>
      <w:r w:rsidR="00597427" w:rsidRPr="0013327C">
        <w:rPr>
          <w:rFonts w:asciiTheme="majorHAnsi" w:hAnsiTheme="majorHAnsi"/>
        </w:rPr>
        <w:t xml:space="preserve"> a cell with cytosolic mislocalisation of mRFP-PTS1. Puncta are seen of ABCD3-eGFP which do not colocalise with any contrasting puncta from the red channel. </w:t>
      </w:r>
      <w:r w:rsidR="00597427" w:rsidRPr="0013327C">
        <w:rPr>
          <w:rFonts w:asciiTheme="majorHAnsi" w:hAnsiTheme="majorHAnsi"/>
          <w:b/>
        </w:rPr>
        <w:t xml:space="preserve">B </w:t>
      </w:r>
      <w:r w:rsidR="00597427" w:rsidRPr="0013327C">
        <w:rPr>
          <w:rFonts w:asciiTheme="majorHAnsi" w:hAnsiTheme="majorHAnsi"/>
        </w:rPr>
        <w:t xml:space="preserve">shows a different cell from the same sample as </w:t>
      </w:r>
      <w:r w:rsidR="00597427" w:rsidRPr="0013327C">
        <w:rPr>
          <w:rFonts w:asciiTheme="majorHAnsi" w:hAnsiTheme="majorHAnsi"/>
          <w:b/>
        </w:rPr>
        <w:t>A</w:t>
      </w:r>
      <w:r w:rsidR="00597427" w:rsidRPr="0013327C">
        <w:rPr>
          <w:rFonts w:asciiTheme="majorHAnsi" w:hAnsiTheme="majorHAnsi"/>
        </w:rPr>
        <w:t xml:space="preserve"> that has </w:t>
      </w:r>
      <w:r w:rsidR="000211B9" w:rsidRPr="0013327C">
        <w:rPr>
          <w:rFonts w:asciiTheme="majorHAnsi" w:hAnsiTheme="majorHAnsi"/>
        </w:rPr>
        <w:t>mislocalised</w:t>
      </w:r>
      <w:r w:rsidR="00597427" w:rsidRPr="0013327C">
        <w:rPr>
          <w:rFonts w:asciiTheme="majorHAnsi" w:hAnsiTheme="majorHAnsi"/>
        </w:rPr>
        <w:t xml:space="preserve"> matrix protein but with some contrasted puncta. They are not as numerous as the puncta from the green image. All images are merged z-stacks taken at 60X magnification. Bar = 50µm.</w:t>
      </w:r>
    </w:p>
    <w:p w:rsidR="00597427" w:rsidRPr="0013327C" w:rsidRDefault="00597427" w:rsidP="00AE0264">
      <w:pPr>
        <w:jc w:val="both"/>
        <w:rPr>
          <w:rFonts w:asciiTheme="majorHAnsi" w:hAnsiTheme="majorHAnsi"/>
        </w:rPr>
      </w:pPr>
      <w:r w:rsidRPr="0013327C">
        <w:rPr>
          <w:rFonts w:asciiTheme="majorHAnsi" w:hAnsiTheme="majorHAnsi"/>
        </w:rPr>
        <w:t xml:space="preserve">As with the </w:t>
      </w:r>
      <w:r w:rsidR="000C26B2" w:rsidRPr="000C26B2">
        <w:rPr>
          <w:rFonts w:asciiTheme="majorHAnsi" w:hAnsiTheme="majorHAnsi"/>
          <w:i/>
        </w:rPr>
        <w:t>PEX</w:t>
      </w:r>
      <w:r w:rsidRPr="0013327C">
        <w:rPr>
          <w:rFonts w:asciiTheme="majorHAnsi" w:hAnsiTheme="majorHAnsi"/>
        </w:rPr>
        <w:t xml:space="preserve">5 KDs from the screen, these </w:t>
      </w:r>
      <w:r w:rsidR="000C26B2" w:rsidRPr="000C26B2">
        <w:rPr>
          <w:rFonts w:asciiTheme="majorHAnsi" w:hAnsiTheme="majorHAnsi"/>
          <w:i/>
        </w:rPr>
        <w:t>PEX</w:t>
      </w:r>
      <w:r w:rsidRPr="0013327C">
        <w:rPr>
          <w:rFonts w:asciiTheme="majorHAnsi" w:hAnsiTheme="majorHAnsi"/>
        </w:rPr>
        <w:t xml:space="preserve">5 KDs produced a large mislocalisation of matrix marker protein to the cytosol. The presence of membrane protein in numerous puncta suggests </w:t>
      </w:r>
      <w:r w:rsidR="000C26B2" w:rsidRPr="000C26B2">
        <w:rPr>
          <w:rFonts w:asciiTheme="majorHAnsi" w:hAnsiTheme="majorHAnsi"/>
          <w:i/>
        </w:rPr>
        <w:t>PEX</w:t>
      </w:r>
      <w:r w:rsidRPr="0013327C">
        <w:rPr>
          <w:rFonts w:asciiTheme="majorHAnsi" w:hAnsiTheme="majorHAnsi"/>
        </w:rPr>
        <w:t xml:space="preserve">5 not to be functional in reducing peroxisome number. The presence of faintly contrasting puncta in </w:t>
      </w:r>
      <w:r w:rsidRPr="0013327C">
        <w:rPr>
          <w:rFonts w:asciiTheme="majorHAnsi" w:hAnsiTheme="majorHAnsi"/>
          <w:b/>
        </w:rPr>
        <w:t>B</w:t>
      </w:r>
      <w:r w:rsidRPr="0013327C">
        <w:rPr>
          <w:rFonts w:asciiTheme="majorHAnsi" w:hAnsiTheme="majorHAnsi"/>
        </w:rPr>
        <w:t xml:space="preserve"> suggests that the loss of function in this cell is not complete. This evidence suggests that if nmd KD causes PT1-</w:t>
      </w:r>
      <w:r w:rsidR="000211B9" w:rsidRPr="0013327C">
        <w:rPr>
          <w:rFonts w:asciiTheme="majorHAnsi" w:hAnsiTheme="majorHAnsi"/>
        </w:rPr>
        <w:t>targeting</w:t>
      </w:r>
      <w:r w:rsidRPr="0013327C">
        <w:rPr>
          <w:rFonts w:asciiTheme="majorHAnsi" w:hAnsiTheme="majorHAnsi"/>
        </w:rPr>
        <w:t xml:space="preserve"> interference then a </w:t>
      </w:r>
      <w:r w:rsidR="000C26B2" w:rsidRPr="000C26B2">
        <w:rPr>
          <w:rFonts w:asciiTheme="majorHAnsi" w:hAnsiTheme="majorHAnsi"/>
          <w:i/>
        </w:rPr>
        <w:t>PEX</w:t>
      </w:r>
      <w:r w:rsidRPr="0013327C">
        <w:rPr>
          <w:rFonts w:asciiTheme="majorHAnsi" w:hAnsiTheme="majorHAnsi"/>
        </w:rPr>
        <w:t>5-like phenotype will occur using this assay.</w:t>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5076496" cy="3690267"/>
            <wp:effectExtent l="0" t="0" r="0" b="0"/>
            <wp:docPr id="1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srcRect/>
                    <a:stretch>
                      <a:fillRect/>
                    </a:stretch>
                  </pic:blipFill>
                  <pic:spPr bwMode="auto">
                    <a:xfrm>
                      <a:off x="0" y="0"/>
                      <a:ext cx="5088221" cy="3698790"/>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5.</w:t>
      </w:r>
      <w:r w:rsidR="00872912">
        <w:rPr>
          <w:rFonts w:asciiTheme="majorHAnsi" w:hAnsiTheme="majorHAnsi"/>
          <w:b/>
        </w:rPr>
        <w:t>26</w:t>
      </w:r>
      <w:r w:rsidRPr="0013327C">
        <w:rPr>
          <w:rFonts w:asciiTheme="majorHAnsi" w:hAnsiTheme="majorHAnsi"/>
          <w:b/>
        </w:rPr>
        <w:t>.</w:t>
      </w:r>
      <w:proofErr w:type="gramEnd"/>
      <w:r w:rsidRPr="0013327C">
        <w:rPr>
          <w:rFonts w:asciiTheme="majorHAnsi" w:hAnsiTheme="majorHAnsi"/>
          <w:b/>
        </w:rPr>
        <w:t xml:space="preserve"> </w:t>
      </w:r>
      <w:proofErr w:type="gramStart"/>
      <w:r w:rsidR="000C26B2" w:rsidRPr="000C26B2">
        <w:rPr>
          <w:rFonts w:asciiTheme="majorHAnsi" w:hAnsiTheme="majorHAnsi"/>
          <w:b/>
          <w:i/>
        </w:rPr>
        <w:t>PEX</w:t>
      </w:r>
      <w:r w:rsidRPr="0013327C">
        <w:rPr>
          <w:rFonts w:asciiTheme="majorHAnsi" w:hAnsiTheme="majorHAnsi"/>
          <w:b/>
        </w:rPr>
        <w:t>16</w:t>
      </w:r>
      <w:r w:rsidRPr="0013327C">
        <w:rPr>
          <w:rFonts w:asciiTheme="majorHAnsi" w:hAnsiTheme="majorHAnsi"/>
        </w:rPr>
        <w:t xml:space="preserve"> </w:t>
      </w:r>
      <w:r w:rsidRPr="0013327C">
        <w:rPr>
          <w:rFonts w:asciiTheme="majorHAnsi" w:hAnsiTheme="majorHAnsi"/>
          <w:b/>
        </w:rPr>
        <w:t>phenotype of double-labelled S2R+ cells.</w:t>
      </w:r>
      <w:proofErr w:type="gramEnd"/>
      <w:r w:rsidRPr="0013327C">
        <w:rPr>
          <w:rFonts w:asciiTheme="majorHAnsi" w:hAnsiTheme="majorHAnsi"/>
          <w:b/>
        </w:rPr>
        <w:t xml:space="preserve"> </w:t>
      </w:r>
      <w:r w:rsidRPr="0013327C">
        <w:rPr>
          <w:rFonts w:asciiTheme="majorHAnsi" w:hAnsiTheme="majorHAnsi"/>
        </w:rPr>
        <w:t xml:space="preserve">S2R+ cells stably transfected with ABCD3-eGFP and mRFP-PTS1 were seeded with 2 µg </w:t>
      </w:r>
      <w:r w:rsidR="000C26B2" w:rsidRPr="000C26B2">
        <w:rPr>
          <w:rFonts w:asciiTheme="majorHAnsi" w:hAnsiTheme="majorHAnsi"/>
          <w:i/>
        </w:rPr>
        <w:t>PEX</w:t>
      </w:r>
      <w:r w:rsidRPr="0013327C">
        <w:rPr>
          <w:rFonts w:asciiTheme="majorHAnsi" w:hAnsiTheme="majorHAnsi"/>
        </w:rPr>
        <w:t>16 dsRNA and grown for 5 days before induction for 24 hours with 50µM CuSO</w:t>
      </w:r>
      <w:r w:rsidRPr="0013327C">
        <w:rPr>
          <w:rFonts w:asciiTheme="majorHAnsi" w:hAnsiTheme="majorHAnsi"/>
          <w:vertAlign w:val="subscript"/>
        </w:rPr>
        <w:t>4</w:t>
      </w:r>
      <w:r w:rsidRPr="0013327C">
        <w:rPr>
          <w:rFonts w:asciiTheme="majorHAnsi" w:hAnsiTheme="majorHAnsi"/>
        </w:rPr>
        <w:t xml:space="preserve">. Cells were then fixed and imaged. </w:t>
      </w:r>
      <w:r w:rsidRPr="0013327C">
        <w:rPr>
          <w:rFonts w:asciiTheme="majorHAnsi" w:hAnsiTheme="majorHAnsi"/>
          <w:b/>
        </w:rPr>
        <w:t>A</w:t>
      </w:r>
      <w:r w:rsidRPr="0013327C">
        <w:rPr>
          <w:rFonts w:asciiTheme="majorHAnsi" w:hAnsiTheme="majorHAnsi"/>
        </w:rPr>
        <w:t xml:space="preserve"> </w:t>
      </w:r>
      <w:proofErr w:type="gramStart"/>
      <w:r w:rsidRPr="0013327C">
        <w:rPr>
          <w:rFonts w:asciiTheme="majorHAnsi" w:hAnsiTheme="majorHAnsi"/>
        </w:rPr>
        <w:t>shows</w:t>
      </w:r>
      <w:proofErr w:type="gramEnd"/>
      <w:r w:rsidRPr="0013327C">
        <w:rPr>
          <w:rFonts w:asciiTheme="majorHAnsi" w:hAnsiTheme="majorHAnsi"/>
        </w:rPr>
        <w:t xml:space="preserve"> 2 cells each with 3-4 large, bright red puncta and considerable mislocalisation of matrix protein to the cytosol. These puncta colocalise with the larger puncta in the green channel. There are many very small puncta dispersed throughout the cytosol in the green channel with no colocalised red fluorescent puncta. </w:t>
      </w:r>
      <w:r w:rsidRPr="0013327C">
        <w:rPr>
          <w:rFonts w:asciiTheme="majorHAnsi" w:hAnsiTheme="majorHAnsi"/>
          <w:b/>
        </w:rPr>
        <w:t xml:space="preserve"> B </w:t>
      </w:r>
      <w:r w:rsidRPr="0013327C">
        <w:rPr>
          <w:rFonts w:asciiTheme="majorHAnsi" w:hAnsiTheme="majorHAnsi"/>
        </w:rPr>
        <w:t>Shows 2 cells with no red fluorescent puncta of any size while still containing many small green puncta in the green channel. All images are merged z-stacks taken at 60X magnification. Bar = 50µm.</w:t>
      </w:r>
    </w:p>
    <w:p w:rsidR="00597427" w:rsidRPr="0013327C" w:rsidRDefault="00597427" w:rsidP="00AE0264">
      <w:pPr>
        <w:jc w:val="both"/>
        <w:rPr>
          <w:rFonts w:asciiTheme="majorHAnsi" w:hAnsiTheme="majorHAnsi"/>
        </w:rPr>
      </w:pPr>
      <w:r w:rsidRPr="0013327C">
        <w:rPr>
          <w:rFonts w:asciiTheme="majorHAnsi" w:hAnsiTheme="majorHAnsi"/>
        </w:rPr>
        <w:t xml:space="preserve">The most common phenotype observed in </w:t>
      </w:r>
      <w:r w:rsidR="000C26B2" w:rsidRPr="000C26B2">
        <w:rPr>
          <w:rFonts w:asciiTheme="majorHAnsi" w:hAnsiTheme="majorHAnsi"/>
          <w:i/>
        </w:rPr>
        <w:t>PEX</w:t>
      </w:r>
      <w:r w:rsidRPr="0013327C">
        <w:rPr>
          <w:rFonts w:asciiTheme="majorHAnsi" w:hAnsiTheme="majorHAnsi"/>
        </w:rPr>
        <w:t xml:space="preserve">16 KD cells in the Screens is that of cells with no fluorescent puncta and cytosolic mislocalisation of eGFP-PPTS1. There were also a minority of cells with 1-2 large bright puncta as well as the cytosolic fluorescent pattern.  In the latest assay, mRFP-PTS1 is mislocalised to the cytosol in the same way as eGFP-PTS1 was in the screens. The two phenotypes just described appear in equal proportion in this latest assay when </w:t>
      </w:r>
      <w:r w:rsidR="000C26B2" w:rsidRPr="000C26B2">
        <w:rPr>
          <w:rFonts w:asciiTheme="majorHAnsi" w:hAnsiTheme="majorHAnsi"/>
          <w:i/>
        </w:rPr>
        <w:t>PEX</w:t>
      </w:r>
      <w:r w:rsidRPr="0013327C">
        <w:rPr>
          <w:rFonts w:asciiTheme="majorHAnsi" w:hAnsiTheme="majorHAnsi"/>
        </w:rPr>
        <w:t xml:space="preserve">16 is knocked down. </w:t>
      </w: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b/>
        </w:rPr>
      </w:pPr>
    </w:p>
    <w:p w:rsidR="00597427" w:rsidRPr="0013327C" w:rsidRDefault="00597427" w:rsidP="00AE0264">
      <w:pPr>
        <w:jc w:val="both"/>
        <w:rPr>
          <w:rFonts w:asciiTheme="majorHAnsi" w:hAnsiTheme="majorHAnsi"/>
          <w:b/>
        </w:rPr>
      </w:pPr>
      <w:r w:rsidRPr="0013327C">
        <w:rPr>
          <w:rFonts w:asciiTheme="majorHAnsi" w:hAnsiTheme="majorHAnsi"/>
          <w:b/>
          <w:noProof/>
          <w:lang w:eastAsia="en-GB"/>
        </w:rPr>
        <w:lastRenderedPageBreak/>
        <w:drawing>
          <wp:inline distT="0" distB="0" distL="0" distR="0">
            <wp:extent cx="4580626" cy="5110581"/>
            <wp:effectExtent l="0" t="0" r="0" b="0"/>
            <wp:docPr id="1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print"/>
                    <a:srcRect/>
                    <a:stretch>
                      <a:fillRect/>
                    </a:stretch>
                  </pic:blipFill>
                  <pic:spPr bwMode="auto">
                    <a:xfrm>
                      <a:off x="0" y="0"/>
                      <a:ext cx="4586386" cy="5117007"/>
                    </a:xfrm>
                    <a:prstGeom prst="rect">
                      <a:avLst/>
                    </a:prstGeom>
                    <a:noFill/>
                  </pic:spPr>
                </pic:pic>
              </a:graphicData>
            </a:graphic>
          </wp:inline>
        </w:drawing>
      </w:r>
    </w:p>
    <w:p w:rsidR="00597427" w:rsidRPr="0013327C" w:rsidRDefault="0009469E" w:rsidP="00AE0264">
      <w:pPr>
        <w:jc w:val="both"/>
        <w:rPr>
          <w:rFonts w:asciiTheme="majorHAnsi" w:hAnsiTheme="majorHAnsi"/>
        </w:rPr>
      </w:pPr>
      <w:proofErr w:type="gramStart"/>
      <w:r>
        <w:rPr>
          <w:rFonts w:asciiTheme="majorHAnsi" w:hAnsiTheme="majorHAnsi"/>
          <w:b/>
        </w:rPr>
        <w:t xml:space="preserve">Figure </w:t>
      </w:r>
      <w:r w:rsidR="00597427" w:rsidRPr="0013327C">
        <w:rPr>
          <w:rFonts w:asciiTheme="majorHAnsi" w:hAnsiTheme="majorHAnsi"/>
          <w:b/>
        </w:rPr>
        <w:t>5.</w:t>
      </w:r>
      <w:r w:rsidR="00872912">
        <w:rPr>
          <w:rFonts w:asciiTheme="majorHAnsi" w:hAnsiTheme="majorHAnsi"/>
          <w:b/>
        </w:rPr>
        <w:t>27</w:t>
      </w:r>
      <w:r w:rsidR="00597427" w:rsidRPr="0013327C">
        <w:rPr>
          <w:rFonts w:asciiTheme="majorHAnsi" w:hAnsiTheme="majorHAnsi"/>
          <w:b/>
        </w:rPr>
        <w:t>.</w:t>
      </w:r>
      <w:proofErr w:type="gramEnd"/>
      <w:r w:rsidR="00597427" w:rsidRPr="0013327C">
        <w:rPr>
          <w:rFonts w:asciiTheme="majorHAnsi" w:hAnsiTheme="majorHAnsi"/>
          <w:b/>
        </w:rPr>
        <w:t xml:space="preserve"> </w:t>
      </w:r>
      <w:proofErr w:type="gramStart"/>
      <w:r w:rsidR="00597427" w:rsidRPr="0013327C">
        <w:rPr>
          <w:rFonts w:asciiTheme="majorHAnsi" w:hAnsiTheme="majorHAnsi"/>
          <w:b/>
        </w:rPr>
        <w:t>nmd</w:t>
      </w:r>
      <w:proofErr w:type="gramEnd"/>
      <w:r w:rsidR="00597427" w:rsidRPr="0013327C">
        <w:rPr>
          <w:rFonts w:asciiTheme="majorHAnsi" w:hAnsiTheme="majorHAnsi"/>
          <w:b/>
        </w:rPr>
        <w:t xml:space="preserve"> KD</w:t>
      </w:r>
      <w:r w:rsidR="00597427" w:rsidRPr="0013327C">
        <w:rPr>
          <w:rFonts w:asciiTheme="majorHAnsi" w:hAnsiTheme="majorHAnsi"/>
        </w:rPr>
        <w:t xml:space="preserve"> </w:t>
      </w:r>
      <w:r w:rsidR="00597427" w:rsidRPr="0013327C">
        <w:rPr>
          <w:rFonts w:asciiTheme="majorHAnsi" w:hAnsiTheme="majorHAnsi"/>
          <w:b/>
        </w:rPr>
        <w:t xml:space="preserve">phenotype of double-labelled S2R+ cells. </w:t>
      </w:r>
      <w:r w:rsidR="00597427" w:rsidRPr="0013327C">
        <w:rPr>
          <w:rFonts w:asciiTheme="majorHAnsi" w:hAnsiTheme="majorHAnsi"/>
        </w:rPr>
        <w:t>S2R+ cells stably transfected with ABCD3-eGFP and mRFP-PTS1 were seeded with 2 µg nmd dsRNA and grown for 5 days before induction for 24 hours with 50µM CuSO</w:t>
      </w:r>
      <w:r w:rsidR="00597427" w:rsidRPr="0013327C">
        <w:rPr>
          <w:rFonts w:asciiTheme="majorHAnsi" w:hAnsiTheme="majorHAnsi"/>
          <w:vertAlign w:val="subscript"/>
        </w:rPr>
        <w:t>4</w:t>
      </w:r>
      <w:r w:rsidR="00597427" w:rsidRPr="0013327C">
        <w:rPr>
          <w:rFonts w:asciiTheme="majorHAnsi" w:hAnsiTheme="majorHAnsi"/>
        </w:rPr>
        <w:t xml:space="preserve">. Cells were then fixed and imaged. </w:t>
      </w:r>
      <w:proofErr w:type="gramStart"/>
      <w:r w:rsidR="00597427" w:rsidRPr="0013327C">
        <w:rPr>
          <w:rFonts w:asciiTheme="majorHAnsi" w:hAnsiTheme="majorHAnsi"/>
          <w:b/>
        </w:rPr>
        <w:t>A</w:t>
      </w:r>
      <w:r w:rsidR="00597427" w:rsidRPr="0013327C">
        <w:rPr>
          <w:rFonts w:asciiTheme="majorHAnsi" w:hAnsiTheme="majorHAnsi"/>
        </w:rPr>
        <w:t xml:space="preserve"> shows</w:t>
      </w:r>
      <w:proofErr w:type="gramEnd"/>
      <w:r w:rsidR="00597427" w:rsidRPr="0013327C">
        <w:rPr>
          <w:rFonts w:asciiTheme="majorHAnsi" w:hAnsiTheme="majorHAnsi"/>
        </w:rPr>
        <w:t xml:space="preserve"> a cell with bright cytosolically mislocalised mRFP-PTS1. ABCD3-eGFP is punctate both in very small, dim</w:t>
      </w:r>
      <w:r w:rsidR="00A733D1">
        <w:rPr>
          <w:rFonts w:asciiTheme="majorHAnsi" w:hAnsiTheme="majorHAnsi"/>
        </w:rPr>
        <w:t>, cellularly</w:t>
      </w:r>
      <w:r w:rsidR="00597427" w:rsidRPr="0013327C">
        <w:rPr>
          <w:rFonts w:asciiTheme="majorHAnsi" w:hAnsiTheme="majorHAnsi"/>
        </w:rPr>
        <w:t xml:space="preserve"> </w:t>
      </w:r>
      <w:r w:rsidR="00A733D1" w:rsidRPr="0013327C">
        <w:rPr>
          <w:rFonts w:asciiTheme="majorHAnsi" w:hAnsiTheme="majorHAnsi"/>
        </w:rPr>
        <w:t xml:space="preserve">dispersed </w:t>
      </w:r>
      <w:r w:rsidR="00597427" w:rsidRPr="0013327C">
        <w:rPr>
          <w:rFonts w:asciiTheme="majorHAnsi" w:hAnsiTheme="majorHAnsi"/>
        </w:rPr>
        <w:t xml:space="preserve">puncta, and in </w:t>
      </w:r>
      <w:r w:rsidR="00A733D1">
        <w:rPr>
          <w:rFonts w:asciiTheme="majorHAnsi" w:hAnsiTheme="majorHAnsi"/>
        </w:rPr>
        <w:t xml:space="preserve">a perinuclear cluster of </w:t>
      </w:r>
      <w:r w:rsidR="00597427" w:rsidRPr="0013327C">
        <w:rPr>
          <w:rFonts w:asciiTheme="majorHAnsi" w:hAnsiTheme="majorHAnsi"/>
        </w:rPr>
        <w:t xml:space="preserve">larger, bright puncta. </w:t>
      </w:r>
      <w:r w:rsidR="00597427" w:rsidRPr="0013327C">
        <w:rPr>
          <w:rFonts w:asciiTheme="majorHAnsi" w:hAnsiTheme="majorHAnsi"/>
          <w:b/>
        </w:rPr>
        <w:t>B</w:t>
      </w:r>
      <w:r w:rsidR="00597427" w:rsidRPr="0013327C">
        <w:rPr>
          <w:rFonts w:asciiTheme="majorHAnsi" w:hAnsiTheme="majorHAnsi"/>
        </w:rPr>
        <w:t xml:space="preserve"> shows a dim</w:t>
      </w:r>
      <w:r w:rsidR="002E348F">
        <w:rPr>
          <w:rFonts w:asciiTheme="majorHAnsi" w:hAnsiTheme="majorHAnsi"/>
        </w:rPr>
        <w:t>,</w:t>
      </w:r>
      <w:r w:rsidR="00597427" w:rsidRPr="0013327C">
        <w:rPr>
          <w:rFonts w:asciiTheme="majorHAnsi" w:hAnsiTheme="majorHAnsi"/>
        </w:rPr>
        <w:t xml:space="preserve"> </w:t>
      </w:r>
      <w:r w:rsidR="002E348F">
        <w:rPr>
          <w:rFonts w:asciiTheme="majorHAnsi" w:hAnsiTheme="majorHAnsi"/>
        </w:rPr>
        <w:t xml:space="preserve">cytosolically mislocalised </w:t>
      </w:r>
      <w:r w:rsidR="00597427" w:rsidRPr="0013327C">
        <w:rPr>
          <w:rFonts w:asciiTheme="majorHAnsi" w:hAnsiTheme="majorHAnsi"/>
        </w:rPr>
        <w:t xml:space="preserve">presence of mRFP-PTS1 in 2 cells plus a bright concentration of the </w:t>
      </w:r>
      <w:r w:rsidR="007561AD">
        <w:rPr>
          <w:rFonts w:asciiTheme="majorHAnsi" w:hAnsiTheme="majorHAnsi"/>
        </w:rPr>
        <w:t xml:space="preserve">matrix </w:t>
      </w:r>
      <w:r w:rsidR="00597427" w:rsidRPr="0013327C">
        <w:rPr>
          <w:rFonts w:asciiTheme="majorHAnsi" w:hAnsiTheme="majorHAnsi"/>
        </w:rPr>
        <w:t xml:space="preserve">marker </w:t>
      </w:r>
      <w:r w:rsidR="007561AD">
        <w:rPr>
          <w:rFonts w:asciiTheme="majorHAnsi" w:hAnsiTheme="majorHAnsi"/>
        </w:rPr>
        <w:t xml:space="preserve">in </w:t>
      </w:r>
      <w:r w:rsidR="00597427" w:rsidRPr="0013327C">
        <w:rPr>
          <w:rFonts w:asciiTheme="majorHAnsi" w:hAnsiTheme="majorHAnsi"/>
        </w:rPr>
        <w:t>puncta of variable size; larger puncta are brighter. In the green channel t</w:t>
      </w:r>
      <w:r w:rsidR="007561AD">
        <w:rPr>
          <w:rFonts w:asciiTheme="majorHAnsi" w:hAnsiTheme="majorHAnsi"/>
        </w:rPr>
        <w:t>here are many green puncta. The</w:t>
      </w:r>
      <w:r w:rsidR="00597427" w:rsidRPr="0013327C">
        <w:rPr>
          <w:rFonts w:asciiTheme="majorHAnsi" w:hAnsiTheme="majorHAnsi"/>
        </w:rPr>
        <w:t xml:space="preserve"> green puncta that colocalise with the red puncta are larger and dimmer. </w:t>
      </w:r>
      <w:r w:rsidR="00597427" w:rsidRPr="0013327C">
        <w:rPr>
          <w:rFonts w:asciiTheme="majorHAnsi" w:hAnsiTheme="majorHAnsi"/>
          <w:b/>
        </w:rPr>
        <w:t>C</w:t>
      </w:r>
      <w:r w:rsidR="00597427" w:rsidRPr="0013327C">
        <w:rPr>
          <w:rFonts w:asciiTheme="majorHAnsi" w:hAnsiTheme="majorHAnsi"/>
        </w:rPr>
        <w:t xml:space="preserve"> shows 2 cells with </w:t>
      </w:r>
      <w:r w:rsidR="00910C42">
        <w:rPr>
          <w:rFonts w:asciiTheme="majorHAnsi" w:hAnsiTheme="majorHAnsi"/>
        </w:rPr>
        <w:t xml:space="preserve">larger, brighter </w:t>
      </w:r>
      <w:r w:rsidR="00597427" w:rsidRPr="0013327C">
        <w:rPr>
          <w:rFonts w:asciiTheme="majorHAnsi" w:hAnsiTheme="majorHAnsi"/>
        </w:rPr>
        <w:t xml:space="preserve">red puncta. In the green channel, </w:t>
      </w:r>
      <w:r w:rsidR="00A91BE9">
        <w:rPr>
          <w:rFonts w:asciiTheme="majorHAnsi" w:hAnsiTheme="majorHAnsi"/>
        </w:rPr>
        <w:t>different sizes of punctum can be seen</w:t>
      </w:r>
      <w:r w:rsidR="00597427" w:rsidRPr="0013327C">
        <w:rPr>
          <w:rFonts w:asciiTheme="majorHAnsi" w:hAnsiTheme="majorHAnsi"/>
        </w:rPr>
        <w:t>. Of the larger ones, half appear to colocalise with the red puncta, a small proportion of the smaller green puncta colocalise while the majority don’t. There are 2-3 small red puncta which do not colocalise with green puncta. All images are merged z-stacks taken at 60X magnification. Bar = 50µm.</w:t>
      </w:r>
    </w:p>
    <w:p w:rsidR="00597427" w:rsidRPr="0013327C" w:rsidRDefault="00597427" w:rsidP="00AE0264">
      <w:pPr>
        <w:jc w:val="both"/>
        <w:rPr>
          <w:rFonts w:asciiTheme="majorHAnsi" w:hAnsiTheme="majorHAnsi"/>
        </w:rPr>
      </w:pPr>
      <w:r w:rsidRPr="0013327C">
        <w:rPr>
          <w:rFonts w:asciiTheme="majorHAnsi" w:hAnsiTheme="majorHAnsi"/>
        </w:rPr>
        <w:lastRenderedPageBreak/>
        <w:t xml:space="preserve">It is difficult to determine exactly what effect an nmd KD is having in this assay. The screens’ phenotypes show cytosolic mislocalisation of PTS1-marker, sometimes with fewer, larger puncta than WT cells. This is reported faithfully by the mRFP-PTS1 marker in this assay as shown by panels </w:t>
      </w:r>
      <w:r w:rsidRPr="0013327C">
        <w:rPr>
          <w:rFonts w:asciiTheme="majorHAnsi" w:hAnsiTheme="majorHAnsi"/>
          <w:b/>
        </w:rPr>
        <w:t>A-C</w:t>
      </w:r>
      <w:r w:rsidRPr="0013327C">
        <w:rPr>
          <w:rFonts w:asciiTheme="majorHAnsi" w:hAnsiTheme="majorHAnsi"/>
        </w:rPr>
        <w:t xml:space="preserve"> in Figure 5.22.4. Based on the use of a matrix marker throughout this research it was thought that nmd might mimic the phenotype of either </w:t>
      </w:r>
      <w:r w:rsidR="000C26B2" w:rsidRPr="000C26B2">
        <w:rPr>
          <w:rFonts w:asciiTheme="majorHAnsi" w:hAnsiTheme="majorHAnsi"/>
          <w:i/>
        </w:rPr>
        <w:t>PEX</w:t>
      </w:r>
      <w:r w:rsidRPr="0013327C">
        <w:rPr>
          <w:rFonts w:asciiTheme="majorHAnsi" w:hAnsiTheme="majorHAnsi"/>
        </w:rPr>
        <w:t xml:space="preserve">5 or </w:t>
      </w:r>
      <w:r w:rsidR="000C26B2" w:rsidRPr="000C26B2">
        <w:rPr>
          <w:rFonts w:asciiTheme="majorHAnsi" w:hAnsiTheme="majorHAnsi"/>
          <w:i/>
        </w:rPr>
        <w:t>PEX</w:t>
      </w:r>
      <w:r w:rsidRPr="0013327C">
        <w:rPr>
          <w:rFonts w:asciiTheme="majorHAnsi" w:hAnsiTheme="majorHAnsi"/>
        </w:rPr>
        <w:t xml:space="preserve">16 which could then be confirmed using the membrane marker. Panel </w:t>
      </w:r>
      <w:proofErr w:type="gramStart"/>
      <w:r w:rsidRPr="0013327C">
        <w:rPr>
          <w:rFonts w:asciiTheme="majorHAnsi" w:hAnsiTheme="majorHAnsi"/>
          <w:b/>
        </w:rPr>
        <w:t>A</w:t>
      </w:r>
      <w:proofErr w:type="gramEnd"/>
      <w:r w:rsidRPr="0013327C">
        <w:rPr>
          <w:rFonts w:asciiTheme="majorHAnsi" w:hAnsiTheme="majorHAnsi"/>
        </w:rPr>
        <w:t xml:space="preserve"> shows the presence of green puncta with cytosolic mRFP-PTS1 which resembles a </w:t>
      </w:r>
      <w:r w:rsidR="000C26B2" w:rsidRPr="000C26B2">
        <w:rPr>
          <w:rFonts w:asciiTheme="majorHAnsi" w:hAnsiTheme="majorHAnsi"/>
          <w:i/>
        </w:rPr>
        <w:t>PEX</w:t>
      </w:r>
      <w:r w:rsidRPr="0013327C">
        <w:rPr>
          <w:rFonts w:asciiTheme="majorHAnsi" w:hAnsiTheme="majorHAnsi"/>
        </w:rPr>
        <w:t xml:space="preserve">5-like phenotype and implies loss of function in PTS1 targeting and/or membrane translocation. Conversely panel </w:t>
      </w:r>
      <w:r w:rsidRPr="0013327C">
        <w:rPr>
          <w:rFonts w:asciiTheme="majorHAnsi" w:hAnsiTheme="majorHAnsi"/>
          <w:b/>
        </w:rPr>
        <w:t>B</w:t>
      </w:r>
      <w:r w:rsidRPr="0013327C">
        <w:rPr>
          <w:rFonts w:asciiTheme="majorHAnsi" w:hAnsiTheme="majorHAnsi"/>
        </w:rPr>
        <w:t xml:space="preserve"> shows large, bright red puncta which colocalise with large, dim green puncta many smaller bright, green puncta dispersed throughout the cytosol. There is widespread </w:t>
      </w:r>
      <w:r w:rsidR="000211B9" w:rsidRPr="0013327C">
        <w:rPr>
          <w:rFonts w:asciiTheme="majorHAnsi" w:hAnsiTheme="majorHAnsi"/>
        </w:rPr>
        <w:t>cytosolic</w:t>
      </w:r>
      <w:r w:rsidRPr="0013327C">
        <w:rPr>
          <w:rFonts w:asciiTheme="majorHAnsi" w:hAnsiTheme="majorHAnsi"/>
        </w:rPr>
        <w:t xml:space="preserve"> mislocalisation of mRFP-PTS1 in these cells too. This is similar to the </w:t>
      </w:r>
      <w:r w:rsidR="000C26B2" w:rsidRPr="000C26B2">
        <w:rPr>
          <w:rFonts w:asciiTheme="majorHAnsi" w:hAnsiTheme="majorHAnsi"/>
          <w:i/>
        </w:rPr>
        <w:t>PEX</w:t>
      </w:r>
      <w:r w:rsidRPr="0013327C">
        <w:rPr>
          <w:rFonts w:asciiTheme="majorHAnsi" w:hAnsiTheme="majorHAnsi"/>
        </w:rPr>
        <w:t xml:space="preserve">16 phenotype. Observation of panel </w:t>
      </w:r>
      <w:r w:rsidRPr="0013327C">
        <w:rPr>
          <w:rFonts w:asciiTheme="majorHAnsi" w:hAnsiTheme="majorHAnsi"/>
          <w:b/>
        </w:rPr>
        <w:t>C</w:t>
      </w:r>
      <w:r w:rsidRPr="0013327C">
        <w:rPr>
          <w:rFonts w:asciiTheme="majorHAnsi" w:hAnsiTheme="majorHAnsi"/>
        </w:rPr>
        <w:t xml:space="preserve"> shows these cells to be similar in appearance to those of </w:t>
      </w:r>
      <w:r w:rsidRPr="0013327C">
        <w:rPr>
          <w:rFonts w:asciiTheme="majorHAnsi" w:hAnsiTheme="majorHAnsi"/>
          <w:b/>
        </w:rPr>
        <w:t>B</w:t>
      </w:r>
      <w:r w:rsidRPr="0013327C">
        <w:rPr>
          <w:rFonts w:asciiTheme="majorHAnsi" w:hAnsiTheme="majorHAnsi"/>
        </w:rPr>
        <w:t xml:space="preserve"> and </w:t>
      </w:r>
      <w:r w:rsidR="000C26B2" w:rsidRPr="000C26B2">
        <w:rPr>
          <w:rFonts w:asciiTheme="majorHAnsi" w:hAnsiTheme="majorHAnsi"/>
          <w:i/>
        </w:rPr>
        <w:t>PEX</w:t>
      </w:r>
      <w:r w:rsidRPr="0013327C">
        <w:rPr>
          <w:rFonts w:asciiTheme="majorHAnsi" w:hAnsiTheme="majorHAnsi"/>
        </w:rPr>
        <w:t>16 phenotype. They differ by having five or more distinguishable populations of puncta:</w:t>
      </w:r>
    </w:p>
    <w:p w:rsidR="00597427" w:rsidRPr="0013327C" w:rsidRDefault="00597427" w:rsidP="00AE0264">
      <w:pPr>
        <w:pStyle w:val="ListParagraph"/>
        <w:numPr>
          <w:ilvl w:val="0"/>
          <w:numId w:val="20"/>
        </w:numPr>
        <w:jc w:val="both"/>
        <w:rPr>
          <w:rFonts w:asciiTheme="majorHAnsi" w:hAnsiTheme="majorHAnsi"/>
        </w:rPr>
      </w:pPr>
      <w:r w:rsidRPr="0013327C">
        <w:rPr>
          <w:rFonts w:asciiTheme="majorHAnsi" w:hAnsiTheme="majorHAnsi"/>
        </w:rPr>
        <w:t>Large red with green</w:t>
      </w:r>
    </w:p>
    <w:p w:rsidR="00597427" w:rsidRPr="0013327C" w:rsidRDefault="00597427" w:rsidP="00AE0264">
      <w:pPr>
        <w:pStyle w:val="ListParagraph"/>
        <w:numPr>
          <w:ilvl w:val="0"/>
          <w:numId w:val="20"/>
        </w:numPr>
        <w:jc w:val="both"/>
        <w:rPr>
          <w:rFonts w:asciiTheme="majorHAnsi" w:hAnsiTheme="majorHAnsi"/>
        </w:rPr>
      </w:pPr>
      <w:r w:rsidRPr="0013327C">
        <w:rPr>
          <w:rFonts w:asciiTheme="majorHAnsi" w:hAnsiTheme="majorHAnsi"/>
        </w:rPr>
        <w:t>Large green</w:t>
      </w:r>
    </w:p>
    <w:p w:rsidR="00597427" w:rsidRPr="0013327C" w:rsidRDefault="00597427" w:rsidP="00AE0264">
      <w:pPr>
        <w:pStyle w:val="ListParagraph"/>
        <w:numPr>
          <w:ilvl w:val="0"/>
          <w:numId w:val="20"/>
        </w:numPr>
        <w:jc w:val="both"/>
        <w:rPr>
          <w:rFonts w:asciiTheme="majorHAnsi" w:hAnsiTheme="majorHAnsi"/>
        </w:rPr>
      </w:pPr>
      <w:r w:rsidRPr="0013327C">
        <w:rPr>
          <w:rFonts w:asciiTheme="majorHAnsi" w:hAnsiTheme="majorHAnsi"/>
        </w:rPr>
        <w:t>Small red</w:t>
      </w:r>
    </w:p>
    <w:p w:rsidR="00597427" w:rsidRPr="0013327C" w:rsidRDefault="00597427" w:rsidP="00AE0264">
      <w:pPr>
        <w:pStyle w:val="ListParagraph"/>
        <w:numPr>
          <w:ilvl w:val="0"/>
          <w:numId w:val="20"/>
        </w:numPr>
        <w:jc w:val="both"/>
        <w:rPr>
          <w:rFonts w:asciiTheme="majorHAnsi" w:hAnsiTheme="majorHAnsi"/>
        </w:rPr>
      </w:pPr>
      <w:r w:rsidRPr="0013327C">
        <w:rPr>
          <w:rFonts w:asciiTheme="majorHAnsi" w:hAnsiTheme="majorHAnsi"/>
        </w:rPr>
        <w:t>Small red with green</w:t>
      </w:r>
    </w:p>
    <w:p w:rsidR="00597427" w:rsidRPr="0013327C" w:rsidRDefault="00597427" w:rsidP="00AE0264">
      <w:pPr>
        <w:pStyle w:val="ListParagraph"/>
        <w:numPr>
          <w:ilvl w:val="0"/>
          <w:numId w:val="20"/>
        </w:numPr>
        <w:jc w:val="both"/>
        <w:rPr>
          <w:rFonts w:asciiTheme="majorHAnsi" w:hAnsiTheme="majorHAnsi"/>
        </w:rPr>
      </w:pPr>
      <w:r w:rsidRPr="0013327C">
        <w:rPr>
          <w:rFonts w:asciiTheme="majorHAnsi" w:hAnsiTheme="majorHAnsi"/>
        </w:rPr>
        <w:t>Small green</w:t>
      </w:r>
    </w:p>
    <w:p w:rsidR="00597427" w:rsidRPr="0013327C" w:rsidRDefault="00597427" w:rsidP="00AE0264">
      <w:pPr>
        <w:jc w:val="both"/>
        <w:rPr>
          <w:rFonts w:asciiTheme="majorHAnsi" w:hAnsiTheme="majorHAnsi"/>
        </w:rPr>
      </w:pPr>
      <w:r w:rsidRPr="0013327C">
        <w:rPr>
          <w:rFonts w:asciiTheme="majorHAnsi" w:hAnsiTheme="majorHAnsi"/>
        </w:rPr>
        <w:t>This occurs only in two cells imaged from the slide and therefore is not a robust example of the action of nmd KD. However if the phenotype in panel C is real then the implications for the function of nmd in peroxisomal biochemical pathways could be numerous.  Figure 5.22.5 shows the composite images adjusted from each KD adjusted to scale.</w:t>
      </w: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r w:rsidRPr="0013327C">
        <w:rPr>
          <w:rFonts w:asciiTheme="majorHAnsi" w:hAnsiTheme="majorHAnsi"/>
        </w:rPr>
        <w:t xml:space="preserve"> </w:t>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832825" cy="4097152"/>
            <wp:effectExtent l="19050" t="0" r="5875" b="0"/>
            <wp:docPr id="1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cstate="print"/>
                    <a:srcRect/>
                    <a:stretch>
                      <a:fillRect/>
                    </a:stretch>
                  </pic:blipFill>
                  <pic:spPr bwMode="auto">
                    <a:xfrm>
                      <a:off x="0" y="0"/>
                      <a:ext cx="4829162" cy="4094047"/>
                    </a:xfrm>
                    <a:prstGeom prst="rect">
                      <a:avLst/>
                    </a:prstGeom>
                    <a:noFill/>
                  </pic:spPr>
                </pic:pic>
              </a:graphicData>
            </a:graphic>
          </wp:inline>
        </w:drawing>
      </w:r>
    </w:p>
    <w:p w:rsidR="00597427" w:rsidRPr="0013327C" w:rsidRDefault="00597427" w:rsidP="00AE0264">
      <w:pPr>
        <w:jc w:val="both"/>
        <w:rPr>
          <w:rFonts w:asciiTheme="majorHAnsi" w:hAnsiTheme="majorHAnsi"/>
        </w:rPr>
      </w:pPr>
      <w:r w:rsidRPr="0009469E">
        <w:rPr>
          <w:rFonts w:asciiTheme="majorHAnsi" w:hAnsiTheme="majorHAnsi"/>
          <w:b/>
        </w:rPr>
        <w:t>5.</w:t>
      </w:r>
      <w:r w:rsidR="00872912">
        <w:rPr>
          <w:rFonts w:asciiTheme="majorHAnsi" w:hAnsiTheme="majorHAnsi"/>
          <w:b/>
        </w:rPr>
        <w:t>28</w:t>
      </w:r>
      <w:r w:rsidRPr="0009469E">
        <w:rPr>
          <w:rFonts w:asciiTheme="majorHAnsi" w:hAnsiTheme="majorHAnsi"/>
          <w:b/>
        </w:rPr>
        <w:t>. All KD phenotypes of do</w:t>
      </w:r>
      <w:r w:rsidR="0009469E" w:rsidRPr="0009469E">
        <w:rPr>
          <w:rFonts w:asciiTheme="majorHAnsi" w:hAnsiTheme="majorHAnsi"/>
          <w:b/>
        </w:rPr>
        <w:t>uble-labelled S2R+ cells, shown to scale.</w:t>
      </w:r>
      <w:r w:rsidRPr="0013327C">
        <w:rPr>
          <w:rFonts w:asciiTheme="majorHAnsi" w:hAnsiTheme="majorHAnsi"/>
          <w:b/>
        </w:rPr>
        <w:t xml:space="preserve"> </w:t>
      </w:r>
      <w:r w:rsidRPr="0013327C">
        <w:rPr>
          <w:rFonts w:asciiTheme="majorHAnsi" w:hAnsiTheme="majorHAnsi"/>
        </w:rPr>
        <w:t xml:space="preserve">S2R+ cells stably transfected with ABCD3-eGFP and mRFP-PTS1 were seeded with 2 µg of </w:t>
      </w:r>
      <w:proofErr w:type="gramStart"/>
      <w:r w:rsidRPr="0013327C">
        <w:rPr>
          <w:rFonts w:asciiTheme="majorHAnsi" w:hAnsiTheme="majorHAnsi"/>
        </w:rPr>
        <w:t xml:space="preserve">either </w:t>
      </w:r>
      <w:r w:rsidR="000C26B2" w:rsidRPr="000C26B2">
        <w:rPr>
          <w:rFonts w:asciiTheme="majorHAnsi" w:hAnsiTheme="majorHAnsi"/>
          <w:i/>
        </w:rPr>
        <w:t>PEX</w:t>
      </w:r>
      <w:r w:rsidRPr="0013327C">
        <w:rPr>
          <w:rFonts w:asciiTheme="majorHAnsi" w:hAnsiTheme="majorHAnsi"/>
        </w:rPr>
        <w:t>5</w:t>
      </w:r>
      <w:proofErr w:type="gramEnd"/>
      <w:r w:rsidRPr="0013327C">
        <w:rPr>
          <w:rFonts w:asciiTheme="majorHAnsi" w:hAnsiTheme="majorHAnsi"/>
        </w:rPr>
        <w:t xml:space="preserve">, </w:t>
      </w:r>
      <w:r w:rsidR="000C26B2" w:rsidRPr="000C26B2">
        <w:rPr>
          <w:rFonts w:asciiTheme="majorHAnsi" w:hAnsiTheme="majorHAnsi"/>
          <w:i/>
        </w:rPr>
        <w:t>PEX</w:t>
      </w:r>
      <w:r w:rsidRPr="0013327C">
        <w:rPr>
          <w:rFonts w:asciiTheme="majorHAnsi" w:hAnsiTheme="majorHAnsi"/>
        </w:rPr>
        <w:t>16 or nmd dsRNA probe or none and grown for 5 days before induction for 24 hours with 50µM CuSO</w:t>
      </w:r>
      <w:r w:rsidRPr="0013327C">
        <w:rPr>
          <w:rFonts w:asciiTheme="majorHAnsi" w:hAnsiTheme="majorHAnsi"/>
          <w:vertAlign w:val="subscript"/>
        </w:rPr>
        <w:t>4</w:t>
      </w:r>
      <w:r w:rsidRPr="0013327C">
        <w:rPr>
          <w:rFonts w:asciiTheme="majorHAnsi" w:hAnsiTheme="majorHAnsi"/>
        </w:rPr>
        <w:t xml:space="preserve">. Cells were then fixed and imaged. Images are of the same cells </w:t>
      </w:r>
      <w:r w:rsidR="000211B9" w:rsidRPr="0013327C">
        <w:rPr>
          <w:rFonts w:asciiTheme="majorHAnsi" w:hAnsiTheme="majorHAnsi"/>
        </w:rPr>
        <w:t>examined</w:t>
      </w:r>
      <w:r w:rsidRPr="0013327C">
        <w:rPr>
          <w:rFonts w:asciiTheme="majorHAnsi" w:hAnsiTheme="majorHAnsi"/>
        </w:rPr>
        <w:t xml:space="preserve"> in Figures 5.2</w:t>
      </w:r>
      <w:r w:rsidR="00542EF8">
        <w:rPr>
          <w:rFonts w:asciiTheme="majorHAnsi" w:hAnsiTheme="majorHAnsi"/>
        </w:rPr>
        <w:t>9-33</w:t>
      </w:r>
      <w:r w:rsidRPr="0013327C">
        <w:rPr>
          <w:rFonts w:asciiTheme="majorHAnsi" w:hAnsiTheme="majorHAnsi"/>
        </w:rPr>
        <w:t xml:space="preserve"> but adjusted to scale for comparison of puncta sizes. All images are merged z-stacks taken at 60X magnification. Bar = 50µm.</w:t>
      </w:r>
    </w:p>
    <w:p w:rsidR="00597427" w:rsidRPr="0013327C" w:rsidRDefault="00597427" w:rsidP="00AE0264">
      <w:pPr>
        <w:jc w:val="both"/>
        <w:rPr>
          <w:rFonts w:asciiTheme="majorHAnsi" w:hAnsiTheme="majorHAnsi"/>
        </w:rPr>
      </w:pPr>
    </w:p>
    <w:p w:rsidR="00597427" w:rsidRPr="0013327C" w:rsidRDefault="00597427" w:rsidP="00AE0264">
      <w:pPr>
        <w:pStyle w:val="Heading2"/>
        <w:jc w:val="both"/>
      </w:pPr>
      <w:bookmarkStart w:id="148" w:name="_Toc348423400"/>
      <w:r w:rsidRPr="0013327C">
        <w:t xml:space="preserve">Fluorescently tagged nmd </w:t>
      </w:r>
      <w:r w:rsidR="000211B9" w:rsidRPr="0013327C">
        <w:t>localises</w:t>
      </w:r>
      <w:r w:rsidRPr="0013327C">
        <w:t xml:space="preserve"> to mitochondria and peroxisomes in WT cells.</w:t>
      </w:r>
      <w:bookmarkEnd w:id="148"/>
    </w:p>
    <w:p w:rsidR="00597427" w:rsidRPr="0013327C" w:rsidRDefault="00597427" w:rsidP="00AE0264">
      <w:pPr>
        <w:jc w:val="both"/>
        <w:rPr>
          <w:rFonts w:asciiTheme="majorHAnsi" w:hAnsiTheme="majorHAnsi"/>
        </w:rPr>
      </w:pPr>
      <w:r w:rsidRPr="0013327C">
        <w:rPr>
          <w:rFonts w:asciiTheme="majorHAnsi" w:hAnsiTheme="majorHAnsi"/>
        </w:rPr>
        <w:t xml:space="preserve">To investigate where nmd is localised in S2R+ cells the nmd ORF was cloned into the shuttle vector for inducible C-terminal green fluorescent fusion proteins (see methods and materials Chapter 2.4). The translated protein would contain a C-terminal GFP tag and would be inducible under the expression of the </w:t>
      </w:r>
      <w:r w:rsidR="000211B9" w:rsidRPr="0013327C">
        <w:rPr>
          <w:rFonts w:asciiTheme="majorHAnsi" w:hAnsiTheme="majorHAnsi"/>
        </w:rPr>
        <w:t>pMt</w:t>
      </w:r>
      <w:r w:rsidRPr="0013327C">
        <w:rPr>
          <w:rFonts w:asciiTheme="majorHAnsi" w:hAnsiTheme="majorHAnsi"/>
        </w:rPr>
        <w:t xml:space="preserve"> promoter. Due to the effect of nmd KD on reduction of peroxisome number the construct would be co-transfected with mRFP-PTS1 to see if co-localisation occurs. The following experiments were all performed in the absence of any dsRNA probes.</w:t>
      </w:r>
    </w:p>
    <w:p w:rsidR="00597427" w:rsidRPr="0013327C" w:rsidRDefault="00597427" w:rsidP="00AE0264">
      <w:pPr>
        <w:jc w:val="both"/>
        <w:rPr>
          <w:rFonts w:asciiTheme="majorHAnsi" w:hAnsiTheme="majorHAnsi"/>
        </w:rPr>
      </w:pPr>
      <w:r w:rsidRPr="0013327C">
        <w:rPr>
          <w:rFonts w:asciiTheme="majorHAnsi" w:hAnsiTheme="majorHAnsi"/>
          <w:noProof/>
          <w:lang w:eastAsia="en-GB"/>
        </w:rPr>
        <w:lastRenderedPageBreak/>
        <w:drawing>
          <wp:inline distT="0" distB="0" distL="0" distR="0">
            <wp:extent cx="4779834" cy="2567573"/>
            <wp:effectExtent l="0" t="0" r="1716" b="0"/>
            <wp:docPr id="1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cstate="print"/>
                    <a:srcRect/>
                    <a:stretch>
                      <a:fillRect/>
                    </a:stretch>
                  </pic:blipFill>
                  <pic:spPr bwMode="auto">
                    <a:xfrm>
                      <a:off x="0" y="0"/>
                      <a:ext cx="4775074" cy="2565016"/>
                    </a:xfrm>
                    <a:prstGeom prst="rect">
                      <a:avLst/>
                    </a:prstGeom>
                    <a:noFill/>
                  </pic:spPr>
                </pic:pic>
              </a:graphicData>
            </a:graphic>
          </wp:inline>
        </w:drawing>
      </w:r>
    </w:p>
    <w:p w:rsidR="00597427" w:rsidRPr="0013327C" w:rsidRDefault="00597427" w:rsidP="00AE0264">
      <w:pPr>
        <w:jc w:val="both"/>
        <w:rPr>
          <w:rFonts w:asciiTheme="majorHAnsi" w:hAnsiTheme="majorHAnsi"/>
        </w:rPr>
      </w:pPr>
      <w:proofErr w:type="gramStart"/>
      <w:r w:rsidRPr="0013327C">
        <w:rPr>
          <w:rFonts w:asciiTheme="majorHAnsi" w:hAnsiTheme="majorHAnsi"/>
          <w:b/>
        </w:rPr>
        <w:t>Figure 5.</w:t>
      </w:r>
      <w:r w:rsidR="00872912">
        <w:rPr>
          <w:rFonts w:asciiTheme="majorHAnsi" w:hAnsiTheme="majorHAnsi"/>
          <w:b/>
        </w:rPr>
        <w:t>29</w:t>
      </w:r>
      <w:r w:rsidRPr="0013327C">
        <w:rPr>
          <w:rFonts w:asciiTheme="majorHAnsi" w:hAnsiTheme="majorHAnsi"/>
          <w:b/>
        </w:rPr>
        <w:t>.</w:t>
      </w:r>
      <w:proofErr w:type="gramEnd"/>
      <w:r w:rsidRPr="0013327C">
        <w:rPr>
          <w:rFonts w:asciiTheme="majorHAnsi" w:hAnsiTheme="majorHAnsi"/>
          <w:b/>
        </w:rPr>
        <w:t xml:space="preserve"> </w:t>
      </w:r>
      <w:proofErr w:type="gramStart"/>
      <w:r w:rsidRPr="0013327C">
        <w:rPr>
          <w:rFonts w:asciiTheme="majorHAnsi" w:hAnsiTheme="majorHAnsi"/>
          <w:b/>
        </w:rPr>
        <w:t>WT phenotypes of S2R+ cells double-labelled with mRFP-PTS1 and nmd-eGFP.</w:t>
      </w:r>
      <w:proofErr w:type="gramEnd"/>
      <w:r w:rsidRPr="0013327C">
        <w:rPr>
          <w:rFonts w:asciiTheme="majorHAnsi" w:hAnsiTheme="majorHAnsi"/>
          <w:b/>
        </w:rPr>
        <w:t xml:space="preserve"> </w:t>
      </w:r>
      <w:r w:rsidRPr="0013327C">
        <w:rPr>
          <w:rFonts w:asciiTheme="majorHAnsi" w:hAnsiTheme="majorHAnsi"/>
        </w:rPr>
        <w:t>S2R+ cells transiently transfected with nmd-eGFP and mRFP-PTS1 were grown for 5 days before induction for 24 hours with 50µM CuSO</w:t>
      </w:r>
      <w:r w:rsidRPr="0013327C">
        <w:rPr>
          <w:rFonts w:asciiTheme="majorHAnsi" w:hAnsiTheme="majorHAnsi"/>
          <w:vertAlign w:val="subscript"/>
        </w:rPr>
        <w:t>4</w:t>
      </w:r>
      <w:r w:rsidRPr="0013327C">
        <w:rPr>
          <w:rFonts w:asciiTheme="majorHAnsi" w:hAnsiTheme="majorHAnsi"/>
        </w:rPr>
        <w:t xml:space="preserve">. Cells were then fixed and imaged. Panels </w:t>
      </w:r>
      <w:r w:rsidRPr="0013327C">
        <w:rPr>
          <w:rFonts w:asciiTheme="majorHAnsi" w:hAnsiTheme="majorHAnsi"/>
          <w:b/>
        </w:rPr>
        <w:t>A</w:t>
      </w:r>
      <w:r w:rsidRPr="0013327C">
        <w:rPr>
          <w:rFonts w:asciiTheme="majorHAnsi" w:hAnsiTheme="majorHAnsi"/>
        </w:rPr>
        <w:t xml:space="preserve"> and </w:t>
      </w:r>
      <w:r w:rsidRPr="0013327C">
        <w:rPr>
          <w:rFonts w:asciiTheme="majorHAnsi" w:hAnsiTheme="majorHAnsi"/>
          <w:b/>
        </w:rPr>
        <w:t xml:space="preserve">B </w:t>
      </w:r>
      <w:r w:rsidRPr="0013327C">
        <w:rPr>
          <w:rFonts w:asciiTheme="majorHAnsi" w:hAnsiTheme="majorHAnsi"/>
        </w:rPr>
        <w:t xml:space="preserve">show the punctate pattern of a fluorescent PTS1 marker in the red channel. This </w:t>
      </w:r>
      <w:r w:rsidR="000211B9">
        <w:rPr>
          <w:rFonts w:asciiTheme="majorHAnsi" w:hAnsiTheme="majorHAnsi"/>
        </w:rPr>
        <w:t>coloca</w:t>
      </w:r>
      <w:r w:rsidR="000211B9" w:rsidRPr="0013327C">
        <w:rPr>
          <w:rFonts w:asciiTheme="majorHAnsi" w:hAnsiTheme="majorHAnsi"/>
        </w:rPr>
        <w:t>lises</w:t>
      </w:r>
      <w:r w:rsidRPr="0013327C">
        <w:rPr>
          <w:rFonts w:asciiTheme="majorHAnsi" w:hAnsiTheme="majorHAnsi"/>
        </w:rPr>
        <w:t xml:space="preserve"> with puncta in the green channel. The nmd-eGFP partially colocalises with the punctate pattern of mRFP-PTS1. There are irregular shapes in the green channel which cannot be attributed to peroxisomal puncta. All images are merged z-stacks taken at 60X magnification. Bar = 50µm.</w:t>
      </w:r>
    </w:p>
    <w:p w:rsidR="00597427" w:rsidRPr="0013327C" w:rsidRDefault="00597427" w:rsidP="00AE0264">
      <w:pPr>
        <w:jc w:val="both"/>
        <w:rPr>
          <w:rFonts w:asciiTheme="majorHAnsi" w:hAnsiTheme="majorHAnsi"/>
        </w:rPr>
      </w:pPr>
      <w:r w:rsidRPr="0013327C">
        <w:rPr>
          <w:rFonts w:asciiTheme="majorHAnsi" w:hAnsiTheme="majorHAnsi"/>
        </w:rPr>
        <w:t xml:space="preserve">The transient co-transfection of nmd-eGFP and mRFP-PTS1 shows that nmd is localised to </w:t>
      </w:r>
      <w:r w:rsidR="000211B9" w:rsidRPr="0013327C">
        <w:rPr>
          <w:rFonts w:asciiTheme="majorHAnsi" w:hAnsiTheme="majorHAnsi"/>
        </w:rPr>
        <w:t>at least</w:t>
      </w:r>
      <w:r w:rsidRPr="0013327C">
        <w:rPr>
          <w:rFonts w:asciiTheme="majorHAnsi" w:hAnsiTheme="majorHAnsi"/>
        </w:rPr>
        <w:t xml:space="preserve"> 2 cellular compartments when C-terminally tagged with eGFP. The first that we can see is the peroxisome. In the composite image it can be seen that red puncta co-localise with part of the green fluorescence of nmd. The rest of the nmd pattern is irregular in shape. It appears to be contained within structures in the cytosol as shown by the void of fluorescence created by the presence of the nucleus. These irregular structures are found in the very periphery of the cell in the same way that the peroxisomes are, as observed in Panel A. Due to the mitochondrial reference in its name and the appearance that the unknown GFP signal could be on a peripheral organellar structure, experiments were conducted to see if the non-peroxisomal signal was mitochondrial. </w:t>
      </w:r>
      <w:r w:rsidR="000211B9">
        <w:rPr>
          <w:rFonts w:asciiTheme="majorHAnsi" w:hAnsiTheme="majorHAnsi"/>
        </w:rPr>
        <w:t>MitoT</w:t>
      </w:r>
      <w:r w:rsidR="000211B9" w:rsidRPr="0013327C">
        <w:rPr>
          <w:rFonts w:asciiTheme="majorHAnsi" w:hAnsiTheme="majorHAnsi"/>
        </w:rPr>
        <w:t>racker</w:t>
      </w:r>
      <w:r w:rsidRPr="0013327C">
        <w:rPr>
          <w:rFonts w:asciiTheme="majorHAnsi" w:hAnsiTheme="majorHAnsi"/>
        </w:rPr>
        <w:t xml:space="preserve"> is a fluorescent dye used to label mitochondria in living cells. It is used in the following experiment to show the location of mitochondria in the red fluorescent channel (see Methods chapter 2.8). Invitrogen claim that it is retained in fixed cells that are properly treated yet attempts at fixing S2R+ cells stained with MitoTracker failed to produce clear images. Cells were then grown and </w:t>
      </w:r>
      <w:r w:rsidRPr="0013327C">
        <w:rPr>
          <w:rFonts w:asciiTheme="majorHAnsi" w:hAnsiTheme="majorHAnsi"/>
        </w:rPr>
        <w:lastRenderedPageBreak/>
        <w:t>treated using Ibidi 8-well live imaging slides and treated the MitoTracker according to live imaging protocols (see Methods Chapter 2.9).</w:t>
      </w: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r w:rsidRPr="0013327C">
        <w:rPr>
          <w:rFonts w:asciiTheme="majorHAnsi" w:hAnsiTheme="majorHAnsi"/>
          <w:noProof/>
          <w:lang w:eastAsia="en-GB"/>
        </w:rPr>
        <w:drawing>
          <wp:inline distT="0" distB="0" distL="0" distR="0">
            <wp:extent cx="5037826" cy="3666461"/>
            <wp:effectExtent l="0" t="0" r="0" b="0"/>
            <wp:docPr id="174" name="Picture 61" descr="final image2.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image2.bmp.png"/>
                    <pic:cNvPicPr/>
                  </pic:nvPicPr>
                  <pic:blipFill>
                    <a:blip r:embed="rId155" cstate="print"/>
                    <a:stretch>
                      <a:fillRect/>
                    </a:stretch>
                  </pic:blipFill>
                  <pic:spPr>
                    <a:xfrm>
                      <a:off x="0" y="0"/>
                      <a:ext cx="5037930" cy="3666537"/>
                    </a:xfrm>
                    <a:prstGeom prst="rect">
                      <a:avLst/>
                    </a:prstGeom>
                  </pic:spPr>
                </pic:pic>
              </a:graphicData>
            </a:graphic>
          </wp:inline>
        </w:drawing>
      </w:r>
      <w:r w:rsidRPr="0013327C">
        <w:rPr>
          <w:rFonts w:asciiTheme="majorHAnsi" w:hAnsiTheme="majorHAnsi"/>
        </w:rPr>
        <w:t xml:space="preserve"> </w:t>
      </w:r>
      <w:proofErr w:type="gramStart"/>
      <w:r w:rsidRPr="0013327C">
        <w:rPr>
          <w:rFonts w:asciiTheme="majorHAnsi" w:hAnsiTheme="majorHAnsi"/>
          <w:b/>
        </w:rPr>
        <w:t xml:space="preserve">Figure </w:t>
      </w:r>
      <w:r w:rsidR="002D6321">
        <w:rPr>
          <w:rFonts w:asciiTheme="majorHAnsi" w:hAnsiTheme="majorHAnsi"/>
          <w:b/>
        </w:rPr>
        <w:t>5</w:t>
      </w:r>
      <w:r w:rsidRPr="0013327C">
        <w:rPr>
          <w:rFonts w:asciiTheme="majorHAnsi" w:hAnsiTheme="majorHAnsi"/>
          <w:b/>
        </w:rPr>
        <w:t>.</w:t>
      </w:r>
      <w:r w:rsidR="00D83B66">
        <w:rPr>
          <w:rFonts w:asciiTheme="majorHAnsi" w:hAnsiTheme="majorHAnsi"/>
          <w:b/>
        </w:rPr>
        <w:t>30</w:t>
      </w:r>
      <w:r w:rsidRPr="0013327C">
        <w:rPr>
          <w:rFonts w:asciiTheme="majorHAnsi" w:hAnsiTheme="majorHAnsi"/>
          <w:b/>
        </w:rPr>
        <w:t>.</w:t>
      </w:r>
      <w:proofErr w:type="gramEnd"/>
      <w:r w:rsidRPr="0013327C">
        <w:rPr>
          <w:rFonts w:asciiTheme="majorHAnsi" w:hAnsiTheme="majorHAnsi"/>
          <w:b/>
        </w:rPr>
        <w:t xml:space="preserve"> </w:t>
      </w:r>
      <w:proofErr w:type="gramStart"/>
      <w:r w:rsidRPr="0013327C">
        <w:rPr>
          <w:rFonts w:asciiTheme="majorHAnsi" w:hAnsiTheme="majorHAnsi"/>
          <w:b/>
        </w:rPr>
        <w:t xml:space="preserve">WT phenotypes of S2R+ cells double-labelled with </w:t>
      </w:r>
      <w:r w:rsidR="00691C7A">
        <w:rPr>
          <w:rFonts w:asciiTheme="majorHAnsi" w:hAnsiTheme="majorHAnsi"/>
          <w:b/>
        </w:rPr>
        <w:t>MitoTracker</w:t>
      </w:r>
      <w:r w:rsidRPr="0013327C">
        <w:rPr>
          <w:rFonts w:asciiTheme="majorHAnsi" w:hAnsiTheme="majorHAnsi"/>
          <w:b/>
        </w:rPr>
        <w:t xml:space="preserve"> and nmd-eGFP.</w:t>
      </w:r>
      <w:proofErr w:type="gramEnd"/>
      <w:r w:rsidRPr="0013327C">
        <w:rPr>
          <w:rFonts w:asciiTheme="majorHAnsi" w:hAnsiTheme="majorHAnsi"/>
          <w:b/>
        </w:rPr>
        <w:t xml:space="preserve"> </w:t>
      </w:r>
      <w:r w:rsidRPr="0013327C">
        <w:rPr>
          <w:rFonts w:asciiTheme="majorHAnsi" w:hAnsiTheme="majorHAnsi"/>
        </w:rPr>
        <w:t>S2R+ cells transiently transfected with nmd-eGFP were grown for 5 days before induction for 24 hours with 50µM CuSO</w:t>
      </w:r>
      <w:r w:rsidRPr="0013327C">
        <w:rPr>
          <w:rFonts w:asciiTheme="majorHAnsi" w:hAnsiTheme="majorHAnsi"/>
          <w:vertAlign w:val="subscript"/>
        </w:rPr>
        <w:t>4</w:t>
      </w:r>
      <w:r w:rsidRPr="0013327C">
        <w:rPr>
          <w:rFonts w:asciiTheme="majorHAnsi" w:hAnsiTheme="majorHAnsi"/>
        </w:rPr>
        <w:t xml:space="preserve">. Cells were then washed with serum-free media containing 25nM MitoTracker Deep Red for one hour before being imaged in 10% serum-containing medium. Panel </w:t>
      </w:r>
      <w:proofErr w:type="gramStart"/>
      <w:r w:rsidRPr="0013327C">
        <w:rPr>
          <w:rFonts w:asciiTheme="majorHAnsi" w:hAnsiTheme="majorHAnsi"/>
          <w:b/>
        </w:rPr>
        <w:t>A</w:t>
      </w:r>
      <w:proofErr w:type="gramEnd"/>
      <w:r w:rsidRPr="0013327C">
        <w:rPr>
          <w:rFonts w:asciiTheme="majorHAnsi" w:hAnsiTheme="majorHAnsi"/>
        </w:rPr>
        <w:t xml:space="preserve"> shows 2 untransfected cells from the sample that were stained with MitoTracker Deep Red. These cells are unaffected by nmd-eGFP expression. Panel </w:t>
      </w:r>
      <w:r w:rsidRPr="0013327C">
        <w:rPr>
          <w:rFonts w:asciiTheme="majorHAnsi" w:hAnsiTheme="majorHAnsi"/>
          <w:b/>
        </w:rPr>
        <w:t>B</w:t>
      </w:r>
      <w:r w:rsidRPr="0013327C">
        <w:rPr>
          <w:rFonts w:asciiTheme="majorHAnsi" w:hAnsiTheme="majorHAnsi"/>
        </w:rPr>
        <w:t xml:space="preserve"> shows two cells also stained with MitoTracker and expressing nmd-eGFP. The nmd expression is high and has caused a large central core of the protein to form in one part of each cell. There is partial colocalisation of the nmd-eGFP signal with parts of the MitoTracker staining. Panel </w:t>
      </w:r>
      <w:r w:rsidRPr="0013327C">
        <w:rPr>
          <w:rFonts w:asciiTheme="majorHAnsi" w:hAnsiTheme="majorHAnsi"/>
          <w:b/>
        </w:rPr>
        <w:t>C</w:t>
      </w:r>
      <w:r w:rsidRPr="0013327C">
        <w:rPr>
          <w:rFonts w:asciiTheme="majorHAnsi" w:hAnsiTheme="majorHAnsi"/>
        </w:rPr>
        <w:t xml:space="preserve"> shows a transfected cell with lower nmd-eGFP expression and a distinct mitochondrial staining pattern seen. Partial colocalisation can be observed. All images are merged z-stacks taken at 60X magnification. Bar = 50µm.</w:t>
      </w:r>
    </w:p>
    <w:p w:rsidR="00597427" w:rsidRPr="0013327C" w:rsidRDefault="00597427" w:rsidP="00AE0264">
      <w:pPr>
        <w:jc w:val="both"/>
        <w:rPr>
          <w:rFonts w:asciiTheme="majorHAnsi" w:hAnsiTheme="majorHAnsi"/>
        </w:rPr>
      </w:pPr>
      <w:r w:rsidRPr="0013327C">
        <w:rPr>
          <w:rFonts w:asciiTheme="majorHAnsi" w:hAnsiTheme="majorHAnsi"/>
        </w:rPr>
        <w:t xml:space="preserve">The MitoTracker stain was able to produce reasonably well-contrasted elongated </w:t>
      </w:r>
      <w:r w:rsidR="000211B9" w:rsidRPr="0013327C">
        <w:rPr>
          <w:rFonts w:asciiTheme="majorHAnsi" w:hAnsiTheme="majorHAnsi"/>
        </w:rPr>
        <w:t>puncta</w:t>
      </w:r>
      <w:r w:rsidRPr="0013327C">
        <w:rPr>
          <w:rFonts w:asciiTheme="majorHAnsi" w:hAnsiTheme="majorHAnsi"/>
        </w:rPr>
        <w:t xml:space="preserve">. In live imaging these are motile and can appear more elongated in images than they do in real time. In panel </w:t>
      </w:r>
      <w:r w:rsidR="000211B9">
        <w:rPr>
          <w:rFonts w:asciiTheme="majorHAnsi" w:hAnsiTheme="majorHAnsi"/>
        </w:rPr>
        <w:t>A</w:t>
      </w:r>
      <w:r w:rsidRPr="0013327C">
        <w:rPr>
          <w:rFonts w:asciiTheme="majorHAnsi" w:hAnsiTheme="majorHAnsi"/>
        </w:rPr>
        <w:t xml:space="preserve"> the mitochondria are relatively well-dispersed </w:t>
      </w:r>
      <w:r w:rsidRPr="0013327C">
        <w:rPr>
          <w:rFonts w:asciiTheme="majorHAnsi" w:hAnsiTheme="majorHAnsi"/>
        </w:rPr>
        <w:lastRenderedPageBreak/>
        <w:t xml:space="preserve">throughout the cytoplasm. In Panel B the presence of nmd-eGFP expression has caused both the fusion protein and mitochondria to form </w:t>
      </w:r>
      <w:r w:rsidR="00C53210" w:rsidRPr="0013327C">
        <w:rPr>
          <w:rFonts w:asciiTheme="majorHAnsi" w:hAnsiTheme="majorHAnsi"/>
        </w:rPr>
        <w:t>a</w:t>
      </w:r>
      <w:r w:rsidRPr="0013327C">
        <w:rPr>
          <w:rFonts w:asciiTheme="majorHAnsi" w:hAnsiTheme="majorHAnsi"/>
        </w:rPr>
        <w:t xml:space="preserve"> dense bolus in one part of the cell. Despite this the mitochondria on the opposite side of the cell are visible. Parts of the mitochondria colocalise with the nmd-eGFP but the less-defined signal of the latter means that it is difficult to confirm the presence with any certainty. The punctate part of the nmd-eGFP pattern does not colocalise with the mitochondria. Panel </w:t>
      </w:r>
      <w:r w:rsidRPr="0013327C">
        <w:rPr>
          <w:rFonts w:asciiTheme="majorHAnsi" w:hAnsiTheme="majorHAnsi"/>
          <w:b/>
        </w:rPr>
        <w:t>C</w:t>
      </w:r>
      <w:r w:rsidRPr="0013327C">
        <w:rPr>
          <w:rFonts w:asciiTheme="majorHAnsi" w:hAnsiTheme="majorHAnsi"/>
        </w:rPr>
        <w:t xml:space="preserve"> has lower nmd-eGFP expression, removing the presence of a large body of it. Again the nmd-eGFP signal is similar to that of the mitochondria. </w:t>
      </w:r>
      <w:r w:rsidR="009B15AC" w:rsidRPr="0013327C">
        <w:rPr>
          <w:rFonts w:asciiTheme="majorHAnsi" w:hAnsiTheme="majorHAnsi"/>
        </w:rPr>
        <w:t xml:space="preserve">There are fronds of mitochondria at the bottom of the image, projecting </w:t>
      </w:r>
      <w:r w:rsidR="009B15AC">
        <w:rPr>
          <w:rFonts w:asciiTheme="majorHAnsi" w:hAnsiTheme="majorHAnsi"/>
        </w:rPr>
        <w:t>in towards the nucleus that colocalise with</w:t>
      </w:r>
      <w:r w:rsidR="009B15AC" w:rsidRPr="0013327C">
        <w:rPr>
          <w:rFonts w:asciiTheme="majorHAnsi" w:hAnsiTheme="majorHAnsi"/>
        </w:rPr>
        <w:t xml:space="preserve"> diffuse fronds in the equivalent position, reported with nmd-eGFP. </w:t>
      </w:r>
      <w:r w:rsidRPr="0013327C">
        <w:rPr>
          <w:rFonts w:asciiTheme="majorHAnsi" w:hAnsiTheme="majorHAnsi"/>
        </w:rPr>
        <w:t xml:space="preserve">They </w:t>
      </w:r>
      <w:proofErr w:type="gramStart"/>
      <w:r w:rsidRPr="0013327C">
        <w:rPr>
          <w:rFonts w:asciiTheme="majorHAnsi" w:hAnsiTheme="majorHAnsi"/>
        </w:rPr>
        <w:t>are,</w:t>
      </w:r>
      <w:proofErr w:type="gramEnd"/>
      <w:r w:rsidRPr="0013327C">
        <w:rPr>
          <w:rFonts w:asciiTheme="majorHAnsi" w:hAnsiTheme="majorHAnsi"/>
        </w:rPr>
        <w:t xml:space="preserve"> however, diffuse enough that confirmations cannot be made of true colocalisation. While the two signals appear colocalised in the composite images of both panels </w:t>
      </w:r>
      <w:r w:rsidRPr="0013327C">
        <w:rPr>
          <w:rFonts w:asciiTheme="majorHAnsi" w:hAnsiTheme="majorHAnsi"/>
          <w:b/>
        </w:rPr>
        <w:t>B</w:t>
      </w:r>
      <w:r w:rsidRPr="0013327C">
        <w:rPr>
          <w:rFonts w:asciiTheme="majorHAnsi" w:hAnsiTheme="majorHAnsi"/>
        </w:rPr>
        <w:t xml:space="preserve"> and </w:t>
      </w:r>
      <w:r w:rsidRPr="0013327C">
        <w:rPr>
          <w:rFonts w:asciiTheme="majorHAnsi" w:hAnsiTheme="majorHAnsi"/>
          <w:b/>
        </w:rPr>
        <w:t>C</w:t>
      </w:r>
      <w:r w:rsidRPr="0013327C">
        <w:rPr>
          <w:rFonts w:asciiTheme="majorHAnsi" w:hAnsiTheme="majorHAnsi"/>
        </w:rPr>
        <w:t xml:space="preserve">, there is sufficient overlap to make the spatial relationship questionable. The relationship is no clearer when looking at the individual images in the stacks (not shown). </w:t>
      </w:r>
    </w:p>
    <w:p w:rsidR="00597427" w:rsidRPr="0013327C" w:rsidRDefault="00597427" w:rsidP="00AE0264">
      <w:pPr>
        <w:pStyle w:val="Heading2"/>
        <w:jc w:val="both"/>
      </w:pPr>
      <w:bookmarkStart w:id="149" w:name="_Toc348423401"/>
      <w:proofErr w:type="gramStart"/>
      <w:r w:rsidRPr="0013327C">
        <w:t>Discussion of Secondary Screen and experiments on nmd.</w:t>
      </w:r>
      <w:bookmarkEnd w:id="149"/>
      <w:proofErr w:type="gramEnd"/>
    </w:p>
    <w:p w:rsidR="00597427" w:rsidRPr="0013327C" w:rsidRDefault="00597427" w:rsidP="00AE0264">
      <w:pPr>
        <w:jc w:val="both"/>
        <w:rPr>
          <w:rFonts w:asciiTheme="majorHAnsi" w:hAnsiTheme="majorHAnsi"/>
        </w:rPr>
      </w:pPr>
      <w:r w:rsidRPr="0013327C">
        <w:rPr>
          <w:rFonts w:asciiTheme="majorHAnsi" w:hAnsiTheme="majorHAnsi"/>
        </w:rPr>
        <w:t xml:space="preserve">The Secondary screen plate was filled with the hits and the most promising visual candidates from Screen 2. Despite the plate containing negative controls in over 25% of its wells the vast majority of the plate would be comprised of the statistical outliers of Screen 2. A statistical analysis conducted on the secondary screen in the same way as Screen 2 would in theory only return in the region of 20 </w:t>
      </w:r>
      <w:proofErr w:type="gramStart"/>
      <w:r w:rsidRPr="0013327C">
        <w:rPr>
          <w:rFonts w:asciiTheme="majorHAnsi" w:hAnsiTheme="majorHAnsi"/>
        </w:rPr>
        <w:t>candidates  based</w:t>
      </w:r>
      <w:proofErr w:type="gramEnd"/>
      <w:r w:rsidRPr="0013327C">
        <w:rPr>
          <w:rFonts w:asciiTheme="majorHAnsi" w:hAnsiTheme="majorHAnsi"/>
        </w:rPr>
        <w:t xml:space="preserve"> on  approximately 5% of the KDs being statistical outliers. When over 250 candidate genes were being tested a more thorough analysis was needed to try to return a potentially higher quantity of candidates. Visual screening of the triplicate of plates in its entirety decided as the best solution to pick all KDs with a major visual aberration in phenotype, regardless of the z-scores they achieved.</w:t>
      </w:r>
    </w:p>
    <w:p w:rsidR="00597427" w:rsidRPr="0013327C" w:rsidRDefault="00597427" w:rsidP="00AE0264">
      <w:pPr>
        <w:jc w:val="both"/>
        <w:rPr>
          <w:rFonts w:asciiTheme="majorHAnsi" w:hAnsiTheme="majorHAnsi"/>
        </w:rPr>
      </w:pPr>
      <w:r w:rsidRPr="0013327C">
        <w:rPr>
          <w:rFonts w:asciiTheme="majorHAnsi" w:hAnsiTheme="majorHAnsi"/>
        </w:rPr>
        <w:t xml:space="preserve">All wells were observed for visually aberrant phenotypes and 58 candidates were selected prior to knowing what the KDs were against. They were identified by Gene name and then grouped in order of the number of replicates on which each KD scored a hit, from 3 to 1. They were then arranged by raw peroxisome count per cell within each group. </w:t>
      </w:r>
    </w:p>
    <w:p w:rsidR="00597427" w:rsidRPr="0013327C" w:rsidRDefault="00597427" w:rsidP="00AE0264">
      <w:pPr>
        <w:jc w:val="both"/>
        <w:rPr>
          <w:rFonts w:asciiTheme="majorHAnsi" w:hAnsiTheme="majorHAnsi"/>
        </w:rPr>
      </w:pPr>
      <w:r w:rsidRPr="0013327C">
        <w:rPr>
          <w:rFonts w:asciiTheme="majorHAnsi" w:hAnsiTheme="majorHAnsi"/>
        </w:rPr>
        <w:t xml:space="preserve">It was already known that the secondary screen had experienced highly aberrant phenotypes in the E-RNAi controls, not just with the high degree of severity but with the high percentage of the cells displaying aberrant phenotypes. It was hoped that the </w:t>
      </w:r>
      <w:r w:rsidR="000C26B2" w:rsidRPr="000C26B2">
        <w:rPr>
          <w:rFonts w:asciiTheme="majorHAnsi" w:hAnsiTheme="majorHAnsi"/>
          <w:i/>
        </w:rPr>
        <w:t>PEX</w:t>
      </w:r>
      <w:r w:rsidRPr="0013327C">
        <w:rPr>
          <w:rFonts w:asciiTheme="majorHAnsi" w:hAnsiTheme="majorHAnsi"/>
        </w:rPr>
        <w:t xml:space="preserve"> probes within the BKN library would be as effective at producing such profoundly </w:t>
      </w:r>
      <w:r w:rsidRPr="0013327C">
        <w:rPr>
          <w:rFonts w:asciiTheme="majorHAnsi" w:hAnsiTheme="majorHAnsi"/>
        </w:rPr>
        <w:lastRenderedPageBreak/>
        <w:t xml:space="preserve">effective and widely incurred non-WT presentations. Like Screen 2, among the best of the library </w:t>
      </w:r>
      <w:proofErr w:type="gramStart"/>
      <w:r w:rsidRPr="0013327C">
        <w:rPr>
          <w:rFonts w:asciiTheme="majorHAnsi" w:hAnsiTheme="majorHAnsi"/>
        </w:rPr>
        <w:t>probes was</w:t>
      </w:r>
      <w:proofErr w:type="gramEnd"/>
      <w:r w:rsidRPr="0013327C">
        <w:rPr>
          <w:rFonts w:asciiTheme="majorHAnsi" w:hAnsiTheme="majorHAnsi"/>
        </w:rPr>
        <w:t xml:space="preserve"> </w:t>
      </w:r>
      <w:r w:rsidR="000C26B2" w:rsidRPr="000C26B2">
        <w:rPr>
          <w:rFonts w:asciiTheme="majorHAnsi" w:hAnsiTheme="majorHAnsi"/>
          <w:i/>
        </w:rPr>
        <w:t>PEX</w:t>
      </w:r>
      <w:r w:rsidRPr="0013327C">
        <w:rPr>
          <w:rFonts w:asciiTheme="majorHAnsi" w:hAnsiTheme="majorHAnsi"/>
        </w:rPr>
        <w:t xml:space="preserve">16. It has become clear that </w:t>
      </w:r>
      <w:r w:rsidR="000C26B2" w:rsidRPr="000C26B2">
        <w:rPr>
          <w:rFonts w:asciiTheme="majorHAnsi" w:hAnsiTheme="majorHAnsi"/>
          <w:i/>
        </w:rPr>
        <w:t>PEX</w:t>
      </w:r>
      <w:r w:rsidRPr="0013327C">
        <w:rPr>
          <w:rFonts w:asciiTheme="majorHAnsi" w:hAnsiTheme="majorHAnsi"/>
        </w:rPr>
        <w:t xml:space="preserve">16 plays a crucial role in peroxisome biogenesis in </w:t>
      </w:r>
      <w:r w:rsidRPr="0013327C">
        <w:rPr>
          <w:rFonts w:asciiTheme="majorHAnsi" w:hAnsiTheme="majorHAnsi"/>
          <w:i/>
        </w:rPr>
        <w:t>D. melanogaster</w:t>
      </w:r>
      <w:r w:rsidRPr="0013327C">
        <w:rPr>
          <w:rFonts w:asciiTheme="majorHAnsi" w:hAnsiTheme="majorHAnsi"/>
        </w:rPr>
        <w:t xml:space="preserve">. Also among this top group and scoring highly was </w:t>
      </w:r>
      <w:r w:rsidR="000C26B2" w:rsidRPr="000C26B2">
        <w:rPr>
          <w:rFonts w:asciiTheme="majorHAnsi" w:hAnsiTheme="majorHAnsi"/>
          <w:i/>
        </w:rPr>
        <w:t>PEX</w:t>
      </w:r>
      <w:r w:rsidRPr="0013327C">
        <w:rPr>
          <w:rFonts w:asciiTheme="majorHAnsi" w:hAnsiTheme="majorHAnsi"/>
        </w:rPr>
        <w:t xml:space="preserve">13 which also scored well in Screen 2. Spaghetti squash had also found its place as one of the most aberrant KD phenotypes, but as this KD consistently showed mitotic defects in all images the gene has been considered to be of little interest. Atlastin, Moleskin and </w:t>
      </w:r>
      <w:r w:rsidR="000C26B2" w:rsidRPr="000C26B2">
        <w:rPr>
          <w:rFonts w:asciiTheme="majorHAnsi" w:hAnsiTheme="majorHAnsi"/>
          <w:i/>
        </w:rPr>
        <w:t>PEX</w:t>
      </w:r>
      <w:r w:rsidRPr="0013327C">
        <w:rPr>
          <w:rFonts w:asciiTheme="majorHAnsi" w:hAnsiTheme="majorHAnsi"/>
        </w:rPr>
        <w:t>5 were sorted to this top group and achieved convincing phenotypes. Moleskin is a novel gene that may be of interest in subsequent investigations.</w:t>
      </w:r>
    </w:p>
    <w:p w:rsidR="00597427" w:rsidRPr="0013327C" w:rsidRDefault="00597427" w:rsidP="00AE0264">
      <w:pPr>
        <w:jc w:val="both"/>
        <w:rPr>
          <w:rFonts w:asciiTheme="majorHAnsi" w:hAnsiTheme="majorHAnsi"/>
        </w:rPr>
      </w:pPr>
      <w:r w:rsidRPr="0013327C">
        <w:rPr>
          <w:rFonts w:asciiTheme="majorHAnsi" w:hAnsiTheme="majorHAnsi"/>
        </w:rPr>
        <w:t xml:space="preserve">In the second group nmd was found. Despite only achieving a visual phenotype in 2 of the three plates, the very low peroxisome per cell count is indicative that the gene KD has had a profound effect on peroxisome biogenesis. Also in the second group was </w:t>
      </w:r>
      <w:r w:rsidR="000C26B2" w:rsidRPr="000C26B2">
        <w:rPr>
          <w:rFonts w:asciiTheme="majorHAnsi" w:hAnsiTheme="majorHAnsi"/>
          <w:i/>
        </w:rPr>
        <w:t>PEX</w:t>
      </w:r>
      <w:r w:rsidRPr="0013327C">
        <w:rPr>
          <w:rFonts w:asciiTheme="majorHAnsi" w:hAnsiTheme="majorHAnsi"/>
        </w:rPr>
        <w:t>1 and three of the candidates from Screen 2 with high z-scores and KDs of interest; Gemini, par-1 and Casein Kinase 1α. Their presentations were very similar to those of their Screen 2 images but in both cases all three genes were treated with caution as high variety in cellular phenotype was present in their images. Such images that produced multiple phenotypes have to be considered as to whether the variation in cellular phenotype is in fact the true phenotype of the population of cells knocked down in this sample or an artefact. The fact that they recurred and repeated their aberrant cellular presentation suggests that there is reproducibility with this irregular conformation.</w:t>
      </w:r>
    </w:p>
    <w:p w:rsidR="00597427" w:rsidRPr="0013327C" w:rsidRDefault="00597427" w:rsidP="00AE0264">
      <w:pPr>
        <w:jc w:val="both"/>
        <w:rPr>
          <w:rFonts w:asciiTheme="majorHAnsi" w:hAnsiTheme="majorHAnsi"/>
        </w:rPr>
      </w:pPr>
      <w:r w:rsidRPr="0013327C">
        <w:rPr>
          <w:rFonts w:asciiTheme="majorHAnsi" w:hAnsiTheme="majorHAnsi"/>
        </w:rPr>
        <w:t xml:space="preserve">The samples found in the group scoring a hit in only one plate include probes that have been among the highest scoring z-scores for peroxisome count per cell. Drp1 has shown consistent changes in peroxisome morphology that were expected to be universally observed in the Secondary Screen. The loss of such a severely aberrant </w:t>
      </w:r>
      <w:proofErr w:type="gramStart"/>
      <w:r w:rsidRPr="0013327C">
        <w:rPr>
          <w:rFonts w:asciiTheme="majorHAnsi" w:hAnsiTheme="majorHAnsi"/>
        </w:rPr>
        <w:t>phenotype  in</w:t>
      </w:r>
      <w:proofErr w:type="gramEnd"/>
      <w:r w:rsidRPr="0013327C">
        <w:rPr>
          <w:rFonts w:asciiTheme="majorHAnsi" w:hAnsiTheme="majorHAnsi"/>
        </w:rPr>
        <w:t xml:space="preserve"> two of the three plates is difficult to explain. None of the KDs in this group scored peroxisome per cell counts below 10. This might indicate that there may be innate uncertainty in trying to determine whether moderated KDs have occurred. Yet this wouldn’t account for the high peroxisome per cell count seen among the ATPase subunits. These too were spotted in only one plate of the three yet scored a high enough average across the triplicate of samples that a KD seems increasingly likely. </w:t>
      </w:r>
    </w:p>
    <w:p w:rsidR="00597427" w:rsidRPr="0013327C" w:rsidRDefault="00597427" w:rsidP="00AE0264">
      <w:pPr>
        <w:jc w:val="both"/>
        <w:rPr>
          <w:rFonts w:asciiTheme="majorHAnsi" w:hAnsiTheme="majorHAnsi"/>
        </w:rPr>
      </w:pPr>
      <w:r w:rsidRPr="0013327C">
        <w:rPr>
          <w:rFonts w:asciiTheme="majorHAnsi" w:hAnsiTheme="majorHAnsi"/>
        </w:rPr>
        <w:t xml:space="preserve">Statistical evaluation was performed on the data using HTS2 bioinformatic software. This analysis was used to determine the most statistically significant hits from this </w:t>
      </w:r>
      <w:r w:rsidRPr="0013327C">
        <w:rPr>
          <w:rFonts w:asciiTheme="majorHAnsi" w:hAnsiTheme="majorHAnsi"/>
        </w:rPr>
        <w:lastRenderedPageBreak/>
        <w:t>screen despite the theoretically high relative distribution expected. It could at least be compared to the visual screen results. There are obviously many differences between the two analyses but two important ones are that the visual data was neither normalised nor expressed in terms of z-scores. Secondly it was a mean average of raw peroxisome count that was included in the heat map and the table. The statistical analysis normalised the data across each plate but not across all three. These normalised data were expressed in z-scores in terms of their respective plate σ from their plate mean. The median value was taken from the triplicate of each KD.</w:t>
      </w:r>
    </w:p>
    <w:p w:rsidR="00597427" w:rsidRPr="0013327C" w:rsidRDefault="00597427" w:rsidP="00AE0264">
      <w:pPr>
        <w:jc w:val="both"/>
        <w:rPr>
          <w:rFonts w:asciiTheme="majorHAnsi" w:hAnsiTheme="majorHAnsi"/>
        </w:rPr>
      </w:pPr>
      <w:r w:rsidRPr="0013327C">
        <w:rPr>
          <w:rFonts w:asciiTheme="majorHAnsi" w:hAnsiTheme="majorHAnsi"/>
        </w:rPr>
        <w:t xml:space="preserve">The Q-Q plot provided the most remarkable visualisation. High-scoring negative z-scores with the exception of the MTF-1 included the most aberrant of the </w:t>
      </w:r>
      <w:r w:rsidR="000C26B2" w:rsidRPr="000C26B2">
        <w:rPr>
          <w:rFonts w:asciiTheme="majorHAnsi" w:hAnsiTheme="majorHAnsi"/>
          <w:i/>
        </w:rPr>
        <w:t>PEX</w:t>
      </w:r>
      <w:r w:rsidRPr="0013327C">
        <w:rPr>
          <w:rFonts w:asciiTheme="majorHAnsi" w:hAnsiTheme="majorHAnsi"/>
        </w:rPr>
        <w:t xml:space="preserve"> genes (</w:t>
      </w:r>
      <w:r w:rsidR="000C26B2" w:rsidRPr="000C26B2">
        <w:rPr>
          <w:rFonts w:asciiTheme="majorHAnsi" w:hAnsiTheme="majorHAnsi"/>
          <w:i/>
        </w:rPr>
        <w:t>PEX</w:t>
      </w:r>
      <w:r w:rsidRPr="0013327C">
        <w:rPr>
          <w:rFonts w:asciiTheme="majorHAnsi" w:hAnsiTheme="majorHAnsi"/>
        </w:rPr>
        <w:t xml:space="preserve">16,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13, </w:t>
      </w:r>
      <w:r w:rsidR="000C26B2" w:rsidRPr="000C26B2">
        <w:rPr>
          <w:rFonts w:asciiTheme="majorHAnsi" w:hAnsiTheme="majorHAnsi"/>
          <w:i/>
        </w:rPr>
        <w:t>PEX</w:t>
      </w:r>
      <w:r w:rsidRPr="0013327C">
        <w:rPr>
          <w:rFonts w:asciiTheme="majorHAnsi" w:hAnsiTheme="majorHAnsi"/>
        </w:rPr>
        <w:t xml:space="preserve">1), and many of the notable candidate genes from Screen 2 and the visual analysis of the Secondary Screen. The three favourites from Screen 1, which are three of the most robustly effective KDs in the library to affect this </w:t>
      </w:r>
      <w:proofErr w:type="gramStart"/>
      <w:r w:rsidRPr="0013327C">
        <w:rPr>
          <w:rFonts w:asciiTheme="majorHAnsi" w:hAnsiTheme="majorHAnsi"/>
        </w:rPr>
        <w:t>assay</w:t>
      </w:r>
      <w:proofErr w:type="gramEnd"/>
      <w:r w:rsidRPr="0013327C">
        <w:rPr>
          <w:rFonts w:asciiTheme="majorHAnsi" w:hAnsiTheme="majorHAnsi"/>
        </w:rPr>
        <w:t xml:space="preserve"> are among the highest scorers in this shortlist of aberrant phenotypes.</w:t>
      </w:r>
    </w:p>
    <w:p w:rsidR="00597427" w:rsidRPr="0013327C" w:rsidRDefault="00597427" w:rsidP="00AE0264">
      <w:pPr>
        <w:jc w:val="both"/>
        <w:rPr>
          <w:rFonts w:asciiTheme="majorHAnsi" w:hAnsiTheme="majorHAnsi"/>
        </w:rPr>
      </w:pPr>
      <w:r w:rsidRPr="0013327C">
        <w:rPr>
          <w:rFonts w:asciiTheme="majorHAnsi" w:hAnsiTheme="majorHAnsi"/>
        </w:rPr>
        <w:t>Re-examination of the images of those novel genes on the Q-Q plot that were not found in the visual screen (Ephexin, lola, Chickadee) shows, like many of the novel candidates, a high degree of variability in phenotype among the cells imaged. There was however enough of an aberration to show that the assay was more than likely affected.</w:t>
      </w:r>
    </w:p>
    <w:p w:rsidR="00597427" w:rsidRPr="0013327C" w:rsidRDefault="00D93535" w:rsidP="00AE0264">
      <w:pPr>
        <w:jc w:val="both"/>
        <w:rPr>
          <w:rFonts w:asciiTheme="majorHAnsi" w:hAnsiTheme="majorHAnsi"/>
        </w:rPr>
      </w:pPr>
      <w:r w:rsidRPr="00D93535">
        <w:rPr>
          <w:rFonts w:asciiTheme="majorHAnsi" w:hAnsiTheme="majorHAnsi"/>
          <w:i/>
        </w:rPr>
        <w:t>PEX</w:t>
      </w:r>
      <w:r w:rsidR="00597427" w:rsidRPr="0013327C">
        <w:rPr>
          <w:rFonts w:asciiTheme="majorHAnsi" w:hAnsiTheme="majorHAnsi"/>
        </w:rPr>
        <w:t xml:space="preserve">-like phenotypes have been consistently displayed by nmd throughout the screening process. Statistically the images have caused low peroxisome per cell counts which have translated as high-scoring hits when expressed in terms of z-score. An E-RNAi-derived probe was designed after Screen 1 results to target nmd. Its success at producing a </w:t>
      </w:r>
      <w:r w:rsidR="000C26B2" w:rsidRPr="000C26B2">
        <w:rPr>
          <w:rFonts w:asciiTheme="majorHAnsi" w:hAnsiTheme="majorHAnsi"/>
          <w:i/>
        </w:rPr>
        <w:t>PEX</w:t>
      </w:r>
      <w:r w:rsidR="00597427" w:rsidRPr="0013327C">
        <w:rPr>
          <w:rFonts w:asciiTheme="majorHAnsi" w:hAnsiTheme="majorHAnsi"/>
        </w:rPr>
        <w:t>-like phenotype meant it could be used in the following screens as a control. It was and it produced some of the largest z-scores of the screens.</w:t>
      </w:r>
    </w:p>
    <w:p w:rsidR="00597427" w:rsidRPr="0013327C" w:rsidRDefault="00597427" w:rsidP="00AE0264">
      <w:pPr>
        <w:jc w:val="both"/>
        <w:rPr>
          <w:rFonts w:asciiTheme="majorHAnsi" w:hAnsiTheme="majorHAnsi"/>
        </w:rPr>
      </w:pPr>
      <w:r w:rsidRPr="0013327C">
        <w:rPr>
          <w:rFonts w:asciiTheme="majorHAnsi" w:hAnsiTheme="majorHAnsi"/>
        </w:rPr>
        <w:t xml:space="preserve">After the secondary screen it was decided that nmd would be the most suitable of the novel genes to pursue as a candidate for </w:t>
      </w:r>
      <w:r w:rsidR="000C26B2" w:rsidRPr="000C26B2">
        <w:rPr>
          <w:rFonts w:asciiTheme="majorHAnsi" w:hAnsiTheme="majorHAnsi"/>
          <w:i/>
        </w:rPr>
        <w:t>PEX</w:t>
      </w:r>
      <w:r w:rsidRPr="0013327C">
        <w:rPr>
          <w:rFonts w:asciiTheme="majorHAnsi" w:hAnsiTheme="majorHAnsi"/>
        </w:rPr>
        <w:t xml:space="preserve">-related research. The first experiment required attempting to classify nmd’s function. Based on images from all three screens nmd has caused cytosolic accumulation of eGFP-PTS1 ubiquitously. This can also be claimed of </w:t>
      </w:r>
      <w:r w:rsidR="000C26B2" w:rsidRPr="000C26B2">
        <w:rPr>
          <w:rFonts w:asciiTheme="majorHAnsi" w:hAnsiTheme="majorHAnsi"/>
          <w:i/>
        </w:rPr>
        <w:t>PEX</w:t>
      </w:r>
      <w:r w:rsidRPr="0013327C">
        <w:rPr>
          <w:rFonts w:asciiTheme="majorHAnsi" w:hAnsiTheme="majorHAnsi"/>
        </w:rPr>
        <w:t xml:space="preserve">16 and to a lesser extent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 xml:space="preserve">13.  </w:t>
      </w:r>
      <w:r w:rsidR="000C26B2" w:rsidRPr="000C26B2">
        <w:rPr>
          <w:rFonts w:asciiTheme="majorHAnsi" w:hAnsiTheme="majorHAnsi"/>
          <w:i/>
        </w:rPr>
        <w:t>PEX</w:t>
      </w:r>
      <w:r w:rsidRPr="0013327C">
        <w:rPr>
          <w:rFonts w:asciiTheme="majorHAnsi" w:hAnsiTheme="majorHAnsi"/>
        </w:rPr>
        <w:t xml:space="preserve">16 has been the only peroxin to show consistently fewer than 5 peroxisomes per cell, frequently only one is visible or none at all. </w:t>
      </w:r>
      <w:r w:rsidR="000C26B2" w:rsidRPr="000C26B2">
        <w:rPr>
          <w:rFonts w:asciiTheme="majorHAnsi" w:hAnsiTheme="majorHAnsi"/>
          <w:i/>
        </w:rPr>
        <w:t>PEX</w:t>
      </w:r>
      <w:r w:rsidRPr="0013327C">
        <w:rPr>
          <w:rFonts w:asciiTheme="majorHAnsi" w:hAnsiTheme="majorHAnsi"/>
        </w:rPr>
        <w:t xml:space="preserve">16 has in all the screens been the KD which, both in the BKN library and the E-RNAi-derived probes has best resembled the phenotype of nmd. The best evidence for this is shown in Screen 2 and in the Secondary Screen. Screen 2 </w:t>
      </w:r>
      <w:r w:rsidRPr="0013327C">
        <w:rPr>
          <w:rFonts w:asciiTheme="majorHAnsi" w:hAnsiTheme="majorHAnsi"/>
        </w:rPr>
        <w:lastRenderedPageBreak/>
        <w:t xml:space="preserve">shows </w:t>
      </w:r>
      <w:r w:rsidR="000C26B2" w:rsidRPr="000C26B2">
        <w:rPr>
          <w:rFonts w:asciiTheme="majorHAnsi" w:hAnsiTheme="majorHAnsi"/>
          <w:i/>
        </w:rPr>
        <w:t>PEX</w:t>
      </w:r>
      <w:r w:rsidRPr="0013327C">
        <w:rPr>
          <w:rFonts w:asciiTheme="majorHAnsi" w:hAnsiTheme="majorHAnsi"/>
        </w:rPr>
        <w:t xml:space="preserve">16 and nmd controls to have a low number of peroxisomes per cell, less than 5. Comparing the z-scores of the controls and the sample genes reveals the means </w:t>
      </w:r>
      <w:proofErr w:type="gramStart"/>
      <w:r w:rsidRPr="0013327C">
        <w:rPr>
          <w:rFonts w:asciiTheme="majorHAnsi" w:hAnsiTheme="majorHAnsi"/>
        </w:rPr>
        <w:t>of  nmd</w:t>
      </w:r>
      <w:proofErr w:type="gramEnd"/>
      <w:r w:rsidRPr="0013327C">
        <w:rPr>
          <w:rFonts w:asciiTheme="majorHAnsi" w:hAnsiTheme="majorHAnsi"/>
        </w:rPr>
        <w:t xml:space="preserve"> and </w:t>
      </w:r>
      <w:r w:rsidR="000C26B2" w:rsidRPr="000C26B2">
        <w:rPr>
          <w:rFonts w:asciiTheme="majorHAnsi" w:hAnsiTheme="majorHAnsi"/>
          <w:i/>
        </w:rPr>
        <w:t>PEX</w:t>
      </w:r>
      <w:r w:rsidRPr="0013327C">
        <w:rPr>
          <w:rFonts w:asciiTheme="majorHAnsi" w:hAnsiTheme="majorHAnsi"/>
        </w:rPr>
        <w:t xml:space="preserve">16 to be -9.51 and -8.60 respectively. The sample probes scored -8.49 and -8.85.  While this 1 dimensional marker for KD severity cannot be an indicator of mechanism of action or peroxin class, it supports the theory that their functions could be similar based on their phenotypes in the images. </w:t>
      </w:r>
    </w:p>
    <w:p w:rsidR="00597427" w:rsidRPr="0013327C" w:rsidRDefault="00597427" w:rsidP="00AE0264">
      <w:pPr>
        <w:jc w:val="both"/>
        <w:rPr>
          <w:rFonts w:asciiTheme="majorHAnsi" w:hAnsiTheme="majorHAnsi"/>
        </w:rPr>
      </w:pPr>
      <w:r w:rsidRPr="0013327C">
        <w:rPr>
          <w:rFonts w:asciiTheme="majorHAnsi" w:hAnsiTheme="majorHAnsi"/>
        </w:rPr>
        <w:t xml:space="preserve">The first follow-up research to be conducted on nmd was a comparison of its phenotype to those of WT, </w:t>
      </w:r>
      <w:r w:rsidR="000C26B2" w:rsidRPr="000C26B2">
        <w:rPr>
          <w:rFonts w:asciiTheme="majorHAnsi" w:hAnsiTheme="majorHAnsi"/>
          <w:i/>
        </w:rPr>
        <w:t>PEX</w:t>
      </w:r>
      <w:r w:rsidRPr="0013327C">
        <w:rPr>
          <w:rFonts w:asciiTheme="majorHAnsi" w:hAnsiTheme="majorHAnsi"/>
        </w:rPr>
        <w:t xml:space="preserve">5 and </w:t>
      </w:r>
      <w:r w:rsidR="000C26B2" w:rsidRPr="000C26B2">
        <w:rPr>
          <w:rFonts w:asciiTheme="majorHAnsi" w:hAnsiTheme="majorHAnsi"/>
          <w:i/>
        </w:rPr>
        <w:t>PEX</w:t>
      </w:r>
      <w:r w:rsidRPr="0013327C">
        <w:rPr>
          <w:rFonts w:asciiTheme="majorHAnsi" w:hAnsiTheme="majorHAnsi"/>
        </w:rPr>
        <w:t>16 cells when stably transfected with inducible matrix (mRFP-PTS1) and membrane (ABCD3-eGFP) markers. The 6-day KD experiment including a 24hour induction with 50µM CuSO</w:t>
      </w:r>
      <w:r w:rsidRPr="0013327C">
        <w:rPr>
          <w:rFonts w:asciiTheme="majorHAnsi" w:hAnsiTheme="majorHAnsi"/>
          <w:vertAlign w:val="subscript"/>
        </w:rPr>
        <w:t>4</w:t>
      </w:r>
      <w:r w:rsidRPr="0013327C">
        <w:rPr>
          <w:rFonts w:asciiTheme="majorHAnsi" w:hAnsiTheme="majorHAnsi"/>
        </w:rPr>
        <w:t xml:space="preserve"> was used.</w:t>
      </w:r>
    </w:p>
    <w:p w:rsidR="00597427" w:rsidRPr="0013327C" w:rsidRDefault="00597427" w:rsidP="00AE0264">
      <w:pPr>
        <w:jc w:val="both"/>
        <w:rPr>
          <w:rFonts w:asciiTheme="majorHAnsi" w:hAnsiTheme="majorHAnsi"/>
        </w:rPr>
      </w:pPr>
      <w:r w:rsidRPr="0013327C">
        <w:rPr>
          <w:rFonts w:asciiTheme="majorHAnsi" w:hAnsiTheme="majorHAnsi"/>
        </w:rPr>
        <w:t>The control cells presented with matrix and membrane protein colocalised in dots. The matrix protein consistently concentrated into brighter dots than the membrane protein. In Panel B unevenly sized peroxisomes show disproportionately bright mRFP-PTS1 compared to the slightly enlarged membrane structure surrounding them.</w:t>
      </w:r>
    </w:p>
    <w:p w:rsidR="00597427" w:rsidRPr="0013327C" w:rsidRDefault="000C26B2" w:rsidP="00AE0264">
      <w:pPr>
        <w:jc w:val="both"/>
        <w:rPr>
          <w:rFonts w:asciiTheme="majorHAnsi" w:hAnsiTheme="majorHAnsi"/>
        </w:rPr>
      </w:pPr>
      <w:r w:rsidRPr="000C26B2">
        <w:rPr>
          <w:rFonts w:asciiTheme="majorHAnsi" w:hAnsiTheme="majorHAnsi"/>
          <w:i/>
        </w:rPr>
        <w:t>PEX</w:t>
      </w:r>
      <w:r w:rsidR="00597427" w:rsidRPr="0013327C">
        <w:rPr>
          <w:rFonts w:asciiTheme="majorHAnsi" w:hAnsiTheme="majorHAnsi"/>
        </w:rPr>
        <w:t>5 KDs presented in a typical matrix protein import defect phenotype with ghost structures unable to concentrate the matrix protein into puncta contrastable with the cytosol.</w:t>
      </w:r>
    </w:p>
    <w:p w:rsidR="00597427" w:rsidRPr="0013327C" w:rsidRDefault="000C26B2" w:rsidP="00AE0264">
      <w:pPr>
        <w:jc w:val="both"/>
        <w:rPr>
          <w:rFonts w:asciiTheme="majorHAnsi" w:hAnsiTheme="majorHAnsi"/>
        </w:rPr>
      </w:pPr>
      <w:r w:rsidRPr="000C26B2">
        <w:rPr>
          <w:rFonts w:asciiTheme="majorHAnsi" w:hAnsiTheme="majorHAnsi"/>
          <w:i/>
        </w:rPr>
        <w:t>PEX</w:t>
      </w:r>
      <w:r w:rsidR="00597427" w:rsidRPr="0013327C">
        <w:rPr>
          <w:rFonts w:asciiTheme="majorHAnsi" w:hAnsiTheme="majorHAnsi"/>
        </w:rPr>
        <w:t xml:space="preserve">16 KD theoretically should show no peroxisomal structures as the </w:t>
      </w:r>
      <w:r w:rsidRPr="000C26B2">
        <w:rPr>
          <w:rFonts w:asciiTheme="majorHAnsi" w:hAnsiTheme="majorHAnsi"/>
          <w:i/>
        </w:rPr>
        <w:t>PEX</w:t>
      </w:r>
      <w:r w:rsidR="00597427" w:rsidRPr="0013327C">
        <w:rPr>
          <w:rFonts w:asciiTheme="majorHAnsi" w:hAnsiTheme="majorHAnsi"/>
        </w:rPr>
        <w:t>3-</w:t>
      </w:r>
      <w:r w:rsidRPr="000C26B2">
        <w:rPr>
          <w:rFonts w:asciiTheme="majorHAnsi" w:hAnsiTheme="majorHAnsi"/>
          <w:i/>
        </w:rPr>
        <w:t>PEX</w:t>
      </w:r>
      <w:r w:rsidR="00597427" w:rsidRPr="0013327C">
        <w:rPr>
          <w:rFonts w:asciiTheme="majorHAnsi" w:hAnsiTheme="majorHAnsi"/>
        </w:rPr>
        <w:t xml:space="preserve">19 complex has lost its receptor for membrane protein and lipid membrane vesicular transport to peroxisomes. </w:t>
      </w:r>
      <w:r w:rsidR="00376E9B" w:rsidRPr="0013327C">
        <w:rPr>
          <w:rFonts w:asciiTheme="majorHAnsi" w:hAnsiTheme="majorHAnsi"/>
        </w:rPr>
        <w:t xml:space="preserve">The presence in these cells of membrane ghosts could be the cytosolic </w:t>
      </w:r>
      <w:r w:rsidR="00376E9B" w:rsidRPr="000C26B2">
        <w:rPr>
          <w:rFonts w:asciiTheme="majorHAnsi" w:hAnsiTheme="majorHAnsi"/>
          <w:i/>
        </w:rPr>
        <w:t>PEX</w:t>
      </w:r>
      <w:r w:rsidR="00376E9B" w:rsidRPr="0013327C">
        <w:rPr>
          <w:rFonts w:asciiTheme="majorHAnsi" w:hAnsiTheme="majorHAnsi"/>
        </w:rPr>
        <w:t>3-</w:t>
      </w:r>
      <w:r w:rsidR="00376E9B" w:rsidRPr="000C26B2">
        <w:rPr>
          <w:rFonts w:asciiTheme="majorHAnsi" w:hAnsiTheme="majorHAnsi"/>
          <w:i/>
        </w:rPr>
        <w:t>PEX</w:t>
      </w:r>
      <w:r w:rsidR="00376E9B" w:rsidRPr="0013327C">
        <w:rPr>
          <w:rFonts w:asciiTheme="majorHAnsi" w:hAnsiTheme="majorHAnsi"/>
        </w:rPr>
        <w:t>19 complex, mislocalised and unable to fuse with the existing peroxisomes, which appear to be enlarged.</w:t>
      </w:r>
    </w:p>
    <w:p w:rsidR="00597427" w:rsidRPr="0013327C" w:rsidRDefault="00597427" w:rsidP="00AE0264">
      <w:pPr>
        <w:jc w:val="both"/>
        <w:rPr>
          <w:rFonts w:asciiTheme="majorHAnsi" w:hAnsiTheme="majorHAnsi"/>
        </w:rPr>
      </w:pPr>
      <w:r w:rsidRPr="0013327C">
        <w:rPr>
          <w:rFonts w:asciiTheme="majorHAnsi" w:hAnsiTheme="majorHAnsi"/>
        </w:rPr>
        <w:t xml:space="preserve">Nmd appears to have a similar presentation to </w:t>
      </w:r>
      <w:r w:rsidR="000C26B2" w:rsidRPr="000C26B2">
        <w:rPr>
          <w:rFonts w:asciiTheme="majorHAnsi" w:hAnsiTheme="majorHAnsi"/>
          <w:i/>
        </w:rPr>
        <w:t>PEX</w:t>
      </w:r>
      <w:r w:rsidRPr="0013327C">
        <w:rPr>
          <w:rFonts w:asciiTheme="majorHAnsi" w:hAnsiTheme="majorHAnsi"/>
        </w:rPr>
        <w:t xml:space="preserve">16 but with more import competent peroxisomes and fewer ghosts. If nmd is functionally similar to </w:t>
      </w:r>
      <w:r w:rsidR="000C26B2" w:rsidRPr="000C26B2">
        <w:rPr>
          <w:rFonts w:asciiTheme="majorHAnsi" w:hAnsiTheme="majorHAnsi"/>
          <w:i/>
        </w:rPr>
        <w:t>PEX</w:t>
      </w:r>
      <w:r w:rsidRPr="0013327C">
        <w:rPr>
          <w:rFonts w:asciiTheme="majorHAnsi" w:hAnsiTheme="majorHAnsi"/>
        </w:rPr>
        <w:t xml:space="preserve">16 it may have less of </w:t>
      </w:r>
      <w:r w:rsidR="00376E9B" w:rsidRPr="0013327C">
        <w:rPr>
          <w:rFonts w:asciiTheme="majorHAnsi" w:hAnsiTheme="majorHAnsi"/>
        </w:rPr>
        <w:t>a</w:t>
      </w:r>
      <w:r w:rsidR="00376E9B">
        <w:rPr>
          <w:rFonts w:asciiTheme="majorHAnsi" w:hAnsiTheme="majorHAnsi"/>
        </w:rPr>
        <w:t xml:space="preserve"> </w:t>
      </w:r>
      <w:r w:rsidR="00376E9B" w:rsidRPr="0013327C">
        <w:rPr>
          <w:rFonts w:asciiTheme="majorHAnsi" w:hAnsiTheme="majorHAnsi"/>
        </w:rPr>
        <w:t>dominant</w:t>
      </w:r>
      <w:r w:rsidRPr="0013327C">
        <w:rPr>
          <w:rFonts w:asciiTheme="majorHAnsi" w:hAnsiTheme="majorHAnsi"/>
        </w:rPr>
        <w:t xml:space="preserve"> role in pre-peroxisomal fusion with mature peroxisomes. </w:t>
      </w: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597427" w:rsidP="00AE0264">
      <w:pPr>
        <w:jc w:val="both"/>
        <w:rPr>
          <w:rFonts w:asciiTheme="majorHAnsi" w:hAnsiTheme="majorHAnsi"/>
        </w:rPr>
      </w:pPr>
    </w:p>
    <w:p w:rsidR="00597427" w:rsidRPr="0013327C" w:rsidRDefault="00597427" w:rsidP="00AE0264">
      <w:pPr>
        <w:pStyle w:val="Heading1"/>
        <w:jc w:val="both"/>
      </w:pPr>
      <w:bookmarkStart w:id="150" w:name="_Toc348423402"/>
      <w:r w:rsidRPr="0013327C">
        <w:lastRenderedPageBreak/>
        <w:t>General Discussion</w:t>
      </w:r>
      <w:bookmarkEnd w:id="150"/>
    </w:p>
    <w:p w:rsidR="00597427" w:rsidRPr="0013327C" w:rsidRDefault="00597427" w:rsidP="00AE0264">
      <w:pPr>
        <w:pStyle w:val="ListParagraph"/>
        <w:keepNext/>
        <w:keepLines/>
        <w:spacing w:before="200" w:after="0"/>
        <w:ind w:left="432" w:hanging="432"/>
        <w:contextualSpacing w:val="0"/>
        <w:jc w:val="both"/>
        <w:outlineLvl w:val="1"/>
        <w:rPr>
          <w:rFonts w:asciiTheme="majorHAnsi" w:eastAsiaTheme="majorEastAsia" w:hAnsiTheme="majorHAnsi" w:cstheme="majorBidi"/>
          <w:b/>
          <w:bCs/>
          <w:vanish/>
          <w:color w:val="000000" w:themeColor="text1"/>
          <w:sz w:val="24"/>
          <w:szCs w:val="26"/>
        </w:rPr>
      </w:pPr>
    </w:p>
    <w:p w:rsidR="00597427" w:rsidRPr="0013327C" w:rsidRDefault="00597427" w:rsidP="00AE0264">
      <w:pPr>
        <w:pStyle w:val="Heading2"/>
        <w:jc w:val="both"/>
      </w:pPr>
      <w:bookmarkStart w:id="151" w:name="_Toc348423403"/>
      <w:r w:rsidRPr="0013327C">
        <w:t>Results of the first genome-wide screen for peroxisomes in D. melanogaster</w:t>
      </w:r>
      <w:bookmarkEnd w:id="151"/>
    </w:p>
    <w:p w:rsidR="00597427" w:rsidRPr="0013327C" w:rsidRDefault="00597427" w:rsidP="00AE0264">
      <w:pPr>
        <w:jc w:val="both"/>
        <w:rPr>
          <w:rFonts w:asciiTheme="majorHAnsi" w:hAnsiTheme="majorHAnsi"/>
        </w:rPr>
      </w:pPr>
      <w:r w:rsidRPr="0013327C">
        <w:rPr>
          <w:rFonts w:asciiTheme="majorHAnsi" w:hAnsiTheme="majorHAnsi"/>
        </w:rPr>
        <w:t xml:space="preserve">The first genome-wide screen in </w:t>
      </w:r>
      <w:r w:rsidRPr="0013327C">
        <w:rPr>
          <w:rFonts w:asciiTheme="majorHAnsi" w:hAnsiTheme="majorHAnsi"/>
          <w:i/>
        </w:rPr>
        <w:t>D. melanogaster</w:t>
      </w:r>
      <w:r w:rsidRPr="0013327C">
        <w:rPr>
          <w:rFonts w:asciiTheme="majorHAnsi" w:hAnsiTheme="majorHAnsi"/>
        </w:rPr>
        <w:t xml:space="preserve"> did not reveal the large number of candidate genes that it was hoped it might. As mentioned in the introduction there is expected to be a large number of peroxins in the animal peroxin families. When it is taken into account that nearly half of the peroxins in S. cerevisiae are unaccounted for in D. melanogaster and H. sapiens as demonstrated by database and literature searches, it quickly becomes apparent that the potential number of as yet undiscovered peroxins is in the region </w:t>
      </w:r>
      <w:proofErr w:type="gramStart"/>
      <w:r w:rsidRPr="0013327C">
        <w:rPr>
          <w:rFonts w:asciiTheme="majorHAnsi" w:hAnsiTheme="majorHAnsi"/>
        </w:rPr>
        <w:t>of  tens</w:t>
      </w:r>
      <w:proofErr w:type="gramEnd"/>
      <w:r w:rsidRPr="0013327C">
        <w:rPr>
          <w:rFonts w:asciiTheme="majorHAnsi" w:hAnsiTheme="majorHAnsi"/>
        </w:rPr>
        <w:t xml:space="preserve"> of genes. A genome-wide screen that could discover half or even a quarter of these genes would provide a massive impetus for continued peroxisome research in animal model organisms.</w:t>
      </w:r>
    </w:p>
    <w:p w:rsidR="00597427" w:rsidRPr="0013327C" w:rsidRDefault="00597427" w:rsidP="00AE0264">
      <w:pPr>
        <w:jc w:val="both"/>
        <w:rPr>
          <w:rFonts w:asciiTheme="majorHAnsi" w:hAnsiTheme="majorHAnsi"/>
        </w:rPr>
      </w:pPr>
      <w:r w:rsidRPr="0013327C">
        <w:rPr>
          <w:rFonts w:asciiTheme="majorHAnsi" w:hAnsiTheme="majorHAnsi"/>
        </w:rPr>
        <w:t xml:space="preserve">Despite the poor yield of novel genes, there were three gene KDs that were able to produce aberrant phenotypes in the transfected cells, CG5395, CG3595 and CG6668 (their given names on flybase were “no mitochondrial derivative”, “spaghetti squash” and “Atlastin”). </w:t>
      </w:r>
    </w:p>
    <w:p w:rsidR="00597427" w:rsidRPr="0013327C" w:rsidRDefault="00597427" w:rsidP="00AE0264">
      <w:pPr>
        <w:jc w:val="both"/>
        <w:rPr>
          <w:rFonts w:asciiTheme="majorHAnsi" w:hAnsiTheme="majorHAnsi"/>
        </w:rPr>
      </w:pPr>
      <w:r w:rsidRPr="0013327C">
        <w:rPr>
          <w:rFonts w:asciiTheme="majorHAnsi" w:hAnsiTheme="majorHAnsi"/>
        </w:rPr>
        <w:t xml:space="preserve">A number of peroxins did produce hits from Screen 1 and some of them were very convincing either in the images produced or by the statistics that were derived from them or both. Of these genes </w:t>
      </w:r>
      <w:r w:rsidR="000C26B2" w:rsidRPr="000C26B2">
        <w:rPr>
          <w:rFonts w:asciiTheme="majorHAnsi" w:hAnsiTheme="majorHAnsi"/>
          <w:i/>
        </w:rPr>
        <w:t>PEX</w:t>
      </w:r>
      <w:r w:rsidRPr="0013327C">
        <w:rPr>
          <w:rFonts w:asciiTheme="majorHAnsi" w:hAnsiTheme="majorHAnsi"/>
        </w:rPr>
        <w:t xml:space="preserve">16,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 xml:space="preserve">13, </w:t>
      </w:r>
      <w:r w:rsidR="000C26B2" w:rsidRPr="000C26B2">
        <w:rPr>
          <w:rFonts w:asciiTheme="majorHAnsi" w:hAnsiTheme="majorHAnsi"/>
          <w:i/>
        </w:rPr>
        <w:t>PEX</w:t>
      </w:r>
      <w:r w:rsidRPr="0013327C">
        <w:rPr>
          <w:rFonts w:asciiTheme="majorHAnsi" w:hAnsiTheme="majorHAnsi"/>
        </w:rPr>
        <w:t xml:space="preserve">1 and </w:t>
      </w:r>
      <w:r w:rsidR="000C26B2" w:rsidRPr="000C26B2">
        <w:rPr>
          <w:rFonts w:asciiTheme="majorHAnsi" w:hAnsiTheme="majorHAnsi"/>
          <w:i/>
        </w:rPr>
        <w:t>PEX</w:t>
      </w:r>
      <w:r w:rsidRPr="0013327C">
        <w:rPr>
          <w:rFonts w:asciiTheme="majorHAnsi" w:hAnsiTheme="majorHAnsi"/>
        </w:rPr>
        <w:t>3 were the genes that not only had the most aberrative phenotypes but would continue to return statistically significant data in subsequent Screens. Of the non-</w:t>
      </w:r>
      <w:r w:rsidR="00D93535" w:rsidRPr="00D93535">
        <w:rPr>
          <w:rFonts w:asciiTheme="majorHAnsi" w:hAnsiTheme="majorHAnsi"/>
          <w:i/>
        </w:rPr>
        <w:t>PEX</w:t>
      </w:r>
      <w:r w:rsidRPr="0013327C">
        <w:rPr>
          <w:rFonts w:asciiTheme="majorHAnsi" w:hAnsiTheme="majorHAnsi"/>
        </w:rPr>
        <w:t xml:space="preserve"> genes that were of significance Drp1 and Tango11 produced images of larger than normal peroxisomes, relatively fewer in number. </w:t>
      </w:r>
    </w:p>
    <w:p w:rsidR="00597427" w:rsidRPr="0013327C" w:rsidRDefault="00597427" w:rsidP="00AE0264">
      <w:pPr>
        <w:jc w:val="both"/>
        <w:rPr>
          <w:rFonts w:asciiTheme="majorHAnsi" w:hAnsiTheme="majorHAnsi"/>
        </w:rPr>
      </w:pPr>
      <w:r w:rsidRPr="0013327C">
        <w:rPr>
          <w:rFonts w:asciiTheme="majorHAnsi" w:hAnsiTheme="majorHAnsi"/>
        </w:rPr>
        <w:t xml:space="preserve">The low transfection </w:t>
      </w:r>
      <w:r w:rsidRPr="0013327C">
        <w:rPr>
          <w:rFonts w:asciiTheme="majorHAnsi" w:hAnsiTheme="majorHAnsi"/>
          <w:color w:val="000000" w:themeColor="text1"/>
        </w:rPr>
        <w:t>efficiency</w:t>
      </w:r>
      <w:r w:rsidRPr="0013327C">
        <w:rPr>
          <w:rFonts w:asciiTheme="majorHAnsi" w:hAnsiTheme="majorHAnsi"/>
        </w:rPr>
        <w:t xml:space="preserve"> was </w:t>
      </w:r>
      <w:proofErr w:type="gramStart"/>
      <w:r w:rsidRPr="0013327C">
        <w:rPr>
          <w:rFonts w:asciiTheme="majorHAnsi" w:hAnsiTheme="majorHAnsi"/>
        </w:rPr>
        <w:t>a complicating factor that lead</w:t>
      </w:r>
      <w:proofErr w:type="gramEnd"/>
      <w:r w:rsidRPr="0013327C">
        <w:rPr>
          <w:rFonts w:asciiTheme="majorHAnsi" w:hAnsiTheme="majorHAnsi"/>
        </w:rPr>
        <w:t xml:space="preserve"> us to question whether a more robust assay would be capable of returning more </w:t>
      </w:r>
      <w:r w:rsidR="00D93535" w:rsidRPr="00D93535">
        <w:rPr>
          <w:rFonts w:asciiTheme="majorHAnsi" w:hAnsiTheme="majorHAnsi"/>
          <w:i/>
        </w:rPr>
        <w:t>PEX</w:t>
      </w:r>
      <w:r w:rsidRPr="0013327C">
        <w:rPr>
          <w:rFonts w:asciiTheme="majorHAnsi" w:hAnsiTheme="majorHAnsi"/>
        </w:rPr>
        <w:t xml:space="preserve"> genes in a second genome-wide RNAi screen. We were able to </w:t>
      </w:r>
      <w:r w:rsidR="00376E9B" w:rsidRPr="0013327C">
        <w:rPr>
          <w:rFonts w:asciiTheme="majorHAnsi" w:hAnsiTheme="majorHAnsi"/>
        </w:rPr>
        <w:t>acquire</w:t>
      </w:r>
      <w:r w:rsidRPr="0013327C">
        <w:rPr>
          <w:rFonts w:asciiTheme="majorHAnsi" w:hAnsiTheme="majorHAnsi"/>
        </w:rPr>
        <w:t xml:space="preserve"> the pMK33 plasmid used in fly cell research which allowed us to conditionally express the eGFP-PTS1 marker in stably transfected cells. </w:t>
      </w:r>
    </w:p>
    <w:p w:rsidR="00597427" w:rsidRPr="0013327C" w:rsidRDefault="00597427" w:rsidP="00AE0264">
      <w:pPr>
        <w:pStyle w:val="Heading2"/>
        <w:jc w:val="both"/>
      </w:pPr>
      <w:bookmarkStart w:id="152" w:name="_Toc348423404"/>
      <w:r w:rsidRPr="0013327C">
        <w:t>Results of the second genome-wide screen for peroxisomes in D. melanogaster</w:t>
      </w:r>
      <w:bookmarkEnd w:id="152"/>
    </w:p>
    <w:p w:rsidR="00597427" w:rsidRPr="0013327C" w:rsidRDefault="00597427" w:rsidP="00AE0264">
      <w:pPr>
        <w:jc w:val="both"/>
        <w:rPr>
          <w:rFonts w:asciiTheme="majorHAnsi" w:hAnsiTheme="majorHAnsi"/>
        </w:rPr>
      </w:pPr>
      <w:r w:rsidRPr="0013327C">
        <w:rPr>
          <w:rFonts w:asciiTheme="majorHAnsi" w:hAnsiTheme="majorHAnsi"/>
        </w:rPr>
        <w:t xml:space="preserve">The second screen had an altered assay from the first. The same fluorescent peroxisomal marker, eGFP-PTS1, was being conditionally expressed in cells stably </w:t>
      </w:r>
      <w:r w:rsidRPr="0013327C">
        <w:rPr>
          <w:rFonts w:asciiTheme="majorHAnsi" w:hAnsiTheme="majorHAnsi"/>
        </w:rPr>
        <w:lastRenderedPageBreak/>
        <w:t>transfected with it under hygromycin B selection. With the number of cells being photographed in each image no longer an issue for robust statistical analysis a higher magnification could be used in the automated microscope. This was intended to raise the accuracy in determining peroxisome per cell count as peroxisomes could be better resolved. In reality, the thinner focal plane of the objective meant that fewer peroxisomes were in focus for analysis in the majority of cells.</w:t>
      </w:r>
    </w:p>
    <w:p w:rsidR="00597427" w:rsidRPr="0013327C" w:rsidRDefault="00597427" w:rsidP="00AE0264">
      <w:pPr>
        <w:jc w:val="both"/>
        <w:rPr>
          <w:rFonts w:asciiTheme="majorHAnsi" w:hAnsiTheme="majorHAnsi"/>
        </w:rPr>
      </w:pPr>
      <w:r w:rsidRPr="0013327C">
        <w:rPr>
          <w:rFonts w:asciiTheme="majorHAnsi" w:hAnsiTheme="majorHAnsi"/>
        </w:rPr>
        <w:t xml:space="preserve">The Screen 2 was still a comparative success compared to Screen 1. Many of the peroxins from Screen 1 were returned, this time with normalised z-scores that showed the peroxins to be among the most statistically significant gene KDs in the screen. It was however still required that a visual element determine which high z-scores were false positives and which </w:t>
      </w:r>
      <w:r w:rsidR="00376E9B" w:rsidRPr="0013327C">
        <w:rPr>
          <w:rFonts w:asciiTheme="majorHAnsi" w:hAnsiTheme="majorHAnsi"/>
        </w:rPr>
        <w:t>weren’t</w:t>
      </w:r>
      <w:r w:rsidRPr="0013327C">
        <w:rPr>
          <w:rFonts w:asciiTheme="majorHAnsi" w:hAnsiTheme="majorHAnsi"/>
        </w:rPr>
        <w:t xml:space="preserve">. On this basis it was also deemed necessary to visually recover false negatives down to a z-score of -1. Positive z-scores were not deemed necessary to visually screen below a z-score of 2. A list was compiled of statistically significant </w:t>
      </w:r>
      <w:proofErr w:type="gramStart"/>
      <w:r w:rsidRPr="0013327C">
        <w:rPr>
          <w:rFonts w:asciiTheme="majorHAnsi" w:hAnsiTheme="majorHAnsi"/>
        </w:rPr>
        <w:t>candidates(</w:t>
      </w:r>
      <w:proofErr w:type="gramEnd"/>
      <w:r w:rsidRPr="0013327C">
        <w:rPr>
          <w:rFonts w:asciiTheme="majorHAnsi" w:hAnsiTheme="majorHAnsi"/>
        </w:rPr>
        <w:t xml:space="preserve">see Chapter 4.16) and their subsequent analysis took into account their peroxisome per cell counts from the previous screen, now normalised. The list contained 8 </w:t>
      </w:r>
      <w:r w:rsidR="000C26B2" w:rsidRPr="000C26B2">
        <w:rPr>
          <w:rFonts w:asciiTheme="majorHAnsi" w:hAnsiTheme="majorHAnsi"/>
          <w:i/>
        </w:rPr>
        <w:t>PEX</w:t>
      </w:r>
      <w:r w:rsidRPr="0013327C">
        <w:rPr>
          <w:rFonts w:asciiTheme="majorHAnsi" w:hAnsiTheme="majorHAnsi"/>
        </w:rPr>
        <w:t xml:space="preserve"> genes or genes associated with peroxisome fission: </w:t>
      </w:r>
      <w:r w:rsidR="000C26B2" w:rsidRPr="000C26B2">
        <w:rPr>
          <w:rFonts w:asciiTheme="majorHAnsi" w:hAnsiTheme="majorHAnsi"/>
          <w:i/>
        </w:rPr>
        <w:t>PEX</w:t>
      </w:r>
      <w:r w:rsidRPr="0013327C">
        <w:rPr>
          <w:rFonts w:asciiTheme="majorHAnsi" w:hAnsiTheme="majorHAnsi"/>
        </w:rPr>
        <w:t xml:space="preserve">13, </w:t>
      </w:r>
      <w:r w:rsidR="000C26B2" w:rsidRPr="000C26B2">
        <w:rPr>
          <w:rFonts w:asciiTheme="majorHAnsi" w:hAnsiTheme="majorHAnsi"/>
          <w:i/>
        </w:rPr>
        <w:t>PEX</w:t>
      </w:r>
      <w:r w:rsidRPr="0013327C">
        <w:rPr>
          <w:rFonts w:asciiTheme="majorHAnsi" w:hAnsiTheme="majorHAnsi"/>
        </w:rPr>
        <w:t xml:space="preserve">16, </w:t>
      </w:r>
      <w:r w:rsidR="000C26B2" w:rsidRPr="000C26B2">
        <w:rPr>
          <w:rFonts w:asciiTheme="majorHAnsi" w:hAnsiTheme="majorHAnsi"/>
          <w:i/>
        </w:rPr>
        <w:t>PEX</w:t>
      </w:r>
      <w:r w:rsidRPr="0013327C">
        <w:rPr>
          <w:rFonts w:asciiTheme="majorHAnsi" w:hAnsiTheme="majorHAnsi"/>
        </w:rPr>
        <w:t xml:space="preserve">5, </w:t>
      </w:r>
      <w:r w:rsidR="000C26B2" w:rsidRPr="000C26B2">
        <w:rPr>
          <w:rFonts w:asciiTheme="majorHAnsi" w:hAnsiTheme="majorHAnsi"/>
          <w:i/>
        </w:rPr>
        <w:t>PEX</w:t>
      </w:r>
      <w:r w:rsidRPr="0013327C">
        <w:rPr>
          <w:rFonts w:asciiTheme="majorHAnsi" w:hAnsiTheme="majorHAnsi"/>
        </w:rPr>
        <w:t xml:space="preserve">1, Tango11, </w:t>
      </w:r>
      <w:r w:rsidR="000C26B2" w:rsidRPr="000C26B2">
        <w:rPr>
          <w:rFonts w:asciiTheme="majorHAnsi" w:hAnsiTheme="majorHAnsi"/>
          <w:i/>
        </w:rPr>
        <w:t>PEX</w:t>
      </w:r>
      <w:r w:rsidRPr="0013327C">
        <w:rPr>
          <w:rFonts w:asciiTheme="majorHAnsi" w:hAnsiTheme="majorHAnsi"/>
        </w:rPr>
        <w:t xml:space="preserve">3, Drp1 and </w:t>
      </w:r>
      <w:r w:rsidR="000C26B2" w:rsidRPr="000C26B2">
        <w:rPr>
          <w:rFonts w:asciiTheme="majorHAnsi" w:hAnsiTheme="majorHAnsi"/>
          <w:i/>
        </w:rPr>
        <w:t>PEX</w:t>
      </w:r>
      <w:r w:rsidRPr="0013327C">
        <w:rPr>
          <w:rFonts w:asciiTheme="majorHAnsi" w:hAnsiTheme="majorHAnsi"/>
        </w:rPr>
        <w:t>11β. The three genes from the first screen that showed phenotypes that may have been of interest were now high value z-scores in the assay of Screen 2.  The remainder of the list were of the most promising candidates to be screened secondarily. The full list of genes that were included for seeding into the custom-designed plate contained 275 genes; 18 were hand-picked and 257 were derived from the results of the two screens. Secondary screening could now commence.</w:t>
      </w:r>
    </w:p>
    <w:p w:rsidR="00597427" w:rsidRPr="0013327C" w:rsidRDefault="00597427" w:rsidP="00AE0264">
      <w:pPr>
        <w:pStyle w:val="Heading2"/>
        <w:jc w:val="both"/>
      </w:pPr>
      <w:bookmarkStart w:id="153" w:name="_Toc348423405"/>
      <w:r w:rsidRPr="0013327C">
        <w:t>Results from the secondary screen</w:t>
      </w:r>
      <w:bookmarkEnd w:id="153"/>
    </w:p>
    <w:p w:rsidR="00597427" w:rsidRPr="0013327C" w:rsidRDefault="00597427" w:rsidP="00AE0264">
      <w:pPr>
        <w:jc w:val="both"/>
        <w:rPr>
          <w:rFonts w:asciiTheme="majorHAnsi" w:hAnsiTheme="majorHAnsi"/>
        </w:rPr>
      </w:pPr>
      <w:r w:rsidRPr="0013327C">
        <w:rPr>
          <w:rFonts w:asciiTheme="majorHAnsi" w:hAnsiTheme="majorHAnsi"/>
        </w:rPr>
        <w:t xml:space="preserve">The custom-designed plate for the Secondary Screen was two-thirds filled with probes that achieved outlying z-scores when the data from both screens were analysed together. This would theoretically pose problems at a statistical level if an ordinary z-score based analysis were to be conducted. In the first two screens, a probe’s peroxisome count was expressed in terms of standard deviations from the mean value of all probe peroxisome counts. In other words, the entire library was treated as the population of WT values that would determine the distribution that z-scores were calculated from. This would not be a problem for a genome-wide screen as enough WT values would be produced from probes ineffective on the eGFP-PTS1 assay to give a robust population distribution. The Secondary Screen potentially has 75% of its probes that theoretically score outlying hits and the statistical analysis technique </w:t>
      </w:r>
      <w:r w:rsidRPr="0013327C">
        <w:rPr>
          <w:rFonts w:asciiTheme="majorHAnsi" w:hAnsiTheme="majorHAnsi"/>
        </w:rPr>
        <w:lastRenderedPageBreak/>
        <w:t>currently employed would treat the whole plate as a population distribution. To make sure that every KD was checked for aberrant phenotypes, all three plates were screened visually and probes were scored as to how many were found within their triplicate. The re</w:t>
      </w:r>
      <w:r w:rsidR="00C53210">
        <w:rPr>
          <w:rFonts w:asciiTheme="majorHAnsi" w:hAnsiTheme="majorHAnsi"/>
        </w:rPr>
        <w:t>sults can be seen in Figure 5.6</w:t>
      </w:r>
      <w:r w:rsidRPr="0013327C">
        <w:rPr>
          <w:rFonts w:asciiTheme="majorHAnsi" w:hAnsiTheme="majorHAnsi"/>
        </w:rPr>
        <w:t xml:space="preserve">. </w:t>
      </w:r>
    </w:p>
    <w:p w:rsidR="00597427" w:rsidRPr="0013327C" w:rsidRDefault="00597427" w:rsidP="00AE0264">
      <w:pPr>
        <w:jc w:val="both"/>
        <w:rPr>
          <w:rFonts w:asciiTheme="majorHAnsi" w:hAnsiTheme="majorHAnsi"/>
        </w:rPr>
      </w:pPr>
      <w:r w:rsidRPr="0013327C">
        <w:rPr>
          <w:rFonts w:asciiTheme="majorHAnsi" w:hAnsiTheme="majorHAnsi"/>
        </w:rPr>
        <w:t xml:space="preserve">As the statistical analysis on the Secondary Screen was performed anyway we attempted to draw conclusions from it. Two extra parameters were analysed in the same way as the peroxisome per cell count, peroxisome area per cell and peroxisome integrated intensity per cell. Comparisons of these found no correlation between number and either area or intensity of peroxisomes per cell. There was however a highly correlating relationship between peroxisomal area per cell and peroxisomal intensity per cell. This unfortunately turned out to be a linear rather than a binomial relationship. This indicates that as area increases, total intensity increases by the same proportion. Essential what this implies is that larger peroxisomes are no brighter than smaller peroxisomes and that there is no concentration of fluorescent signal, nor integration of fluorescence that it is out of focus. An examination of the outliers of peroxisomal area per cell gave us an almost identical list of genes (not discussed) as the list derived from the Q-Q plot in Figure 5.19.1. High z-scores in the assay for peroxisome count per cell are displayed in Figure 5.19.1 and a list of both negative and positive scoring outliers is presented in Figure 5.19.2. </w:t>
      </w:r>
    </w:p>
    <w:p w:rsidR="00597427" w:rsidRPr="0013327C" w:rsidRDefault="00597427" w:rsidP="00AE0264">
      <w:pPr>
        <w:jc w:val="both"/>
        <w:rPr>
          <w:rFonts w:asciiTheme="majorHAnsi" w:hAnsiTheme="majorHAnsi"/>
        </w:rPr>
      </w:pPr>
      <w:r w:rsidRPr="0013327C">
        <w:rPr>
          <w:rFonts w:asciiTheme="majorHAnsi" w:hAnsiTheme="majorHAnsi"/>
        </w:rPr>
        <w:t xml:space="preserve">Combination of the hit lists from the two different analyses in this chapter yields </w:t>
      </w:r>
      <w:r w:rsidR="000C26B2" w:rsidRPr="000C26B2">
        <w:rPr>
          <w:rFonts w:asciiTheme="majorHAnsi" w:hAnsiTheme="majorHAnsi"/>
          <w:i/>
        </w:rPr>
        <w:t>PEX</w:t>
      </w:r>
      <w:r w:rsidRPr="0013327C">
        <w:rPr>
          <w:rFonts w:asciiTheme="majorHAnsi" w:hAnsiTheme="majorHAnsi"/>
        </w:rPr>
        <w:t xml:space="preserve"> genes that have been considered strongly aberrant phenotypes of gene KD throughout the progress of this research. </w:t>
      </w:r>
      <w:r w:rsidR="000C26B2" w:rsidRPr="000C26B2">
        <w:rPr>
          <w:rFonts w:asciiTheme="majorHAnsi" w:hAnsiTheme="majorHAnsi"/>
          <w:i/>
        </w:rPr>
        <w:t>PEX</w:t>
      </w:r>
      <w:r w:rsidRPr="0013327C">
        <w:rPr>
          <w:rFonts w:asciiTheme="majorHAnsi" w:hAnsiTheme="majorHAnsi"/>
        </w:rPr>
        <w:t xml:space="preserve">16, </w:t>
      </w:r>
      <w:r w:rsidR="000C26B2" w:rsidRPr="000C26B2">
        <w:rPr>
          <w:rFonts w:asciiTheme="majorHAnsi" w:hAnsiTheme="majorHAnsi"/>
          <w:i/>
        </w:rPr>
        <w:t>PEX</w:t>
      </w:r>
      <w:r w:rsidRPr="0013327C">
        <w:rPr>
          <w:rFonts w:asciiTheme="majorHAnsi" w:hAnsiTheme="majorHAnsi"/>
        </w:rPr>
        <w:t xml:space="preserve">3, </w:t>
      </w:r>
      <w:r w:rsidR="000C26B2" w:rsidRPr="000C26B2">
        <w:rPr>
          <w:rFonts w:asciiTheme="majorHAnsi" w:hAnsiTheme="majorHAnsi"/>
          <w:i/>
        </w:rPr>
        <w:t>PEX</w:t>
      </w:r>
      <w:r w:rsidRPr="0013327C">
        <w:rPr>
          <w:rFonts w:asciiTheme="majorHAnsi" w:hAnsiTheme="majorHAnsi"/>
        </w:rPr>
        <w:t xml:space="preserve">13 and </w:t>
      </w:r>
      <w:r w:rsidR="000C26B2" w:rsidRPr="000C26B2">
        <w:rPr>
          <w:rFonts w:asciiTheme="majorHAnsi" w:hAnsiTheme="majorHAnsi"/>
          <w:i/>
        </w:rPr>
        <w:t>PEX</w:t>
      </w:r>
      <w:r w:rsidRPr="0013327C">
        <w:rPr>
          <w:rFonts w:asciiTheme="majorHAnsi" w:hAnsiTheme="majorHAnsi"/>
        </w:rPr>
        <w:t>1 clearly have significant roles either in peroxisome proliferation or matrix protein uptake. Among the top ten KDs, non-</w:t>
      </w:r>
      <w:r w:rsidR="000C26B2" w:rsidRPr="000C26B2">
        <w:rPr>
          <w:rFonts w:asciiTheme="majorHAnsi" w:hAnsiTheme="majorHAnsi"/>
          <w:i/>
        </w:rPr>
        <w:t>PEX</w:t>
      </w:r>
      <w:r w:rsidRPr="0013327C">
        <w:rPr>
          <w:rFonts w:asciiTheme="majorHAnsi" w:hAnsiTheme="majorHAnsi"/>
        </w:rPr>
        <w:t xml:space="preserve"> genes include nmd, sqh, Atlastin, Tango11 and MTF-1 (Metal response-binding transcription factor). The very high z-score for this gene KD is attributable to the fact that it is a positive response element to transcription induced by cupric (II) ions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"10.1042/BJ20040745", "abstract" : "Copper homoeostasis was investigated in the Drosophila melanogaster S2 cell line to develop an insect model for the study of copper regulation. Real-time PCR studies have demonstrated expression in S2 cells of putative orthologues of human Cu regulatory genes involved in the uptake, transport, sequestration and efflux of Cu. Drosophila orthologues of the mammalian Cu chaperones, ATOX1 (a human orthologue of yeast ATX1), CCS (copper chaperone for superoxide dismutase), COX17 (a human orthologue of yeast COX17), and SCO1 and SCO2, did not significantly respond transcriptionally to increased Cu levels, whereas MtnA, MtnB and MtnD (Drosophila orthologues of human metallothioneins) were up-regulated by Cu in a time- and dose-dependent manner. To examine the effect on Cu homoeostasis, expression of several key copper homoeostasis genes was suppressed using double-stranded RNA interference. Suppression of the MTF-1 (metal-regulatory transcription factor 1), reduced both basal and Cu-induced gene expressions of MtnA, MtnB and MtnD, significantly reducing the tolerance of these cells to increased Cu. Suppression of either Ctr1A (a Drosophila orthologue of yeast CTR1) or Ctr1B significantly reduced Cu uptake from media, demonstrating that both these proteins function to transport Cu into S2 cells. Significantly, Cu induced Ctr1B gene expression, and this could be prevented by suppressing MTF-1, suggesting that Ctr1B might be involved in Cu detoxification. Suppression of DmATP7, the putative homologue of human Cu transporter genes ATP7A and ATP7B, significantly increased Cu accumulation, demonstrating that DmATP7 is essential for efflux of excess Cu. This work is consistent with previous studies in mammalian cells, validating S2 cells as a model system for studying Cu transport and identifying novel Cu regulatory mechanisms.", "author" : [ { "dropping-particle" : "", "family" : "Southon", "given" : "Adam", "non-dropping-particle" : "", "parse-names" : false, "suffix" : "" }, { "dropping-particle" : "", "family" : "Burke", "given" : "Richard", "non-dropping-particle" : "", "parse-names" : false, "suffix" : "" }, { "dropping-particle" : "", "family" : "Norgate", "given" : "Melanie", "non-dropping-particle" : "", "parse-names" : false, "suffix" : "" }, { "dropping-particle" : "", "family" : "Batterham", "given" : "Philip", "non-dropping-particle" : "", "parse-names" : false, "suffix" : "" }, { "dropping-particle" : "", "family" : "Camakaris", "given" : "James", "non-dropping-particle" : "", "parse-names" : false, "suffix" : "" } ], "container-title" : "The Biochemical journal", "id" : "ITEM-1", "issue" : "Pt 2", "issued" : { "date-parts" : [ [ "2004", "10", "15" ] ] }, "page" : "303-9", "title" : "Copper homoeostasis in Drosophila melanogaster S2 cells.", "type" : "article-journal", "volume" : "383" }, "uris" : [ "http://www.mendeley.com/documents/?uuid=b5034b74-75cd-453e-babe-fb765128e7d1" ] }, { "id" : "ITEM-2", "itemData" : { "DOI" : "10.1101/gad.1418806", "abstract" : "Cells often fine-tune gene expression at the level of transcription to generate the appropriate response to a given environmental or developmental stimulus. Both positive and negative influences on gene expression must be balanced to produce the correct level of mRNA synthesis. To this end, the cell uses several classes of regulatory coactivator complexes including two central players, TFIID and Mediator (MED), in potentiating activated transcription. Both of these complexes integrate activator signals and convey them to the basal apparatus. Interestingly, many promoters require both regulatory complexes, although at first glance they may seem to be redundant. Here we have used RNA interference (RNAi) in Drosophila cells to selectively deplete subunits of the MED and TFIID complexes to dissect the contribution of each of these complexes in modulating activated transcription. We exploited the robust response of the metallothionein genes to heavy metal as a model for transcriptional activation by analyzing direct factor recruitment in both heterogeneous cell populations and at the single-cell level. Intriguingly, we find that MED and TFIID interact functionally to modulate transcriptional response to metal. The metal response element-binding transcription factor-1 (MTF-1) recruits TFIID, which then binds promoter DNA, setting up a \"checkpoint complex\" for the initiation of transcription that is subsequently activated upon recruitment of the MED complex. The appropriate expression level of the endogenous metallothionein genes is achieved only when the activities of these two coactivators are balanced. Surprisingly, we find that the same activator (MTF-1) requires different coactivator subunits depending on the context of the core promoter. Finally, we find that the stability of multi-subunit coactivator complexes can be compromised by loss of a single subunit, underscoring the potential for combinatorial control of transcription activation.", "author" : [ { "dropping-particle" : "", "family" : "Marr", "given" : "Michael T", "non-dropping-particle" : "", "parse-names" : false, "suffix" : "" }, { "dropping-particle" : "", "family" : "Isogai", "given" : "Yoh", "non-dropping-particle" : "", "parse-names" : false, "suffix" : "" }, { "dropping-particle" : "", "family" : "Wright", "given" : "Kevin J", "non-dropping-particle" : "", "parse-names" : false, "suffix" : "" }, { "dropping-particle" : "", "family" : "Tjian", "given" : "Robert", "non-dropping-particle" : "", "parse-names" : false, "suffix" : "" } ], "container-title" : "Genes &amp; development", "id" : "ITEM-2", "issue" : "11", "issued" : { "date-parts" : [ [ "2006", "6", "1" ] ] }, "page" : "1458-69", "title" : "Coactivator cross-talk specifies transcriptional output.", "type" : "article-journal", "volume" : "20" }, "uris" : [ "http://www.mendeley.com/documents/?uuid=81d7a8e7-4743-4f56-b049-0ac7f96bfbb1" ] } ], "mendeley" : { "manualFormatting" : "(Marr et al., 2006; Southon et al.,  2004)", "previouslyFormattedCitation" : "(Southon et al. 2004; Marr et al. 2006)"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(Marr </w:t>
      </w:r>
      <w:r w:rsidR="00466108" w:rsidRPr="00466108">
        <w:rPr>
          <w:rFonts w:asciiTheme="majorHAnsi" w:hAnsiTheme="majorHAnsi"/>
          <w:i/>
          <w:noProof/>
        </w:rPr>
        <w:t>et al</w:t>
      </w:r>
      <w:r w:rsidRPr="0013327C">
        <w:rPr>
          <w:rFonts w:asciiTheme="majorHAnsi" w:hAnsiTheme="majorHAnsi"/>
          <w:i/>
          <w:noProof/>
        </w:rPr>
        <w:t>.</w:t>
      </w:r>
      <w:r w:rsidRPr="0013327C">
        <w:rPr>
          <w:rFonts w:asciiTheme="majorHAnsi" w:hAnsiTheme="majorHAnsi"/>
          <w:noProof/>
        </w:rPr>
        <w:t xml:space="preserve">, 2006; Southon </w:t>
      </w:r>
      <w:r w:rsidR="00466108" w:rsidRPr="00466108">
        <w:rPr>
          <w:rFonts w:asciiTheme="majorHAnsi" w:hAnsiTheme="majorHAnsi"/>
          <w:i/>
          <w:noProof/>
        </w:rPr>
        <w:t>et al</w:t>
      </w:r>
      <w:r w:rsidRPr="0013327C">
        <w:rPr>
          <w:rFonts w:asciiTheme="majorHAnsi" w:hAnsiTheme="majorHAnsi"/>
          <w:i/>
          <w:noProof/>
        </w:rPr>
        <w:t>.,</w:t>
      </w:r>
      <w:r w:rsidRPr="0013327C">
        <w:rPr>
          <w:rFonts w:asciiTheme="majorHAnsi" w:hAnsiTheme="majorHAnsi"/>
          <w:noProof/>
        </w:rPr>
        <w:t xml:space="preserve">  2004)</w:t>
      </w:r>
      <w:r w:rsidR="009A1FEC" w:rsidRPr="0013327C">
        <w:rPr>
          <w:rFonts w:asciiTheme="majorHAnsi" w:hAnsiTheme="majorHAnsi"/>
        </w:rPr>
        <w:fldChar w:fldCharType="end"/>
      </w:r>
      <w:r w:rsidRPr="0013327C">
        <w:rPr>
          <w:rFonts w:asciiTheme="majorHAnsi" w:hAnsiTheme="majorHAnsi"/>
        </w:rPr>
        <w:t xml:space="preserve">. Its image shows a massive reduction in eGFP-PTS1. The </w:t>
      </w:r>
      <w:r w:rsidR="00376E9B" w:rsidRPr="0013327C">
        <w:rPr>
          <w:rFonts w:asciiTheme="majorHAnsi" w:hAnsiTheme="majorHAnsi"/>
        </w:rPr>
        <w:t>recurrence of some of the hits from Screen 2 in this list shows</w:t>
      </w:r>
      <w:r w:rsidRPr="0013327C">
        <w:rPr>
          <w:rFonts w:asciiTheme="majorHAnsi" w:hAnsiTheme="majorHAnsi"/>
        </w:rPr>
        <w:t xml:space="preserve"> a promising start to the future </w:t>
      </w:r>
      <w:proofErr w:type="gramStart"/>
      <w:r w:rsidRPr="0013327C">
        <w:rPr>
          <w:rFonts w:asciiTheme="majorHAnsi" w:hAnsiTheme="majorHAnsi"/>
        </w:rPr>
        <w:t>evaluation  of</w:t>
      </w:r>
      <w:proofErr w:type="gramEnd"/>
      <w:r w:rsidRPr="0013327C">
        <w:rPr>
          <w:rFonts w:asciiTheme="majorHAnsi" w:hAnsiTheme="majorHAnsi"/>
        </w:rPr>
        <w:t xml:space="preserve"> 57 novel genes with aberrant phenotypes in this assay. The images and high z-scores of Casein Kinase 1α, archipelago, and Gemini indicate that the new assay is effective in eliciting genes with some functional aspect to peroxisomal biogenesis.</w:t>
      </w:r>
    </w:p>
    <w:p w:rsidR="00597427" w:rsidRPr="0013327C" w:rsidRDefault="00597427" w:rsidP="00AE0264">
      <w:pPr>
        <w:pStyle w:val="Heading2"/>
        <w:jc w:val="both"/>
      </w:pPr>
      <w:bookmarkStart w:id="154" w:name="_Toc348423406"/>
      <w:r w:rsidRPr="0013327C">
        <w:lastRenderedPageBreak/>
        <w:t>Fluorescence microscopy assay with No mitochondrial derivative (nmd)</w:t>
      </w:r>
      <w:bookmarkEnd w:id="154"/>
    </w:p>
    <w:p w:rsidR="00597427" w:rsidRPr="0013327C" w:rsidRDefault="00597427" w:rsidP="00AE0264">
      <w:pPr>
        <w:jc w:val="both"/>
        <w:rPr>
          <w:rFonts w:asciiTheme="majorHAnsi" w:hAnsiTheme="majorHAnsi"/>
        </w:rPr>
      </w:pPr>
      <w:r w:rsidRPr="0013327C">
        <w:rPr>
          <w:rFonts w:asciiTheme="majorHAnsi" w:hAnsiTheme="majorHAnsi"/>
        </w:rPr>
        <w:t xml:space="preserve">The most promising candidate for a </w:t>
      </w:r>
      <w:r w:rsidR="000C26B2" w:rsidRPr="000C26B2">
        <w:rPr>
          <w:rFonts w:asciiTheme="majorHAnsi" w:hAnsiTheme="majorHAnsi"/>
          <w:i/>
        </w:rPr>
        <w:t>PEX</w:t>
      </w:r>
      <w:r w:rsidRPr="0013327C">
        <w:rPr>
          <w:rFonts w:asciiTheme="majorHAnsi" w:hAnsiTheme="majorHAnsi"/>
        </w:rPr>
        <w:t xml:space="preserve">-like phenotype was nmd. It showed a consistently highly aberrant phenotype throughout the project and it was decided to investigate the nature of this. </w:t>
      </w:r>
    </w:p>
    <w:p w:rsidR="00597427" w:rsidRPr="0013327C" w:rsidRDefault="00597427" w:rsidP="00AE0264">
      <w:pPr>
        <w:jc w:val="both"/>
        <w:rPr>
          <w:rFonts w:asciiTheme="majorHAnsi" w:hAnsiTheme="majorHAnsi"/>
        </w:rPr>
      </w:pPr>
      <w:r w:rsidRPr="0013327C">
        <w:rPr>
          <w:rFonts w:asciiTheme="majorHAnsi" w:hAnsiTheme="majorHAnsi"/>
        </w:rPr>
        <w:t xml:space="preserve">Nmd is </w:t>
      </w:r>
      <w:proofErr w:type="gramStart"/>
      <w:r w:rsidRPr="0013327C">
        <w:rPr>
          <w:rFonts w:asciiTheme="majorHAnsi" w:hAnsiTheme="majorHAnsi"/>
        </w:rPr>
        <w:t>a</w:t>
      </w:r>
      <w:proofErr w:type="gramEnd"/>
      <w:r w:rsidRPr="0013327C">
        <w:rPr>
          <w:rFonts w:asciiTheme="majorHAnsi" w:hAnsiTheme="majorHAnsi"/>
        </w:rPr>
        <w:t xml:space="preserve"> AAA-type ATPase. This is a large and diverse group of ATPases which are involved in many biological processes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"10.1016/j.bbamcr.2011.08.012", "abstract" : "AAA proteins (ATPases Associated with various cellular Activities) are involved in almost all essential cellular processes ranging from DNA replication, transcription regulation to protein degradation. One class of AAA proteins has evolved to adapt to the specific task of coupling ATPase activity to activating transcription. These upstream promoter DNA bound AAA activator proteins contact their target substrate, the \u03c3(54)-RNA polymerase holoenzyme, through DNA looping, reminiscent of the eukaryotic enhance binding proteins. These specialised macromolecular machines remodel their substrates through ATP hydrolysis that ultimately leads to transcriptional activation. We will discuss how AAA proteins are specialised for this specific task.", "author" : [ { "dropping-particle" : "", "family" : "Joly", "given" : "Nicolas", "non-dropping-particle" : "", "parse-names" : false, "suffix" : "" }, { "dropping-particle" : "", "family" : "Zhang", "given" : "Nan", "non-dropping-particle" : "", "parse-names" : false, "suffix" : "" }, { "dropping-particle" : "", "family" : "Buck", "given" : "Martin", "non-dropping-particle" : "", "parse-names" : false, "suffix" : "" }, { "dropping-particle" : "", "family" : "Zhang", "given" : "Xiaodong", "non-dropping-particle" : "", "parse-names" : false, "suffix" : "" } ], "container-title" : "Biochimica et biophysica acta", "id" : "ITEM-1", "issue" : "1", "issued" : { "date-parts" : [ [ "2012", "1" ] ] }, "page" : "108-16", "publisher" : "Elsevier B.V.", "title" : "Coupling AAA protein function to regulated gene expression.", "type" : "article-journal", "volume" : "1823" }, "uris" : [ "http://www.mendeley.com/documents/?uuid=8eab9d5c-f14d-4f78-bfcd-c9f33b16bee6" ] } ], "mendeley" : { "manualFormatting" : "(reviewed by Joly et al., 2012)", "previouslyFormattedCitation" : "(Joly et al. 2012)"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(reviewed by Joly </w:t>
      </w:r>
      <w:r w:rsidR="00466108" w:rsidRPr="00466108">
        <w:rPr>
          <w:rFonts w:asciiTheme="majorHAnsi" w:hAnsiTheme="majorHAnsi"/>
          <w:i/>
          <w:noProof/>
        </w:rPr>
        <w:t>et al</w:t>
      </w:r>
      <w:r w:rsidRPr="0013327C">
        <w:rPr>
          <w:rFonts w:asciiTheme="majorHAnsi" w:hAnsiTheme="majorHAnsi"/>
          <w:i/>
          <w:noProof/>
        </w:rPr>
        <w:t>.</w:t>
      </w:r>
      <w:r w:rsidRPr="0013327C">
        <w:rPr>
          <w:rFonts w:asciiTheme="majorHAnsi" w:hAnsiTheme="majorHAnsi"/>
          <w:noProof/>
        </w:rPr>
        <w:t>, 2012)</w:t>
      </w:r>
      <w:r w:rsidR="009A1FEC" w:rsidRPr="0013327C">
        <w:rPr>
          <w:rFonts w:asciiTheme="majorHAnsi" w:hAnsiTheme="majorHAnsi"/>
        </w:rPr>
        <w:fldChar w:fldCharType="end"/>
      </w:r>
      <w:r w:rsidRPr="0013327C">
        <w:rPr>
          <w:rFonts w:asciiTheme="majorHAnsi" w:hAnsiTheme="majorHAnsi"/>
        </w:rPr>
        <w:t xml:space="preserve">. Two peroxins are already known to be AAA-ATPases, </w:t>
      </w:r>
      <w:r w:rsidR="000C26B2" w:rsidRPr="000C26B2">
        <w:rPr>
          <w:rFonts w:asciiTheme="majorHAnsi" w:hAnsiTheme="majorHAnsi"/>
          <w:i/>
        </w:rPr>
        <w:t>PEX</w:t>
      </w:r>
      <w:r w:rsidRPr="0013327C">
        <w:rPr>
          <w:rFonts w:asciiTheme="majorHAnsi" w:hAnsiTheme="majorHAnsi"/>
        </w:rPr>
        <w:t xml:space="preserve">1 and </w:t>
      </w:r>
      <w:r w:rsidR="000C26B2" w:rsidRPr="000C26B2">
        <w:rPr>
          <w:rFonts w:asciiTheme="majorHAnsi" w:hAnsiTheme="majorHAnsi"/>
          <w:i/>
        </w:rPr>
        <w:t>PEX</w:t>
      </w:r>
      <w:r w:rsidRPr="0013327C">
        <w:rPr>
          <w:rFonts w:asciiTheme="majorHAnsi" w:hAnsiTheme="majorHAnsi"/>
        </w:rPr>
        <w:t xml:space="preserve">6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"10.1016/j.bbamcr.2011.09.005", "abstract" : "The recognition of the conserved ATP-binding domains of Pex1p, p97 and NSF led to the discovery of the family of AAA-type ATPases. The biogenesis of peroxisomes critically depends on the function of two AAA-type ATPases, namely Pex1p and Pex6p, which provide the energy for import of peroxisomal matrix proteins. Peroxisomal matrix proteins are synthesized on free ribosomes in the cytosol and guided to the peroxisomal membrane by specific soluble receptors. At the membrane, the cargo-loaded receptors bind to a docking complex and the receptor-docking complex assembly is thought to form a dynamic pore which enables the transition of the cargo into the organellar lumen. The import cycle is completed by ubiquitination- and ATP-dependent dislocation of the receptor from the membrane to the cytosol, which is performed by the AAA-peroxins. Receptor ubiquitination and dislocation are the only energy-dependent steps in peroxisomal protein import. The export-driven import model suggests that the AAA-peroxins might function as motor proteins in peroxisomal import by coupling ATP-dependent removal of the peroxisomal import receptor and cargo translocation into the organelle.", "author" : [ { "dropping-particle" : "", "family" : "Grimm", "given" : "Immanuel", "non-dropping-particle" : "", "parse-names" : false, "suffix" : "" }, { "dropping-particle" : "", "family" : "Saffian", "given" : "Delia", "non-dropping-particle" : "", "parse-names" : false, "suffix" : "" }, { "dropping-particle" : "", "family" : "Platta", "given" : "Harald W", "non-dropping-particle" : "", "parse-names" : false, "suffix" : "" }, { "dropping-particle" : "", "family" : "Erdmann", "given" : "Ralf", "non-dropping-particle" : "", "parse-names" : false, "suffix" : "" } ], "container-title" : "Biochimica et biophysica acta", "id" : "ITEM-1", "issue" : "1", "issued" : { "date-parts" : [ [ "2012", "1" ] ] }, "page" : "150-8", "publisher" : "Elsevier B.V.", "title" : "The AAA-type ATPases Pex1p and Pex6p and their role in peroxisomal matrix protein import in Saccharomyces cerevisiae.", "type" : "article-journal", "volume" : "1823" }, "uris" : [ "http://www.mendeley.com/documents/?uuid=128f6dfb-1099-4bcb-bc66-68e3c05743ed" ] } ], "mendeley" : { "manualFormatting" : "(Grimm et al, 2012)", "previouslyFormattedCitation" : "(Grimm et al. 2012)"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 xml:space="preserve">(Grimm </w:t>
      </w:r>
      <w:r w:rsidR="00466108" w:rsidRPr="00466108">
        <w:rPr>
          <w:rFonts w:asciiTheme="majorHAnsi" w:hAnsiTheme="majorHAnsi"/>
          <w:i/>
          <w:noProof/>
        </w:rPr>
        <w:t>et al</w:t>
      </w:r>
      <w:r w:rsidRPr="0013327C">
        <w:rPr>
          <w:rFonts w:asciiTheme="majorHAnsi" w:hAnsiTheme="majorHAnsi"/>
          <w:noProof/>
        </w:rPr>
        <w:t>, 2012)</w:t>
      </w:r>
      <w:r w:rsidR="009A1FEC" w:rsidRPr="0013327C">
        <w:rPr>
          <w:rFonts w:asciiTheme="majorHAnsi" w:hAnsiTheme="majorHAnsi"/>
        </w:rPr>
        <w:fldChar w:fldCharType="end"/>
      </w:r>
      <w:r w:rsidRPr="0013327C">
        <w:rPr>
          <w:rFonts w:asciiTheme="majorHAnsi" w:hAnsiTheme="majorHAnsi"/>
        </w:rPr>
        <w:t xml:space="preserve">. They are involved in the removal of poly-ubiquitinated </w:t>
      </w:r>
      <w:r w:rsidR="000C26B2" w:rsidRPr="000C26B2">
        <w:rPr>
          <w:rFonts w:asciiTheme="majorHAnsi" w:hAnsiTheme="majorHAnsi"/>
          <w:i/>
        </w:rPr>
        <w:t>PEX</w:t>
      </w:r>
      <w:r w:rsidRPr="0013327C">
        <w:rPr>
          <w:rFonts w:asciiTheme="majorHAnsi" w:hAnsiTheme="majorHAnsi"/>
        </w:rPr>
        <w:t xml:space="preserve">5 from the peroxisomal matrix and do not play a direct role in peroxisome biogenesis. It has also been shown in mice to have a role in the internalisation of post-synaptic AMPA receptors (α-amino-3-hydroxy-5-methylisoxazole-4-propionate). Under the pseudonym “Thorase”, its deletion in mouse neurons causes increased presence of the receptor which caused the mice to experience “learning and memory deficits”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"10.1016/j.cell.2011.03.016.The", "author" : [ { "dropping-particle" : "", "family" : "Zhang", "given" : "Jianmin", "non-dropping-particle" : "", "parse-names" : false, "suffix" : "" }, { "dropping-particle" : "", "family" : "Wang", "given" : "Yue", "non-dropping-particle" : "", "parse-names" : false, "suffix" : "" }, { "dropping-particle" : "", "family" : "Keuss", "given" : "Matthew", "non-dropping-particle" : "", "parse-names" : false, "suffix" : "" }, { "dropping-particle" : "", "family" : "Pai", "given" : "Ying-Min Emily", "non-dropping-particle" : "", "parse-names" : false, "suffix" : "" }, { "dropping-particle" : "", "family" : "Kang", "given" : "Ho Chul", "non-dropping-particle" : "", "parse-names" : false, "suffix" : "" }, { "dropping-particle" : "", "family" : "Shin", "given" : "Joo-ho", "non-dropping-particle" : "", "parse-names" : false, "suffix" : "" }, { "dropping-particle" : "", "family" : "Kang", "given" : "Chul", "non-dropping-particle" : "", "parse-names" : false, "suffix" : "" }, { "dropping-particle" : "", "family" : "Shin", "given" : "Jooho", "non-dropping-particle" : "", "parse-names" : false, "suffix" : "" }, { "dropping-particle" : "", "family" : "Bugayenko", "given" : "Artem", "non-dropping-particle" : "", "parse-names" : false, "suffix" : "" }, { "dropping-particle" : "", "family" : "Wang", "given" : "Hong", "non-dropping-particle" : "", "parse-names" : false, "suffix" : "" }, { "dropping-particle" : "", "family" : "Xiong", "given" : "Yulan", "non-dropping-particle" : "", "parse-names" : false, "suffix" : "" }, { "dropping-particle" : "", "family" : "Mikhail", "given" : "V", "non-dropping-particle" : "", "parse-names" : false, "suffix" : "" }, { "dropping-particle" : "", "family" : "Mattson", "given" : "Mark", "non-dropping-particle" : "", "parse-names" : false, "suffix" : "" }, { "dropping-particle" : "", "family" : "Dawson", "given" : "Ted", "non-dropping-particle" : "", "parse-names" : false, "suffix" : "" } ], "container-title" : "Cell", "id" : "ITEM-1", "issue" : "2", "issued" : { "date-parts" : [ [ "2012" ] ] }, "page" : "284-299", "title" : "The AAA+ ATPase, Thorase Regulates AMPA Receptor- Dependent Synaptic Plasticity and Behavior", "type" : "article-journal", "volume" : "145" }, "uris" : [ "http://www.mendeley.com/documents/?uuid=8a264868-faab-4fad-99ee-ded8fcd76fa6" ] } ], "mendeley" : { "previouslyFormattedCitation" : "(Zhang et al. 2012)" }, "properties" : { "noteIndex" : 0 }, "schema" : "https://github.com/citation-style-language/schema/raw/master/csl-citation.json" }</w:instrText>
      </w:r>
      <w:r w:rsidR="009A1FEC" w:rsidRPr="0013327C">
        <w:rPr>
          <w:rFonts w:asciiTheme="majorHAnsi" w:hAnsiTheme="majorHAnsi"/>
        </w:rPr>
        <w:fldChar w:fldCharType="separate"/>
      </w:r>
      <w:r w:rsidR="00E5134C" w:rsidRPr="00E5134C">
        <w:rPr>
          <w:rFonts w:asciiTheme="majorHAnsi" w:hAnsiTheme="majorHAnsi"/>
          <w:noProof/>
        </w:rPr>
        <w:t xml:space="preserve">(Zhang </w:t>
      </w:r>
      <w:r w:rsidR="00466108" w:rsidRPr="00466108">
        <w:rPr>
          <w:rFonts w:asciiTheme="majorHAnsi" w:hAnsiTheme="majorHAnsi"/>
          <w:i/>
          <w:noProof/>
        </w:rPr>
        <w:t>et al</w:t>
      </w:r>
      <w:r w:rsidR="00E5134C" w:rsidRPr="00E5134C">
        <w:rPr>
          <w:rFonts w:asciiTheme="majorHAnsi" w:hAnsiTheme="majorHAnsi"/>
          <w:noProof/>
        </w:rPr>
        <w:t>. 2012)</w:t>
      </w:r>
      <w:r w:rsidR="009A1FEC" w:rsidRPr="0013327C">
        <w:rPr>
          <w:rFonts w:asciiTheme="majorHAnsi" w:hAnsiTheme="majorHAnsi"/>
        </w:rPr>
        <w:fldChar w:fldCharType="end"/>
      </w:r>
      <w:r w:rsidRPr="0013327C">
        <w:rPr>
          <w:rFonts w:asciiTheme="majorHAnsi" w:hAnsiTheme="majorHAnsi"/>
        </w:rPr>
        <w:t>.</w:t>
      </w:r>
    </w:p>
    <w:p w:rsidR="00597427" w:rsidRPr="0013327C" w:rsidRDefault="00597427" w:rsidP="00AE0264">
      <w:pPr>
        <w:jc w:val="both"/>
        <w:rPr>
          <w:rFonts w:asciiTheme="majorHAnsi" w:hAnsiTheme="majorHAnsi"/>
        </w:rPr>
      </w:pPr>
      <w:r w:rsidRPr="0013327C">
        <w:rPr>
          <w:rFonts w:asciiTheme="majorHAnsi" w:hAnsiTheme="majorHAnsi"/>
        </w:rPr>
        <w:t xml:space="preserve">Experiments to elucidate a functional role for nmd did not produce convincing data. This is likely a problem with the assay. </w:t>
      </w:r>
      <w:r w:rsidR="000C26B2" w:rsidRPr="000C26B2">
        <w:rPr>
          <w:rFonts w:asciiTheme="majorHAnsi" w:hAnsiTheme="majorHAnsi"/>
          <w:i/>
        </w:rPr>
        <w:t>PEX</w:t>
      </w:r>
      <w:r w:rsidRPr="0013327C">
        <w:rPr>
          <w:rFonts w:asciiTheme="majorHAnsi" w:hAnsiTheme="majorHAnsi"/>
        </w:rPr>
        <w:t xml:space="preserve">16 KD of mRFP-PTS1 and ABCD3-eGFP produced ghost-like structures in S2R+ cells. This does not fit with the consensus loss of </w:t>
      </w:r>
      <w:r w:rsidR="000C26B2" w:rsidRPr="000C26B2">
        <w:rPr>
          <w:rFonts w:asciiTheme="majorHAnsi" w:hAnsiTheme="majorHAnsi"/>
          <w:i/>
        </w:rPr>
        <w:t>PEX</w:t>
      </w:r>
      <w:r w:rsidRPr="0013327C">
        <w:rPr>
          <w:rFonts w:asciiTheme="majorHAnsi" w:hAnsiTheme="majorHAnsi"/>
        </w:rPr>
        <w:t xml:space="preserve">16 function where peroxisomal structures are prevented from forming. This may however be the cytosolic pre-peroxisomes described by </w:t>
      </w:r>
      <w:r w:rsidR="009A1FEC" w:rsidRPr="0013327C">
        <w:rPr>
          <w:rFonts w:asciiTheme="majorHAnsi" w:hAnsiTheme="majorHAnsi"/>
        </w:rPr>
        <w:fldChar w:fldCharType="begin" w:fldLock="1"/>
      </w:r>
      <w:r w:rsidR="00D72F07">
        <w:rPr>
          <w:rFonts w:asciiTheme="majorHAnsi" w:hAnsiTheme="majorHAnsi"/>
        </w:rPr>
        <w:instrText>ADDIN CSL_CITATION { "citationItems" : [ { "id" : "ITEM-1", "itemData" : { "DOI" : "10.1083/jcb.200806062", "abstract" : "Two distinct pathways have recently been proposed for the import of peroxisomal membrane proteins (PMPs): a Pex19p- and Pex3p-dependent class I pathway and a Pex19p- and Pex3p-independent class II pathway. We show here that Pex19p plays an essential role as the chaperone for full-length Pex3p in the cytosol. Pex19p forms a soluble complex with newly synthesized Pex3p in the cytosol and directly translocates it to peroxisomes. Knockdown of Pex19p inhibits peroxisomal targeting of newly synthesized full-length Pex3p and results in failure of the peroxisomal localization of Pex3p. Moreover, we demonstrate that Pex16p functions as the Pex3p-docking site and serves as the peroxisomal membrane receptor that is specific to the Pex3p-Pex19p complexes. Based on these novel findings, we suggest a model for the import of PMPs that provides new insights into the molecular mechanisms underlying the biogenesis of peroxisomes and its regulation involving Pex3p, Pex19p, and Pex16p.", "author" : [ { "dropping-particle" : "", "family" : "Matsuzaki", "given" : "Takashi", "non-dropping-particle" : "", "parse-names" : false, "suffix" : "" }, { "dropping-particle" : "", "family" : "Fujiki", "given" : "Yukio", "non-dropping-particle" : "", "parse-names" : false, "suffix" : "" } ], "container-title" : "The Journal of cell biology", "id" : "ITEM-1", "issue" : "7", "issued" : { "date-parts" : [ [ "2008", "12", "29" ] ] }, "page" : "1275-86", "title" : "The peroxisomal membrane protein import receptor Pex3p is directly transported to peroxisomes by a novel Pex19p- and Pex16p-dependent pathway.", "type" : "article-journal", "volume" : "183" }, "uris" : [ "http://www.mendeley.com/documents/?uuid=9d167b96-cb6c-43f5-85ab-875105520c2a" ] } ], "mendeley" : { "manualFormatting" : "Matsuzaki &amp; Fujiki (2008)", "previouslyFormattedCitation" : "(Matsuzaki &amp; Fujiki 2008)" }, "properties" : { "noteIndex" : 0 }, "schema" : "https://github.com/citation-style-language/schema/raw/master/csl-citation.json" }</w:instrText>
      </w:r>
      <w:r w:rsidR="009A1FEC" w:rsidRPr="0013327C">
        <w:rPr>
          <w:rFonts w:asciiTheme="majorHAnsi" w:hAnsiTheme="majorHAnsi"/>
        </w:rPr>
        <w:fldChar w:fldCharType="separate"/>
      </w:r>
      <w:r w:rsidRPr="0013327C">
        <w:rPr>
          <w:rFonts w:asciiTheme="majorHAnsi" w:hAnsiTheme="majorHAnsi"/>
          <w:noProof/>
        </w:rPr>
        <w:t>Matsuzaki &amp; Fujiki (2008)</w:t>
      </w:r>
      <w:r w:rsidR="009A1FEC" w:rsidRPr="0013327C">
        <w:rPr>
          <w:rFonts w:asciiTheme="majorHAnsi" w:hAnsiTheme="majorHAnsi"/>
        </w:rPr>
        <w:fldChar w:fldCharType="end"/>
      </w:r>
      <w:r w:rsidRPr="0013327C">
        <w:rPr>
          <w:rFonts w:asciiTheme="majorHAnsi" w:hAnsiTheme="majorHAnsi"/>
        </w:rPr>
        <w:t xml:space="preserve"> which require </w:t>
      </w:r>
      <w:r w:rsidR="000C26B2" w:rsidRPr="000C26B2">
        <w:rPr>
          <w:rFonts w:asciiTheme="majorHAnsi" w:hAnsiTheme="majorHAnsi"/>
          <w:i/>
        </w:rPr>
        <w:t>PEX</w:t>
      </w:r>
      <w:r w:rsidRPr="0013327C">
        <w:rPr>
          <w:rFonts w:asciiTheme="majorHAnsi" w:hAnsiTheme="majorHAnsi"/>
        </w:rPr>
        <w:t xml:space="preserve">16 to dock with peroxisomes. If they are partially labelled with the membrane marker then this presentation may fit our assay. Nmd may then have a similar role to </w:t>
      </w:r>
      <w:r w:rsidR="000C26B2" w:rsidRPr="000C26B2">
        <w:rPr>
          <w:rFonts w:asciiTheme="majorHAnsi" w:hAnsiTheme="majorHAnsi"/>
          <w:i/>
        </w:rPr>
        <w:t>PEX</w:t>
      </w:r>
      <w:r w:rsidRPr="0013327C">
        <w:rPr>
          <w:rFonts w:asciiTheme="majorHAnsi" w:hAnsiTheme="majorHAnsi"/>
        </w:rPr>
        <w:t xml:space="preserve">16 in acting as a receptor for </w:t>
      </w:r>
      <w:r w:rsidR="000C26B2" w:rsidRPr="000C26B2">
        <w:rPr>
          <w:rFonts w:asciiTheme="majorHAnsi" w:hAnsiTheme="majorHAnsi"/>
          <w:i/>
        </w:rPr>
        <w:t>PEX</w:t>
      </w:r>
      <w:r w:rsidRPr="0013327C">
        <w:rPr>
          <w:rFonts w:asciiTheme="majorHAnsi" w:hAnsiTheme="majorHAnsi"/>
        </w:rPr>
        <w:t xml:space="preserve">19 and </w:t>
      </w:r>
      <w:r w:rsidR="000C26B2" w:rsidRPr="000C26B2">
        <w:rPr>
          <w:rFonts w:asciiTheme="majorHAnsi" w:hAnsiTheme="majorHAnsi"/>
          <w:i/>
        </w:rPr>
        <w:t>PEX</w:t>
      </w:r>
      <w:r w:rsidRPr="0013327C">
        <w:rPr>
          <w:rFonts w:asciiTheme="majorHAnsi" w:hAnsiTheme="majorHAnsi"/>
        </w:rPr>
        <w:t>3 complexes.</w:t>
      </w:r>
    </w:p>
    <w:p w:rsidR="00597427" w:rsidRPr="0013327C" w:rsidRDefault="00597427" w:rsidP="00AE0264">
      <w:pPr>
        <w:jc w:val="both"/>
        <w:rPr>
          <w:rFonts w:asciiTheme="majorHAnsi" w:hAnsiTheme="majorHAnsi"/>
        </w:rPr>
      </w:pPr>
      <w:r w:rsidRPr="0013327C">
        <w:rPr>
          <w:rFonts w:asciiTheme="majorHAnsi" w:hAnsiTheme="majorHAnsi"/>
        </w:rPr>
        <w:t>Finally we tagged nmd with c-terminal eGFP to see where it localises. It appears to form a half-punctate, half-mitochondrial pattern in the cytosol of the cell. The punctate pattern was confirmed with co-expression of mRFP-PTS1 (Figure 5.23.1) and the mitochondrial presentation was at</w:t>
      </w:r>
      <w:r w:rsidR="00376E9B">
        <w:rPr>
          <w:rFonts w:asciiTheme="majorHAnsi" w:hAnsiTheme="majorHAnsi"/>
        </w:rPr>
        <w:t xml:space="preserve"> least partly colocalised with M</w:t>
      </w:r>
      <w:r w:rsidRPr="0013327C">
        <w:rPr>
          <w:rFonts w:asciiTheme="majorHAnsi" w:hAnsiTheme="majorHAnsi"/>
        </w:rPr>
        <w:t>ito</w:t>
      </w:r>
      <w:r w:rsidR="00376E9B">
        <w:rPr>
          <w:rFonts w:asciiTheme="majorHAnsi" w:hAnsiTheme="majorHAnsi"/>
        </w:rPr>
        <w:t>T</w:t>
      </w:r>
      <w:r w:rsidRPr="0013327C">
        <w:rPr>
          <w:rFonts w:asciiTheme="majorHAnsi" w:hAnsiTheme="majorHAnsi"/>
        </w:rPr>
        <w:t xml:space="preserve">racker (Figure 5.23.2). Further research is needed to confirm these findings. </w:t>
      </w:r>
    </w:p>
    <w:p w:rsidR="00597427" w:rsidRDefault="00597427" w:rsidP="00AE0264">
      <w:pPr>
        <w:jc w:val="both"/>
        <w:rPr>
          <w:rFonts w:asciiTheme="majorHAnsi" w:hAnsiTheme="majorHAnsi"/>
        </w:rPr>
      </w:pPr>
    </w:p>
    <w:p w:rsidR="0009469E" w:rsidRDefault="0009469E" w:rsidP="00AE0264">
      <w:pPr>
        <w:jc w:val="both"/>
        <w:rPr>
          <w:rFonts w:asciiTheme="majorHAnsi" w:hAnsiTheme="majorHAnsi"/>
        </w:rPr>
      </w:pPr>
    </w:p>
    <w:p w:rsidR="00D779DF" w:rsidRDefault="00D779DF" w:rsidP="00AE0264">
      <w:pPr>
        <w:jc w:val="both"/>
        <w:rPr>
          <w:rFonts w:asciiTheme="majorHAnsi" w:hAnsiTheme="majorHAnsi"/>
        </w:rPr>
      </w:pPr>
    </w:p>
    <w:p w:rsidR="00D779DF" w:rsidRPr="00D779DF" w:rsidRDefault="00D779DF" w:rsidP="00D779DF">
      <w:pPr>
        <w:pStyle w:val="Heading1"/>
      </w:pPr>
      <w:bookmarkStart w:id="155" w:name="_Toc348423407"/>
      <w:r w:rsidRPr="00D779DF">
        <w:lastRenderedPageBreak/>
        <w:t>Further Work</w:t>
      </w:r>
      <w:bookmarkEnd w:id="155"/>
    </w:p>
    <w:p w:rsidR="00D779DF" w:rsidRPr="00D779DF" w:rsidRDefault="00D779DF" w:rsidP="00D779DF">
      <w:pPr>
        <w:pStyle w:val="Heading2"/>
      </w:pPr>
      <w:bookmarkStart w:id="156" w:name="_Toc348423408"/>
      <w:proofErr w:type="gramStart"/>
      <w:r w:rsidRPr="00D779DF">
        <w:t>Conservation in Eukarya.</w:t>
      </w:r>
      <w:bookmarkEnd w:id="156"/>
      <w:proofErr w:type="gramEnd"/>
    </w:p>
    <w:p w:rsidR="00D779DF" w:rsidRPr="00D779DF" w:rsidRDefault="00D779DF" w:rsidP="00D779DF">
      <w:pPr>
        <w:jc w:val="both"/>
        <w:rPr>
          <w:rFonts w:asciiTheme="majorHAnsi" w:hAnsiTheme="majorHAnsi"/>
        </w:rPr>
      </w:pPr>
      <w:r w:rsidRPr="00D779DF">
        <w:rPr>
          <w:rFonts w:asciiTheme="majorHAnsi" w:hAnsiTheme="majorHAnsi"/>
        </w:rPr>
        <w:t xml:space="preserve">The most aberrant </w:t>
      </w:r>
      <w:r w:rsidR="00D93535" w:rsidRPr="00D93535">
        <w:rPr>
          <w:rFonts w:asciiTheme="majorHAnsi" w:hAnsiTheme="majorHAnsi"/>
          <w:i/>
        </w:rPr>
        <w:t>PEX</w:t>
      </w:r>
      <w:r w:rsidRPr="00D779DF">
        <w:rPr>
          <w:rFonts w:asciiTheme="majorHAnsi" w:hAnsiTheme="majorHAnsi"/>
        </w:rPr>
        <w:t xml:space="preserve">-like gene KD phenotype shown in all of the screens was by far that of nmd. The reduction in peroxisome number elucidated in many cells and a void of them in some cells is highly comparable to the observations seen with </w:t>
      </w:r>
      <w:r w:rsidR="00D93535" w:rsidRPr="00D93535">
        <w:rPr>
          <w:rFonts w:asciiTheme="majorHAnsi" w:hAnsiTheme="majorHAnsi"/>
          <w:i/>
        </w:rPr>
        <w:t>PEX</w:t>
      </w:r>
      <w:r w:rsidRPr="00D779DF">
        <w:rPr>
          <w:rFonts w:asciiTheme="majorHAnsi" w:hAnsiTheme="majorHAnsi"/>
        </w:rPr>
        <w:t xml:space="preserve">16 KDs. This suggests that it has a crucial role in peroxisomal biogenesis, possibly involved in mobilisation of peroxisomal membrane vesicles from the ER. If true, then this would be only the fourth gene of this type to be discovered. Should its crucial role be conserved among eukaryotes then it would be considered an important find in peroxisome biogenesis studies and could possibly be considered a novel peroxin. It is therefore interesting to know that nmd has conserved homologues in many Eukaryotes including </w:t>
      </w:r>
      <w:r w:rsidRPr="00D779DF">
        <w:rPr>
          <w:rFonts w:asciiTheme="majorHAnsi" w:hAnsiTheme="majorHAnsi"/>
          <w:i/>
        </w:rPr>
        <w:t>H. sapiens</w:t>
      </w:r>
      <w:r w:rsidRPr="00D779DF">
        <w:rPr>
          <w:rFonts w:asciiTheme="majorHAnsi" w:hAnsiTheme="majorHAnsi"/>
        </w:rPr>
        <w:t xml:space="preserve"> and </w:t>
      </w:r>
      <w:r w:rsidRPr="00D779DF">
        <w:rPr>
          <w:rFonts w:asciiTheme="majorHAnsi" w:hAnsiTheme="majorHAnsi"/>
          <w:i/>
        </w:rPr>
        <w:t>S.cerevisiae</w:t>
      </w:r>
      <w:r w:rsidRPr="00D779DF">
        <w:rPr>
          <w:rFonts w:asciiTheme="majorHAnsi" w:hAnsiTheme="majorHAnsi"/>
        </w:rPr>
        <w:t>, named ATAD1 (</w:t>
      </w:r>
      <w:r w:rsidRPr="00D779DF">
        <w:rPr>
          <w:rFonts w:asciiTheme="majorHAnsi" w:hAnsiTheme="majorHAnsi"/>
          <w:bCs/>
        </w:rPr>
        <w:t>ATPase family, AAA domain containing 1</w:t>
      </w:r>
      <w:r w:rsidRPr="00D779DF">
        <w:rPr>
          <w:rFonts w:asciiTheme="majorHAnsi" w:hAnsiTheme="majorHAnsi"/>
        </w:rPr>
        <w:t xml:space="preserve">) and Msp1 (Mitochondrial sorting protein 1) respectively. This means that experiments can be conducted on these to try and prove if nmd’s apparent biogenesis role is conserved. It should be possible first to try and produce a loss of function knockdown-assay that is essentially identical to that of the screens using RNAi and a fluorescent PTS1 reporter in a human cell-line such as HeLa cells. Subsequently, knockouts in cells of both </w:t>
      </w:r>
      <w:r w:rsidRPr="00D779DF">
        <w:rPr>
          <w:rFonts w:asciiTheme="majorHAnsi" w:hAnsiTheme="majorHAnsi"/>
          <w:i/>
        </w:rPr>
        <w:t xml:space="preserve">H. sapiens </w:t>
      </w:r>
      <w:r w:rsidRPr="00D779DF">
        <w:rPr>
          <w:rFonts w:asciiTheme="majorHAnsi" w:hAnsiTheme="majorHAnsi"/>
        </w:rPr>
        <w:t xml:space="preserve">and </w:t>
      </w:r>
      <w:r w:rsidRPr="00D779DF">
        <w:rPr>
          <w:rFonts w:asciiTheme="majorHAnsi" w:hAnsiTheme="majorHAnsi"/>
          <w:i/>
        </w:rPr>
        <w:t>S. cerevisiae</w:t>
      </w:r>
      <w:r w:rsidRPr="00D779DF">
        <w:rPr>
          <w:rFonts w:asciiTheme="majorHAnsi" w:hAnsiTheme="majorHAnsi"/>
        </w:rPr>
        <w:t xml:space="preserve"> species can be produced in our lab to try and elucidate the same (or a similar) phenotype. Work has already begun on this line of research.</w:t>
      </w:r>
    </w:p>
    <w:p w:rsidR="00D779DF" w:rsidRPr="00D779DF" w:rsidRDefault="00D779DF" w:rsidP="00D779DF">
      <w:pPr>
        <w:jc w:val="both"/>
        <w:rPr>
          <w:rFonts w:asciiTheme="majorHAnsi" w:hAnsiTheme="majorHAnsi"/>
        </w:rPr>
      </w:pPr>
    </w:p>
    <w:p w:rsidR="00D779DF" w:rsidRPr="00D779DF" w:rsidRDefault="00D779DF" w:rsidP="00D779DF">
      <w:pPr>
        <w:pStyle w:val="Heading2"/>
      </w:pPr>
      <w:bookmarkStart w:id="157" w:name="_Toc348423409"/>
      <w:proofErr w:type="gramStart"/>
      <w:r w:rsidRPr="00D779DF">
        <w:t>Testing for cell-line specific peroxisome biogenesis function.</w:t>
      </w:r>
      <w:bookmarkEnd w:id="157"/>
      <w:proofErr w:type="gramEnd"/>
    </w:p>
    <w:p w:rsidR="00D779DF" w:rsidRPr="00D779DF" w:rsidRDefault="00D779DF" w:rsidP="00D779DF">
      <w:pPr>
        <w:jc w:val="both"/>
        <w:rPr>
          <w:rFonts w:asciiTheme="majorHAnsi" w:hAnsiTheme="majorHAnsi"/>
        </w:rPr>
      </w:pPr>
      <w:r w:rsidRPr="00D779DF">
        <w:rPr>
          <w:rFonts w:asciiTheme="majorHAnsi" w:hAnsiTheme="majorHAnsi"/>
        </w:rPr>
        <w:t xml:space="preserve">The RNAi screens have been successful in confirming the effects of some known peroxins as well as the discovery of “nmd”, potentially a new gene involved in peroxisome biogenesis. The fact that some known peroxins did not produce a </w:t>
      </w:r>
      <w:r w:rsidR="00D93535" w:rsidRPr="00D93535">
        <w:rPr>
          <w:rFonts w:asciiTheme="majorHAnsi" w:hAnsiTheme="majorHAnsi"/>
          <w:i/>
        </w:rPr>
        <w:t>PEX</w:t>
      </w:r>
      <w:r w:rsidRPr="00D779DF">
        <w:rPr>
          <w:rFonts w:asciiTheme="majorHAnsi" w:hAnsiTheme="majorHAnsi"/>
        </w:rPr>
        <w:t xml:space="preserve">-like phenotype and were therefore not considered statistical hits in any of the screens performed leaves unanswered questions about the efficacy of the assay. The potential that further genes with peroxisome biogenesis function may lie undiscovered is another real consideration. A possible solution is to rescreen the genome with a different cell-line, such as the KC167 cells used in the Assay Development (Chapter 3.5). By using a different cell-line one would be utilising a different, specific set of genes and therefore their transcripts. It is theoretically possible that there are peroxisome biogenesis genes which are only expressed in one cell-line whose loss of expression in the other does not elucidate a </w:t>
      </w:r>
      <w:r w:rsidR="00D93535" w:rsidRPr="00D93535">
        <w:rPr>
          <w:rFonts w:asciiTheme="majorHAnsi" w:hAnsiTheme="majorHAnsi"/>
          <w:i/>
        </w:rPr>
        <w:t>PEX</w:t>
      </w:r>
      <w:r w:rsidRPr="00D779DF">
        <w:rPr>
          <w:rFonts w:asciiTheme="majorHAnsi" w:hAnsiTheme="majorHAnsi"/>
        </w:rPr>
        <w:t xml:space="preserve">-like phenotype due to a secondary </w:t>
      </w:r>
      <w:r w:rsidRPr="00D779DF">
        <w:rPr>
          <w:rFonts w:asciiTheme="majorHAnsi" w:hAnsiTheme="majorHAnsi"/>
        </w:rPr>
        <w:lastRenderedPageBreak/>
        <w:t>redundancy caused by the co-incidental addition or loss of another gene. As we have been able to observe punctate structures in KC167 cells during assay development this assay is theoretically possible to perform. Possible problems may arise in the imaging and image analysis stages of developing the assay for this as the majority of the cells are taller and occupy a smaller cross-sectional area than S2R+ cells. It is expected that if a project such as this were to be undertaken then a large amount of work towards developing the assay would be required. It is therefore not considered a first choice approach at this stage.</w:t>
      </w:r>
    </w:p>
    <w:p w:rsidR="00D779DF" w:rsidRPr="00D779DF" w:rsidRDefault="00D779DF" w:rsidP="00D779DF">
      <w:pPr>
        <w:jc w:val="both"/>
        <w:rPr>
          <w:rFonts w:asciiTheme="majorHAnsi" w:hAnsiTheme="majorHAnsi"/>
        </w:rPr>
      </w:pPr>
      <w:r w:rsidRPr="00D779DF">
        <w:rPr>
          <w:rFonts w:asciiTheme="majorHAnsi" w:hAnsiTheme="majorHAnsi"/>
        </w:rPr>
        <w:t>If development of the KC167 assay was to be commenced then a good starting point would be to test the cells in the custom-developed assay plate used for secondary screening. This would provide several key indicators of the screen:</w:t>
      </w:r>
    </w:p>
    <w:p w:rsidR="00D779DF" w:rsidRPr="00D779DF" w:rsidRDefault="00D779DF" w:rsidP="00D779DF">
      <w:pPr>
        <w:numPr>
          <w:ilvl w:val="0"/>
          <w:numId w:val="23"/>
        </w:numPr>
        <w:jc w:val="both"/>
        <w:rPr>
          <w:rFonts w:asciiTheme="majorHAnsi" w:hAnsiTheme="majorHAnsi"/>
        </w:rPr>
      </w:pPr>
      <w:r w:rsidRPr="00D779DF">
        <w:rPr>
          <w:rFonts w:asciiTheme="majorHAnsi" w:hAnsiTheme="majorHAnsi"/>
        </w:rPr>
        <w:t>It would provide an indication of KC167 cells’ ability to be accurately screened using the eGFP-PTS1 assay.</w:t>
      </w:r>
    </w:p>
    <w:p w:rsidR="00D779DF" w:rsidRPr="00D779DF" w:rsidRDefault="00D779DF" w:rsidP="00D779DF">
      <w:pPr>
        <w:numPr>
          <w:ilvl w:val="0"/>
          <w:numId w:val="23"/>
        </w:numPr>
        <w:jc w:val="both"/>
        <w:rPr>
          <w:rFonts w:asciiTheme="majorHAnsi" w:hAnsiTheme="majorHAnsi"/>
        </w:rPr>
      </w:pPr>
      <w:r w:rsidRPr="00D779DF">
        <w:rPr>
          <w:rFonts w:asciiTheme="majorHAnsi" w:hAnsiTheme="majorHAnsi"/>
        </w:rPr>
        <w:t>It would help validate any of the loss-of-function KDs that occur in both cell-lines; of particular interest would be nmd.</w:t>
      </w:r>
    </w:p>
    <w:p w:rsidR="00D779DF" w:rsidRPr="00D779DF" w:rsidRDefault="00D779DF" w:rsidP="00D779DF">
      <w:pPr>
        <w:numPr>
          <w:ilvl w:val="0"/>
          <w:numId w:val="23"/>
        </w:numPr>
        <w:jc w:val="both"/>
        <w:rPr>
          <w:rFonts w:asciiTheme="majorHAnsi" w:hAnsiTheme="majorHAnsi"/>
        </w:rPr>
      </w:pPr>
      <w:r w:rsidRPr="00D779DF">
        <w:rPr>
          <w:rFonts w:asciiTheme="majorHAnsi" w:hAnsiTheme="majorHAnsi"/>
        </w:rPr>
        <w:t xml:space="preserve">The nature of the biogenesis function of nmd could be determined; i.e. if it is a function specific to S2R+ cells or to both cell-lines, indicating a role possibly ubiquitous in </w:t>
      </w:r>
      <w:r w:rsidRPr="00D779DF">
        <w:rPr>
          <w:rFonts w:asciiTheme="majorHAnsi" w:hAnsiTheme="majorHAnsi"/>
          <w:i/>
        </w:rPr>
        <w:t>D. melanogaster</w:t>
      </w:r>
      <w:r w:rsidRPr="00D779DF">
        <w:rPr>
          <w:rFonts w:asciiTheme="majorHAnsi" w:hAnsiTheme="majorHAnsi"/>
        </w:rPr>
        <w:t>.</w:t>
      </w:r>
    </w:p>
    <w:p w:rsidR="00D779DF" w:rsidRPr="00D779DF" w:rsidRDefault="00D779DF" w:rsidP="00D779DF">
      <w:pPr>
        <w:jc w:val="both"/>
        <w:rPr>
          <w:rFonts w:asciiTheme="majorHAnsi" w:hAnsiTheme="majorHAnsi"/>
        </w:rPr>
      </w:pPr>
      <w:r w:rsidRPr="00D779DF">
        <w:rPr>
          <w:rFonts w:asciiTheme="majorHAnsi" w:hAnsiTheme="majorHAnsi"/>
        </w:rPr>
        <w:t xml:space="preserve">After screening of the custom-designed plate, based on the number of aberrant phenotypes in KC167 cells and the disparity observed between the frequencies of KDs in each cell-line, further genome-wide screening could be considered. A large disparity would indicate that the transcriptome of each cell-line differs enough that the epigenetics of peroxisome biogenesis are dissimilar. This would require further genome-wide screening to investigate if the screens with S2R+ did in fact miss genes that may have otherwise incurred aberrant loss-of-function with KC167. </w:t>
      </w:r>
    </w:p>
    <w:p w:rsidR="00D779DF" w:rsidRPr="00D779DF" w:rsidRDefault="00D779DF" w:rsidP="00D779DF">
      <w:pPr>
        <w:jc w:val="both"/>
        <w:rPr>
          <w:rFonts w:asciiTheme="majorHAnsi" w:hAnsiTheme="majorHAnsi"/>
        </w:rPr>
      </w:pPr>
    </w:p>
    <w:p w:rsidR="00D779DF" w:rsidRPr="00D779DF" w:rsidRDefault="00D779DF" w:rsidP="00D779DF">
      <w:pPr>
        <w:pStyle w:val="Heading2"/>
      </w:pPr>
      <w:bookmarkStart w:id="158" w:name="_Toc348423410"/>
      <w:r w:rsidRPr="00D779DF">
        <w:t>Whole-fly experiments</w:t>
      </w:r>
      <w:bookmarkEnd w:id="158"/>
    </w:p>
    <w:p w:rsidR="00D779DF" w:rsidRPr="00D779DF" w:rsidRDefault="00D779DF" w:rsidP="00D779DF">
      <w:pPr>
        <w:jc w:val="both"/>
        <w:rPr>
          <w:rFonts w:asciiTheme="majorHAnsi" w:hAnsiTheme="majorHAnsi"/>
        </w:rPr>
      </w:pPr>
      <w:r w:rsidRPr="00D779DF">
        <w:rPr>
          <w:rFonts w:asciiTheme="majorHAnsi" w:hAnsiTheme="majorHAnsi"/>
        </w:rPr>
        <w:t xml:space="preserve">A natural progression of the work is to observe the effect of loss of nmd function in whole organisms, specifically in fruitflies. According to both the Bloomington Drosophila Stock Centre and the Vienna Drosophila RNAi Centre, nmd knockout flies (Δnmd) are lethal at the larval stage (information taken from </w:t>
      </w:r>
      <w:r w:rsidRPr="00E62E54">
        <w:rPr>
          <w:rFonts w:asciiTheme="majorHAnsi" w:hAnsiTheme="majorHAnsi"/>
        </w:rPr>
        <w:t>www.flybase.org</w:t>
      </w:r>
      <w:r w:rsidRPr="00D779DF">
        <w:rPr>
          <w:rFonts w:asciiTheme="majorHAnsi" w:hAnsiTheme="majorHAnsi"/>
        </w:rPr>
        <w:t xml:space="preserve">). As shown by Mast </w:t>
      </w:r>
      <w:r w:rsidR="00466108" w:rsidRPr="00466108">
        <w:rPr>
          <w:rFonts w:asciiTheme="majorHAnsi" w:hAnsiTheme="majorHAnsi"/>
          <w:i/>
        </w:rPr>
        <w:t>et al</w:t>
      </w:r>
      <w:r w:rsidRPr="00D779DF">
        <w:rPr>
          <w:rFonts w:asciiTheme="majorHAnsi" w:hAnsiTheme="majorHAnsi"/>
          <w:i/>
        </w:rPr>
        <w:t>.</w:t>
      </w:r>
      <w:r w:rsidRPr="00D779DF">
        <w:rPr>
          <w:rFonts w:asciiTheme="majorHAnsi" w:hAnsiTheme="majorHAnsi"/>
        </w:rPr>
        <w:t xml:space="preserve"> these larvae can be dissected and different tissue cells examined </w:t>
      </w:r>
      <w:r w:rsidRPr="00D779DF">
        <w:rPr>
          <w:rFonts w:asciiTheme="majorHAnsi" w:hAnsiTheme="majorHAnsi"/>
        </w:rPr>
        <w:lastRenderedPageBreak/>
        <w:t xml:space="preserve">for the presence of peroxisomes using a constitutive reporter. It is still possible, however, to try and observe loss of function in whole organisms. Currently work has begun on this line of research. Flies heterozygous for a loss-of-function mutation in nmd can be crossed with ones homozygous for an inducible hairpin RNA. Half of the progeny will be heterozygous for the mutant allele and can mature to adulthood. Upon hatching the adult flies can be induced to ubiquitously express the hairpin RNA which will behave like a long dsRNA probe. The subsequent production of siRNAs will cause interference with the expression of nmd and we will have 10 days to observe the effects of nmd knockdown on adult flies. This will also hopefully lead to the examination of adult tissues deficient in nmd polypeptides and the determination of whether a </w:t>
      </w:r>
      <w:r w:rsidR="00D93535" w:rsidRPr="00D93535">
        <w:rPr>
          <w:rFonts w:asciiTheme="majorHAnsi" w:hAnsiTheme="majorHAnsi"/>
          <w:i/>
        </w:rPr>
        <w:t>PEX</w:t>
      </w:r>
      <w:r w:rsidRPr="00D779DF">
        <w:rPr>
          <w:rFonts w:asciiTheme="majorHAnsi" w:hAnsiTheme="majorHAnsi"/>
        </w:rPr>
        <w:t>-like phenotype is visible in adult cells.</w:t>
      </w:r>
    </w:p>
    <w:p w:rsidR="00D779DF" w:rsidRDefault="00D779DF" w:rsidP="00AE0264">
      <w:pPr>
        <w:jc w:val="both"/>
        <w:rPr>
          <w:rFonts w:asciiTheme="majorHAnsi" w:hAnsiTheme="majorHAnsi"/>
        </w:rPr>
      </w:pPr>
    </w:p>
    <w:p w:rsidR="00E62E54" w:rsidRDefault="00E62E54" w:rsidP="00AE0264">
      <w:pPr>
        <w:jc w:val="both"/>
        <w:rPr>
          <w:rFonts w:asciiTheme="majorHAnsi" w:hAnsiTheme="majorHAnsi"/>
        </w:rPr>
      </w:pPr>
    </w:p>
    <w:p w:rsidR="00E62E54" w:rsidRDefault="00E62E54" w:rsidP="00AE0264">
      <w:pPr>
        <w:jc w:val="both"/>
        <w:rPr>
          <w:rFonts w:asciiTheme="majorHAnsi" w:hAnsiTheme="majorHAnsi"/>
        </w:rPr>
      </w:pPr>
    </w:p>
    <w:p w:rsidR="00E62E54" w:rsidRDefault="00E62E54" w:rsidP="00AE0264">
      <w:pPr>
        <w:jc w:val="both"/>
        <w:rPr>
          <w:rFonts w:asciiTheme="majorHAnsi" w:hAnsiTheme="majorHAnsi"/>
        </w:rPr>
      </w:pPr>
    </w:p>
    <w:p w:rsidR="00E62E54" w:rsidRDefault="00E62E54" w:rsidP="00AE0264">
      <w:pPr>
        <w:jc w:val="both"/>
        <w:rPr>
          <w:rFonts w:asciiTheme="majorHAnsi" w:hAnsiTheme="majorHAnsi"/>
        </w:rPr>
      </w:pPr>
    </w:p>
    <w:p w:rsidR="00E62E54" w:rsidRDefault="00E62E54" w:rsidP="00AE0264">
      <w:pPr>
        <w:jc w:val="both"/>
        <w:rPr>
          <w:rFonts w:asciiTheme="majorHAnsi" w:hAnsiTheme="majorHAnsi"/>
        </w:rPr>
      </w:pPr>
    </w:p>
    <w:p w:rsidR="00E62E54" w:rsidRDefault="00E62E54" w:rsidP="00AE0264">
      <w:pPr>
        <w:jc w:val="both"/>
        <w:rPr>
          <w:rFonts w:asciiTheme="majorHAnsi" w:hAnsiTheme="majorHAnsi"/>
        </w:rPr>
      </w:pPr>
    </w:p>
    <w:p w:rsidR="00E62E54" w:rsidRDefault="00E62E54" w:rsidP="00AE0264">
      <w:pPr>
        <w:jc w:val="both"/>
        <w:rPr>
          <w:rFonts w:asciiTheme="majorHAnsi" w:hAnsiTheme="majorHAnsi"/>
        </w:rPr>
      </w:pPr>
    </w:p>
    <w:p w:rsidR="00E62E54" w:rsidRDefault="00E62E54" w:rsidP="00AE0264">
      <w:pPr>
        <w:jc w:val="both"/>
        <w:rPr>
          <w:rFonts w:asciiTheme="majorHAnsi" w:hAnsiTheme="majorHAnsi"/>
        </w:rPr>
      </w:pPr>
    </w:p>
    <w:p w:rsidR="00E62E54" w:rsidRDefault="00E62E54" w:rsidP="00AE0264">
      <w:pPr>
        <w:jc w:val="both"/>
        <w:rPr>
          <w:rFonts w:asciiTheme="majorHAnsi" w:hAnsiTheme="majorHAnsi"/>
        </w:rPr>
      </w:pPr>
    </w:p>
    <w:p w:rsidR="00E62E54" w:rsidRDefault="00E62E54" w:rsidP="00AE0264">
      <w:pPr>
        <w:jc w:val="both"/>
        <w:rPr>
          <w:rFonts w:asciiTheme="majorHAnsi" w:hAnsiTheme="majorHAnsi"/>
        </w:rPr>
      </w:pPr>
    </w:p>
    <w:p w:rsidR="00E62E54" w:rsidRDefault="00E62E54" w:rsidP="00AE0264">
      <w:pPr>
        <w:jc w:val="both"/>
        <w:rPr>
          <w:rFonts w:asciiTheme="majorHAnsi" w:hAnsiTheme="majorHAnsi"/>
        </w:rPr>
      </w:pPr>
    </w:p>
    <w:p w:rsidR="0009469E" w:rsidRDefault="0009469E" w:rsidP="00AE0264">
      <w:pPr>
        <w:jc w:val="both"/>
        <w:rPr>
          <w:rFonts w:asciiTheme="majorHAnsi" w:hAnsiTheme="majorHAnsi"/>
        </w:rPr>
      </w:pPr>
    </w:p>
    <w:p w:rsidR="0009469E" w:rsidRDefault="0009469E" w:rsidP="00AE0264">
      <w:pPr>
        <w:jc w:val="both"/>
        <w:rPr>
          <w:rFonts w:asciiTheme="majorHAnsi" w:hAnsiTheme="majorHAnsi"/>
        </w:rPr>
      </w:pPr>
    </w:p>
    <w:p w:rsidR="0009469E" w:rsidRDefault="0009469E" w:rsidP="0009469E">
      <w:pPr>
        <w:pStyle w:val="Heading1"/>
        <w:divId w:val="1545016666"/>
      </w:pPr>
      <w:bookmarkStart w:id="159" w:name="_Toc348423411"/>
      <w:r>
        <w:lastRenderedPageBreak/>
        <w:t>Bibliography</w:t>
      </w:r>
      <w:bookmarkEnd w:id="159"/>
    </w:p>
    <w:p w:rsidR="00D72F07" w:rsidRPr="00D72F07" w:rsidRDefault="009A1FEC">
      <w:pPr>
        <w:pStyle w:val="NormalWeb"/>
        <w:ind w:left="480" w:hanging="480"/>
        <w:divId w:val="1704211801"/>
        <w:rPr>
          <w:rFonts w:ascii="Cambria" w:hAnsi="Cambria"/>
          <w:noProof/>
          <w:sz w:val="22"/>
        </w:rPr>
      </w:pPr>
      <w:r>
        <w:rPr>
          <w:rFonts w:asciiTheme="majorHAnsi" w:hAnsiTheme="majorHAnsi"/>
        </w:rPr>
        <w:fldChar w:fldCharType="begin" w:fldLock="1"/>
      </w:r>
      <w:r w:rsidR="0009469E">
        <w:rPr>
          <w:rFonts w:asciiTheme="majorHAnsi" w:hAnsiTheme="majorHAnsi"/>
        </w:rPr>
        <w:instrText xml:space="preserve">ADDIN Mendeley Bibliography CSL_BIBLIOGRAPHY </w:instrText>
      </w:r>
      <w:r>
        <w:rPr>
          <w:rFonts w:asciiTheme="majorHAnsi" w:hAnsiTheme="majorHAnsi"/>
        </w:rPr>
        <w:fldChar w:fldCharType="separate"/>
      </w:r>
      <w:r w:rsidR="00D72F07" w:rsidRPr="00D72F07">
        <w:rPr>
          <w:rFonts w:ascii="Cambria" w:hAnsi="Cambria"/>
          <w:noProof/>
          <w:sz w:val="22"/>
        </w:rPr>
        <w:t xml:space="preserve">Adams, MD 2000, “The Genome Sequence of Drosophila melanogaster,” </w:t>
      </w:r>
      <w:r w:rsidR="00D72F07" w:rsidRPr="00D72F07">
        <w:rPr>
          <w:rFonts w:ascii="Cambria" w:hAnsi="Cambria"/>
          <w:i/>
          <w:iCs/>
          <w:noProof/>
          <w:sz w:val="22"/>
        </w:rPr>
        <w:t>Science</w:t>
      </w:r>
      <w:r w:rsidR="00D72F07" w:rsidRPr="00D72F07">
        <w:rPr>
          <w:rFonts w:ascii="Cambria" w:hAnsi="Cambria"/>
          <w:noProof/>
          <w:sz w:val="22"/>
        </w:rPr>
        <w:t>, vol. 287, no. 5461, pp. 2185–2195.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Alencastre, IS, Rodrigues, T a, Grou, CP, Fransen, M, Sá-Miranda, C &amp; Azevedo, JE 2009, “Mapping the cargo protein membrane translocation step into the </w:t>
      </w:r>
      <w:r w:rsidR="00D93535" w:rsidRPr="00D93535">
        <w:rPr>
          <w:rFonts w:ascii="Cambria" w:hAnsi="Cambria"/>
          <w:i/>
          <w:noProof/>
          <w:sz w:val="22"/>
        </w:rPr>
        <w:t>PEX</w:t>
      </w:r>
      <w:r w:rsidRPr="00D72F07">
        <w:rPr>
          <w:rFonts w:ascii="Cambria" w:hAnsi="Cambria"/>
          <w:noProof/>
          <w:sz w:val="22"/>
        </w:rPr>
        <w:t xml:space="preserve">5 cycling pathway.,” </w:t>
      </w:r>
      <w:r w:rsidRPr="00D72F07">
        <w:rPr>
          <w:rFonts w:ascii="Cambria" w:hAnsi="Cambria"/>
          <w:i/>
          <w:iCs/>
          <w:noProof/>
          <w:sz w:val="22"/>
        </w:rPr>
        <w:t>The Journal of biological chemistry</w:t>
      </w:r>
      <w:r w:rsidRPr="00D72F07">
        <w:rPr>
          <w:rFonts w:ascii="Cambria" w:hAnsi="Cambria"/>
          <w:noProof/>
          <w:sz w:val="22"/>
        </w:rPr>
        <w:t>, vol. 284, no. 40, pp. 27243–51.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Baerends, RJ, Rasmussen, SW, Hilbrands, RE, Van der Heide, M, Faber, KN, Reuvekamp, PT, Kiel, J a, Cregg, JM, Van der Klei, IJ &amp; Veenhuis, M 1996, “The Hansenula polymorpha PER9 gene encodes a peroxisomal membrane protein essential for peroxisome assembly and integrity.,” </w:t>
      </w:r>
      <w:r w:rsidRPr="00D72F07">
        <w:rPr>
          <w:rFonts w:ascii="Cambria" w:hAnsi="Cambria"/>
          <w:i/>
          <w:iCs/>
          <w:noProof/>
          <w:sz w:val="22"/>
        </w:rPr>
        <w:t>The Journal of biological chemistry</w:t>
      </w:r>
      <w:r w:rsidRPr="00D72F07">
        <w:rPr>
          <w:rFonts w:ascii="Cambria" w:hAnsi="Cambria"/>
          <w:noProof/>
          <w:sz w:val="22"/>
        </w:rPr>
        <w:t>, vol. 271, no. 15, pp. 8887–94.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Baudhuin, P, Beaufay, H &amp; De Duve, C 1965, “Combined biochemical and morphological studyof particulate fractions from rat liver. Analysis of preparations enriched in lysosomes or in particles containing urate oxidase, D-amino acid oxidase and catalase.,” </w:t>
      </w:r>
      <w:r w:rsidRPr="00D72F07">
        <w:rPr>
          <w:rFonts w:ascii="Cambria" w:hAnsi="Cambria"/>
          <w:i/>
          <w:iCs/>
          <w:noProof/>
          <w:sz w:val="22"/>
        </w:rPr>
        <w:t>Journal of Cell Biology</w:t>
      </w:r>
      <w:r w:rsidRPr="00D72F07">
        <w:rPr>
          <w:rFonts w:ascii="Cambria" w:hAnsi="Cambria"/>
          <w:noProof/>
          <w:sz w:val="22"/>
        </w:rPr>
        <w:t>, vol. 26, no. 1, pp. 219–43.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Baum, B &amp; Cherbas, L 2008, “Drosophila cell lines as model systems and as an experimental tool.,” in C Dahman (ed.), </w:t>
      </w:r>
      <w:r w:rsidRPr="00D72F07">
        <w:rPr>
          <w:rFonts w:ascii="Cambria" w:hAnsi="Cambria"/>
          <w:i/>
          <w:iCs/>
          <w:noProof/>
          <w:sz w:val="22"/>
        </w:rPr>
        <w:t>Drosophila: Methods and Protocols</w:t>
      </w:r>
      <w:r w:rsidRPr="00D72F07">
        <w:rPr>
          <w:rFonts w:ascii="Cambria" w:hAnsi="Cambria"/>
          <w:noProof/>
          <w:sz w:val="22"/>
        </w:rPr>
        <w:t>, Humana Press, Totawa, NJ.</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Bernstein, E, Caudy, a a, Hammond, SM &amp; Hannon, GJ 2001, “Role for a bidentate ribonuclease in the initiation step of RNA interference.,” </w:t>
      </w:r>
      <w:r w:rsidRPr="00D72F07">
        <w:rPr>
          <w:rFonts w:ascii="Cambria" w:hAnsi="Cambria"/>
          <w:i/>
          <w:iCs/>
          <w:noProof/>
          <w:sz w:val="22"/>
        </w:rPr>
        <w:t>Nature</w:t>
      </w:r>
      <w:r w:rsidRPr="00D72F07">
        <w:rPr>
          <w:rFonts w:ascii="Cambria" w:hAnsi="Cambria"/>
          <w:noProof/>
          <w:sz w:val="22"/>
        </w:rPr>
        <w:t>, vol. 409, no. 6818, pp. 363–6.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Birschmann, I, Stroobants, AK &amp; Berg, M Van Den 2003, “Pex15p of Saccharomyces cerevisiae Provides a Molecular Basis for Recruitment of the AAA Peroxin Pex6p to Peroxisomal Membranes,” </w:t>
      </w:r>
      <w:r w:rsidRPr="00D72F07">
        <w:rPr>
          <w:rFonts w:ascii="Cambria" w:hAnsi="Cambria"/>
          <w:i/>
          <w:iCs/>
          <w:noProof/>
          <w:sz w:val="22"/>
        </w:rPr>
        <w:t>Molecular biology of the cell</w:t>
      </w:r>
      <w:r w:rsidRPr="00D72F07">
        <w:rPr>
          <w:rFonts w:ascii="Cambria" w:hAnsi="Cambria"/>
          <w:noProof/>
          <w:sz w:val="22"/>
        </w:rPr>
        <w:t>, vol. 14, no. June, pp. 2226–2236.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Brown, L &amp; Baker, A 2003, “Peroxisome biogenesis and the role of protein import,” </w:t>
      </w:r>
      <w:r w:rsidRPr="00D72F07">
        <w:rPr>
          <w:rFonts w:ascii="Cambria" w:hAnsi="Cambria"/>
          <w:i/>
          <w:iCs/>
          <w:noProof/>
          <w:sz w:val="22"/>
        </w:rPr>
        <w:t>Journal of Cellular and Molecular Medicine</w:t>
      </w:r>
      <w:r w:rsidRPr="00D72F07">
        <w:rPr>
          <w:rFonts w:ascii="Cambria" w:hAnsi="Cambria"/>
          <w:noProof/>
          <w:sz w:val="22"/>
        </w:rPr>
        <w:t>, vol. 7, no. 4, pp. 388–400.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C, W, Van den Berg, M, Geers, E &amp; Distel, B 2008, “Pex10p functions as an E3 ligase for the Ubc4p-dependent ubiquitination of Pex5p,” </w:t>
      </w:r>
      <w:r w:rsidRPr="00D72F07">
        <w:rPr>
          <w:rFonts w:ascii="Cambria" w:hAnsi="Cambria"/>
          <w:i/>
          <w:iCs/>
          <w:noProof/>
          <w:sz w:val="22"/>
        </w:rPr>
        <w:t>Biochemical and Biophysical Research Communications</w:t>
      </w:r>
      <w:r w:rsidRPr="00D72F07">
        <w:rPr>
          <w:rFonts w:ascii="Cambria" w:hAnsi="Cambria"/>
          <w:noProof/>
          <w:sz w:val="22"/>
        </w:rPr>
        <w:t>, vol. 374, no. 4, pp. 620–624.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Campelo, F, McMahon, HT &amp; Kozlov, MM 2008, “The hydrophobic insertion mechanism of membrane curvature generation by proteins.,” </w:t>
      </w:r>
      <w:r w:rsidRPr="00D72F07">
        <w:rPr>
          <w:rFonts w:ascii="Cambria" w:hAnsi="Cambria"/>
          <w:i/>
          <w:iCs/>
          <w:noProof/>
          <w:sz w:val="22"/>
        </w:rPr>
        <w:t>Biophysical journal</w:t>
      </w:r>
      <w:r w:rsidRPr="00D72F07">
        <w:rPr>
          <w:rFonts w:ascii="Cambria" w:hAnsi="Cambria"/>
          <w:noProof/>
          <w:sz w:val="22"/>
        </w:rPr>
        <w:t>, vol. 95, no. 5, pp. 2325–39.</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Carmell, M a, Xuan, Z, Zhang, MQ &amp; Hannon, GJ 2002, “The Argonaute family: tentacles that reach into RNAi, developmental control, stem cell maintenance, and tumorigenesis.,” </w:t>
      </w:r>
      <w:r w:rsidRPr="00D72F07">
        <w:rPr>
          <w:rFonts w:ascii="Cambria" w:hAnsi="Cambria"/>
          <w:i/>
          <w:iCs/>
          <w:noProof/>
          <w:sz w:val="22"/>
        </w:rPr>
        <w:t>Genes &amp; development</w:t>
      </w:r>
      <w:r w:rsidRPr="00D72F07">
        <w:rPr>
          <w:rFonts w:ascii="Cambria" w:hAnsi="Cambria"/>
          <w:noProof/>
          <w:sz w:val="22"/>
        </w:rPr>
        <w:t>, vol. 16, no. 21, pp. 2733–42.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Cavener, DR 1987, “Comparison of the consensus sequence flanking transtational start sites in Drosophila and vertebrates.,” </w:t>
      </w:r>
      <w:r w:rsidRPr="00D72F07">
        <w:rPr>
          <w:rFonts w:ascii="Cambria" w:hAnsi="Cambria"/>
          <w:i/>
          <w:iCs/>
          <w:noProof/>
          <w:sz w:val="22"/>
        </w:rPr>
        <w:t>Nucleic Acids Research</w:t>
      </w:r>
      <w:r w:rsidRPr="00D72F07">
        <w:rPr>
          <w:rFonts w:ascii="Cambria" w:hAnsi="Cambria"/>
          <w:noProof/>
          <w:sz w:val="22"/>
        </w:rPr>
        <w:t>, vol. 15, no. 4, pp. 1353–1361.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lastRenderedPageBreak/>
        <w:t>Chang, CC, Warren, DS, Sacksteder, K a &amp; Gould, SJ 1999, “</w:t>
      </w:r>
      <w:r w:rsidR="00D93535" w:rsidRPr="00D93535">
        <w:rPr>
          <w:rFonts w:ascii="Cambria" w:hAnsi="Cambria"/>
          <w:i/>
          <w:noProof/>
          <w:sz w:val="22"/>
        </w:rPr>
        <w:t>PEX</w:t>
      </w:r>
      <w:r w:rsidRPr="00D72F07">
        <w:rPr>
          <w:rFonts w:ascii="Cambria" w:hAnsi="Cambria"/>
          <w:noProof/>
          <w:sz w:val="22"/>
        </w:rPr>
        <w:t xml:space="preserve">12 interacts with </w:t>
      </w:r>
      <w:r w:rsidR="00D93535" w:rsidRPr="00D93535">
        <w:rPr>
          <w:rFonts w:ascii="Cambria" w:hAnsi="Cambria"/>
          <w:i/>
          <w:noProof/>
          <w:sz w:val="22"/>
        </w:rPr>
        <w:t>PEX</w:t>
      </w:r>
      <w:r w:rsidRPr="00D72F07">
        <w:rPr>
          <w:rFonts w:ascii="Cambria" w:hAnsi="Cambria"/>
          <w:noProof/>
          <w:sz w:val="22"/>
        </w:rPr>
        <w:t xml:space="preserve">5 and </w:t>
      </w:r>
      <w:r w:rsidR="00D93535" w:rsidRPr="00D93535">
        <w:rPr>
          <w:rFonts w:ascii="Cambria" w:hAnsi="Cambria"/>
          <w:i/>
          <w:noProof/>
          <w:sz w:val="22"/>
        </w:rPr>
        <w:t>PEX</w:t>
      </w:r>
      <w:r w:rsidRPr="00D72F07">
        <w:rPr>
          <w:rFonts w:ascii="Cambria" w:hAnsi="Cambria"/>
          <w:noProof/>
          <w:sz w:val="22"/>
        </w:rPr>
        <w:t xml:space="preserve">10 and acts downstream of receptor docking in peroxisomal matrix protein import.,” </w:t>
      </w:r>
      <w:r w:rsidRPr="00D72F07">
        <w:rPr>
          <w:rFonts w:ascii="Cambria" w:hAnsi="Cambria"/>
          <w:i/>
          <w:iCs/>
          <w:noProof/>
          <w:sz w:val="22"/>
        </w:rPr>
        <w:t>The Journal of cell biology</w:t>
      </w:r>
      <w:r w:rsidRPr="00D72F07">
        <w:rPr>
          <w:rFonts w:ascii="Cambria" w:hAnsi="Cambria"/>
          <w:noProof/>
          <w:sz w:val="22"/>
        </w:rPr>
        <w:t>, vol. 147, no. 4, pp. 761–74.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Chen, H, Liu, Z &amp; Huang, X 2010, “Drosophila models of peroxisomal biogenesis disorder: peroxins are required for spermatogenesis and very-long-chain fatty acid metabolism.,” </w:t>
      </w:r>
      <w:r w:rsidRPr="00D72F07">
        <w:rPr>
          <w:rFonts w:ascii="Cambria" w:hAnsi="Cambria"/>
          <w:i/>
          <w:iCs/>
          <w:noProof/>
          <w:sz w:val="22"/>
        </w:rPr>
        <w:t>Human molecular genetics</w:t>
      </w:r>
      <w:r w:rsidRPr="00D72F07">
        <w:rPr>
          <w:rFonts w:ascii="Cambria" w:hAnsi="Cambria"/>
          <w:noProof/>
          <w:sz w:val="22"/>
        </w:rPr>
        <w:t>, vol. 19, no. 3, pp. 494–505.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Chien, S, Reiter, LT, Bier, E &amp; Gribskov, M 2002, “Homophila: human disease gene cognates in Drosophila.,” </w:t>
      </w:r>
      <w:r w:rsidRPr="00D72F07">
        <w:rPr>
          <w:rFonts w:ascii="Cambria" w:hAnsi="Cambria"/>
          <w:i/>
          <w:iCs/>
          <w:noProof/>
          <w:sz w:val="22"/>
        </w:rPr>
        <w:t>Nucleic acids research</w:t>
      </w:r>
      <w:r w:rsidRPr="00D72F07">
        <w:rPr>
          <w:rFonts w:ascii="Cambria" w:hAnsi="Cambria"/>
          <w:noProof/>
          <w:sz w:val="22"/>
        </w:rPr>
        <w:t>, vol. 30, no. 1, pp. 149–51.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Chung, Y &amp; Keller, EB 1990, “Positive and Negative Regulatory Elements Mediating Transcription from the Drosophila melanogaster Actin 5C Distal Promoter,” </w:t>
      </w:r>
      <w:r w:rsidRPr="00D72F07">
        <w:rPr>
          <w:rFonts w:ascii="Cambria" w:hAnsi="Cambria"/>
          <w:i/>
          <w:iCs/>
          <w:noProof/>
          <w:sz w:val="22"/>
        </w:rPr>
        <w:t>Molecular and Cellular Biology</w:t>
      </w:r>
      <w:r w:rsidRPr="00D72F07">
        <w:rPr>
          <w:rFonts w:ascii="Cambria" w:hAnsi="Cambria"/>
          <w:noProof/>
          <w:sz w:val="22"/>
        </w:rPr>
        <w:t>, vol. 10, no. 12, pp. 6172–6180.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Collins, CS, Kalish, JE, Morrell, JC, McCaffery, JM &amp; Gould, SJ 2000, “The peroxisome biogenesis factors pex4p, pex22p, pex1p, and pex6p act in the terminal steps of peroxisomal matrix protein import.,” </w:t>
      </w:r>
      <w:r w:rsidRPr="00D72F07">
        <w:rPr>
          <w:rFonts w:ascii="Cambria" w:hAnsi="Cambria"/>
          <w:i/>
          <w:iCs/>
          <w:noProof/>
          <w:sz w:val="22"/>
        </w:rPr>
        <w:t>Molecular and cellular biology</w:t>
      </w:r>
      <w:r w:rsidRPr="00D72F07">
        <w:rPr>
          <w:rFonts w:ascii="Cambria" w:hAnsi="Cambria"/>
          <w:noProof/>
          <w:sz w:val="22"/>
        </w:rPr>
        <w:t>, vol. 20, no. 20, pp. 7516–26.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Distel, B, Erdmann, R, Gould, SJ, Blobel, G, Crane, IDI, Cregg, IJM, Dodt, G, Fujiki, Y, Goodman, JM, Just, WW, Kiel, DJAKW, Kunau, W, Lazarow, PB, Mannaerts, GP, Moser, HW, Osumi, T, Rachubinski, RA, Roscher, A, Subramani, S, Tabak, HF, Tsukamoto, T, Valle, D, Klei, I Van Der, Veldhoven, PP Van &amp; I, MVI 1996, “Mini-Review A Unified Nomenclature for Peroxisome Biogenesis Factors,” </w:t>
      </w:r>
      <w:r w:rsidRPr="00D72F07">
        <w:rPr>
          <w:rFonts w:ascii="Cambria" w:hAnsi="Cambria"/>
          <w:i/>
          <w:iCs/>
          <w:noProof/>
          <w:sz w:val="22"/>
        </w:rPr>
        <w:t>Journal of Cell Biology</w:t>
      </w:r>
      <w:r w:rsidRPr="00D72F07">
        <w:rPr>
          <w:rFonts w:ascii="Cambria" w:hAnsi="Cambria"/>
          <w:noProof/>
          <w:sz w:val="22"/>
        </w:rPr>
        <w:t>, vol. 135, no. 1, pp. 1–3.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Dorner, S, Lum, L, Kim, M, Paro, R, Beachy, P a &amp; Green, R 2006, “A genomewide screen for components of the RNAi pathway in Drosophila cultured cells.,” </w:t>
      </w:r>
      <w:r w:rsidRPr="00D72F07">
        <w:rPr>
          <w:rFonts w:ascii="Cambria" w:hAnsi="Cambria"/>
          <w:i/>
          <w:iCs/>
          <w:noProof/>
          <w:sz w:val="22"/>
        </w:rPr>
        <w:t>Proceedings of the National Academy of Sciences of the United States of America</w:t>
      </w:r>
      <w:r w:rsidRPr="00D72F07">
        <w:rPr>
          <w:rFonts w:ascii="Cambria" w:hAnsi="Cambria"/>
          <w:noProof/>
          <w:sz w:val="22"/>
        </w:rPr>
        <w:t>, vol. 103, no. 32, pp. 11880–5.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De Duve, C &amp; Baudhuin, P 1966, “Peroxisomes (microbodies and related particles),” </w:t>
      </w:r>
      <w:r w:rsidRPr="00D72F07">
        <w:rPr>
          <w:rFonts w:ascii="Cambria" w:hAnsi="Cambria"/>
          <w:i/>
          <w:iCs/>
          <w:noProof/>
          <w:sz w:val="22"/>
        </w:rPr>
        <w:t>Physiological reviews</w:t>
      </w:r>
      <w:r w:rsidRPr="00D72F07">
        <w:rPr>
          <w:rFonts w:ascii="Cambria" w:hAnsi="Cambria"/>
          <w:noProof/>
          <w:sz w:val="22"/>
        </w:rPr>
        <w:t>, vol. 46, pp. 323–57.</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Dytham, C 2003, </w:t>
      </w:r>
      <w:r w:rsidRPr="00D72F07">
        <w:rPr>
          <w:rFonts w:ascii="Cambria" w:hAnsi="Cambria"/>
          <w:i/>
          <w:iCs/>
          <w:noProof/>
          <w:sz w:val="22"/>
        </w:rPr>
        <w:t>Choosing and Using Statistics - A Biologist’s Guide</w:t>
      </w:r>
      <w:r w:rsidRPr="00D72F07">
        <w:rPr>
          <w:rFonts w:ascii="Cambria" w:hAnsi="Cambria"/>
          <w:noProof/>
          <w:sz w:val="22"/>
        </w:rPr>
        <w:t>, 2nd ed, Blackwell Publishing, pp. 7–22.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Echalier, G &amp; Ohanessian, A 1969a, “Isolation, in tissue culture, of Drosophila melangaster cell lines,” </w:t>
      </w:r>
      <w:r w:rsidRPr="00D72F07">
        <w:rPr>
          <w:rFonts w:ascii="Cambria" w:hAnsi="Cambria"/>
          <w:i/>
          <w:iCs/>
          <w:noProof/>
          <w:sz w:val="22"/>
        </w:rPr>
        <w:t>C R Acad Sci Hebd Seances Acad Sci D</w:t>
      </w:r>
      <w:r w:rsidRPr="00D72F07">
        <w:rPr>
          <w:rFonts w:ascii="Cambria" w:hAnsi="Cambria"/>
          <w:noProof/>
          <w:sz w:val="22"/>
        </w:rPr>
        <w:t>, vol. 268, no. 13, pp. 1771–3.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Echalier, G &amp; Ohanessian, A 1969b, “Isolation, in tissue culture, of Drosophila melangaster cell lines.,” </w:t>
      </w:r>
      <w:r w:rsidRPr="00D72F07">
        <w:rPr>
          <w:rFonts w:ascii="Cambria" w:hAnsi="Cambria"/>
          <w:i/>
          <w:iCs/>
          <w:noProof/>
          <w:sz w:val="22"/>
        </w:rPr>
        <w:t>C R Acad Sci Hebd Seances Acad Sci D</w:t>
      </w:r>
      <w:r w:rsidRPr="00D72F07">
        <w:rPr>
          <w:rFonts w:ascii="Cambria" w:hAnsi="Cambria"/>
          <w:noProof/>
          <w:sz w:val="22"/>
        </w:rPr>
        <w:t>, vol. 268, pp. 1771–3.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Eckert, JH &amp; Erdmann, R 2003, “Peroxisome Biogenesis,” </w:t>
      </w:r>
      <w:r w:rsidRPr="00D72F07">
        <w:rPr>
          <w:rFonts w:ascii="Cambria" w:hAnsi="Cambria"/>
          <w:i/>
          <w:iCs/>
          <w:noProof/>
          <w:sz w:val="22"/>
        </w:rPr>
        <w:t>Rev Physiol Biochem Pharmacol</w:t>
      </w:r>
      <w:r w:rsidRPr="00D72F07">
        <w:rPr>
          <w:rFonts w:ascii="Cambria" w:hAnsi="Cambria"/>
          <w:noProof/>
          <w:sz w:val="22"/>
        </w:rPr>
        <w:t>, vol. 147, pp. 75–121.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Egli, D, Domènech, J, Selvaraj, A, Balamurugan, K, Hua, H, Capdevila, M, Georgiev, O, Schaffner, W &amp; Atrian, S 2006, “The four members of the Drosophila metallothionein family exhibit distinct yet overlapping roles in heavy metal </w:t>
      </w:r>
      <w:r w:rsidRPr="00D72F07">
        <w:rPr>
          <w:rFonts w:ascii="Cambria" w:hAnsi="Cambria"/>
          <w:noProof/>
          <w:sz w:val="22"/>
        </w:rPr>
        <w:lastRenderedPageBreak/>
        <w:t xml:space="preserve">homeostasis and detoxification.,” </w:t>
      </w:r>
      <w:r w:rsidRPr="00D72F07">
        <w:rPr>
          <w:rFonts w:ascii="Cambria" w:hAnsi="Cambria"/>
          <w:i/>
          <w:iCs/>
          <w:noProof/>
          <w:sz w:val="22"/>
        </w:rPr>
        <w:t>Genes to cells : devoted to molecular &amp; cellular mechanisms</w:t>
      </w:r>
      <w:r w:rsidRPr="00D72F07">
        <w:rPr>
          <w:rFonts w:ascii="Cambria" w:hAnsi="Cambria"/>
          <w:noProof/>
          <w:sz w:val="22"/>
        </w:rPr>
        <w:t>, vol. 11, no. 6, pp. 647–58.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Eitzen, GA, Szilard, RK &amp; Rachubinski, RA 1997, “Enlarged Peroxisomes Are Present in Oleic Acid–grown,” </w:t>
      </w:r>
      <w:r w:rsidRPr="00D72F07">
        <w:rPr>
          <w:rFonts w:ascii="Cambria" w:hAnsi="Cambria"/>
          <w:i/>
          <w:iCs/>
          <w:noProof/>
          <w:sz w:val="22"/>
        </w:rPr>
        <w:t>Journal of Cell Biology</w:t>
      </w:r>
      <w:r w:rsidRPr="00D72F07">
        <w:rPr>
          <w:rFonts w:ascii="Cambria" w:hAnsi="Cambria"/>
          <w:noProof/>
          <w:sz w:val="22"/>
        </w:rPr>
        <w:t>, vol. 137, no. 6, pp. 1265–1278.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Elbashir, SM, Lendeckel, W &amp; Tuschl, T 2001, “RNA interference is mediated by 21- and 22-nucleotide RNAs,” </w:t>
      </w:r>
      <w:r w:rsidRPr="00D72F07">
        <w:rPr>
          <w:rFonts w:ascii="Cambria" w:hAnsi="Cambria"/>
          <w:i/>
          <w:iCs/>
          <w:noProof/>
          <w:sz w:val="22"/>
        </w:rPr>
        <w:t>Genes and development</w:t>
      </w:r>
      <w:r w:rsidRPr="00D72F07">
        <w:rPr>
          <w:rFonts w:ascii="Cambria" w:hAnsi="Cambria"/>
          <w:noProof/>
          <w:sz w:val="22"/>
        </w:rPr>
        <w:t>, pp. 188–200.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Elgersma, Y, Van den Berg, M, Tabak, HF &amp; Distel, B 1993, “An efficient positive selection procedure for the isolation of peroxisomal import and peroxisome assembly mutants of Saccharomyces cerevisiae.,” </w:t>
      </w:r>
      <w:r w:rsidRPr="00D72F07">
        <w:rPr>
          <w:rFonts w:ascii="Cambria" w:hAnsi="Cambria"/>
          <w:i/>
          <w:iCs/>
          <w:noProof/>
          <w:sz w:val="22"/>
        </w:rPr>
        <w:t>Genetics</w:t>
      </w:r>
      <w:r w:rsidRPr="00D72F07">
        <w:rPr>
          <w:rFonts w:ascii="Cambria" w:hAnsi="Cambria"/>
          <w:noProof/>
          <w:sz w:val="22"/>
        </w:rPr>
        <w:t>, vol. 135, no. 3, pp. 731–40.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Erdmann, R &amp; Blobel, G 1995, “Giant peroxisomes in oleic acid-induced Saccharomyces cerevisiae lacking the peroxisomal membrane protein Pmp27p.,” </w:t>
      </w:r>
      <w:r w:rsidRPr="00D72F07">
        <w:rPr>
          <w:rFonts w:ascii="Cambria" w:hAnsi="Cambria"/>
          <w:i/>
          <w:iCs/>
          <w:noProof/>
          <w:sz w:val="22"/>
        </w:rPr>
        <w:t>The Journal of cell biology</w:t>
      </w:r>
      <w:r w:rsidRPr="00D72F07">
        <w:rPr>
          <w:rFonts w:ascii="Cambria" w:hAnsi="Cambria"/>
          <w:noProof/>
          <w:sz w:val="22"/>
        </w:rPr>
        <w:t>, vol. 128, no. 4, pp. 509–23.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Erdmann, R &amp; Schliebs, W 2005, “Peroxisomal matrix protein import: the transient pore model,” </w:t>
      </w:r>
      <w:r w:rsidRPr="00D72F07">
        <w:rPr>
          <w:rFonts w:ascii="Cambria" w:hAnsi="Cambria"/>
          <w:i/>
          <w:iCs/>
          <w:noProof/>
          <w:sz w:val="22"/>
        </w:rPr>
        <w:t>Nature Reviews Molecular Cell Biology Biology</w:t>
      </w:r>
      <w:r w:rsidRPr="00D72F07">
        <w:rPr>
          <w:rFonts w:ascii="Cambria" w:hAnsi="Cambria"/>
          <w:noProof/>
          <w:sz w:val="22"/>
        </w:rPr>
        <w:t>, vol. 6, no. September, pp. 738–742.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Erdmann, R, Veenhuis, M, Mertens, D &amp; Kunau, WH 1989, “Isolation of peroxisome-deficient mutants of Saccharomyces cerevisiae.,” </w:t>
      </w:r>
      <w:r w:rsidRPr="00D72F07">
        <w:rPr>
          <w:rFonts w:ascii="Cambria" w:hAnsi="Cambria"/>
          <w:i/>
          <w:iCs/>
          <w:noProof/>
          <w:sz w:val="22"/>
        </w:rPr>
        <w:t>Proceedings of the National Academy of Sciences of the United States of America</w:t>
      </w:r>
      <w:r w:rsidRPr="00D72F07">
        <w:rPr>
          <w:rFonts w:ascii="Cambria" w:hAnsi="Cambria"/>
          <w:noProof/>
          <w:sz w:val="22"/>
        </w:rPr>
        <w:t>, vol. 86, no. 14, pp. 5419–23.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Fang, Y, Morrell, JC, Jones, JM &amp; Gould, SJ 2004, “</w:t>
      </w:r>
      <w:r w:rsidR="00D93535" w:rsidRPr="00D93535">
        <w:rPr>
          <w:rFonts w:ascii="Cambria" w:hAnsi="Cambria"/>
          <w:i/>
          <w:noProof/>
          <w:sz w:val="22"/>
        </w:rPr>
        <w:t>PEX</w:t>
      </w:r>
      <w:r w:rsidRPr="00D72F07">
        <w:rPr>
          <w:rFonts w:ascii="Cambria" w:hAnsi="Cambria"/>
          <w:noProof/>
          <w:sz w:val="22"/>
        </w:rPr>
        <w:t xml:space="preserve">3 functions as a </w:t>
      </w:r>
      <w:r w:rsidR="00D93535" w:rsidRPr="00D93535">
        <w:rPr>
          <w:rFonts w:ascii="Cambria" w:hAnsi="Cambria"/>
          <w:i/>
          <w:noProof/>
          <w:sz w:val="22"/>
        </w:rPr>
        <w:t>PEX</w:t>
      </w:r>
      <w:r w:rsidRPr="00D72F07">
        <w:rPr>
          <w:rFonts w:ascii="Cambria" w:hAnsi="Cambria"/>
          <w:noProof/>
          <w:sz w:val="22"/>
        </w:rPr>
        <w:t xml:space="preserve">19 docking factor in the import of class I peroxisomal membrane proteins.,” </w:t>
      </w:r>
      <w:r w:rsidRPr="00D72F07">
        <w:rPr>
          <w:rFonts w:ascii="Cambria" w:hAnsi="Cambria"/>
          <w:i/>
          <w:iCs/>
          <w:noProof/>
          <w:sz w:val="22"/>
        </w:rPr>
        <w:t>The Journal of cell biology</w:t>
      </w:r>
      <w:r w:rsidRPr="00D72F07">
        <w:rPr>
          <w:rFonts w:ascii="Cambria" w:hAnsi="Cambria"/>
          <w:noProof/>
          <w:sz w:val="22"/>
        </w:rPr>
        <w:t>, vol. 164, no. 6, pp. 863–75.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Faust, JE, Verma, A, Peng, C &amp; McNew, J a 2012, “An Inventory of Peroxisomal Proteins and Pathways in Drosophila melanogaster.,” </w:t>
      </w:r>
      <w:r w:rsidRPr="00D72F07">
        <w:rPr>
          <w:rFonts w:ascii="Cambria" w:hAnsi="Cambria"/>
          <w:i/>
          <w:iCs/>
          <w:noProof/>
          <w:sz w:val="22"/>
        </w:rPr>
        <w:t>Traffic (Copenhagen, Denmark)</w:t>
      </w:r>
      <w:r w:rsidRPr="00D72F07">
        <w:rPr>
          <w:rFonts w:ascii="Cambria" w:hAnsi="Cambria"/>
          <w:noProof/>
          <w:sz w:val="22"/>
        </w:rPr>
        <w:t>, vol. 13, no. 10, pp. 1378–92.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Fire, A, Xu, S, Montgomery, MK, Kostas, SA, Driver, SE &amp; Mello, CC 1998, “Potent and specific genetic interference by double-stranded RNA in Caenorhabditis elegans,” </w:t>
      </w:r>
      <w:r w:rsidRPr="00D72F07">
        <w:rPr>
          <w:rFonts w:ascii="Cambria" w:hAnsi="Cambria"/>
          <w:i/>
          <w:iCs/>
          <w:noProof/>
          <w:sz w:val="22"/>
        </w:rPr>
        <w:t>Letters to Nature</w:t>
      </w:r>
      <w:r w:rsidRPr="00D72F07">
        <w:rPr>
          <w:rFonts w:ascii="Cambria" w:hAnsi="Cambria"/>
          <w:noProof/>
          <w:sz w:val="22"/>
        </w:rPr>
        <w:t>, vol. 391, no. February, pp. 806–811.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Gandre-babbe, S &amp; Bliek, AM Van Der 2008, “The Novel Tail-anchored Membrane Protein Mff Controls Mitochondrial and Peroxisomal Fission in Mammalian Cells,” </w:t>
      </w:r>
      <w:r w:rsidRPr="00D72F07">
        <w:rPr>
          <w:rFonts w:ascii="Cambria" w:hAnsi="Cambria"/>
          <w:i/>
          <w:iCs/>
          <w:noProof/>
          <w:sz w:val="22"/>
        </w:rPr>
        <w:t>Molecular and cellular biology</w:t>
      </w:r>
      <w:r w:rsidRPr="00D72F07">
        <w:rPr>
          <w:rFonts w:ascii="Cambria" w:hAnsi="Cambria"/>
          <w:noProof/>
          <w:sz w:val="22"/>
        </w:rPr>
        <w:t>, vol. 19, no. June, pp. 2402–2412.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Geuze, HJ, Murk, JL, Stroobants, AK, Griffith, JM, Kleijmeer, MJ, Koster, AJ, Verkleij, AJ, Distel, B &amp; Tabak, HF 2003, “Involvement of the Endoplasmic Reticulum in Peroxisome Formation,” </w:t>
      </w:r>
      <w:r w:rsidRPr="00D72F07">
        <w:rPr>
          <w:rFonts w:ascii="Cambria" w:hAnsi="Cambria"/>
          <w:i/>
          <w:iCs/>
          <w:noProof/>
          <w:sz w:val="22"/>
        </w:rPr>
        <w:t>Molecular biology of the cell</w:t>
      </w:r>
      <w:r w:rsidRPr="00D72F07">
        <w:rPr>
          <w:rFonts w:ascii="Cambria" w:hAnsi="Cambria"/>
          <w:noProof/>
          <w:sz w:val="22"/>
        </w:rPr>
        <w:t>, vol. 14, no. July, pp. 2900–2907.</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Gietz, R &amp; Sugino, A 1988, “New yeast-Escherichia coli shuttle vectors constructed with in vitro mutagenized yeast genes lacking six-base pair restriction sites.,” </w:t>
      </w:r>
      <w:r w:rsidRPr="00D72F07">
        <w:rPr>
          <w:rFonts w:ascii="Cambria" w:hAnsi="Cambria"/>
          <w:i/>
          <w:iCs/>
          <w:noProof/>
          <w:sz w:val="22"/>
        </w:rPr>
        <w:t>Gene</w:t>
      </w:r>
      <w:r w:rsidRPr="00D72F07">
        <w:rPr>
          <w:rFonts w:ascii="Cambria" w:hAnsi="Cambria"/>
          <w:noProof/>
          <w:sz w:val="22"/>
        </w:rPr>
        <w:t>, vol. 74, no. 2, pp. 527–34.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lastRenderedPageBreak/>
        <w:t xml:space="preserve">Goldfischer, S, Moore, CL, Johnson, AB, Spiro, AJ, Valsamis, MP &amp; Wisniewski, HK 1973, “Peroxisomal and mitochondrial defects in the cerebro-hepato-renal syndrome,” </w:t>
      </w:r>
      <w:r w:rsidRPr="00D72F07">
        <w:rPr>
          <w:rFonts w:ascii="Cambria" w:hAnsi="Cambria"/>
          <w:i/>
          <w:iCs/>
          <w:noProof/>
          <w:sz w:val="22"/>
        </w:rPr>
        <w:t>Science</w:t>
      </w:r>
      <w:r w:rsidRPr="00D72F07">
        <w:rPr>
          <w:rFonts w:ascii="Cambria" w:hAnsi="Cambria"/>
          <w:noProof/>
          <w:sz w:val="22"/>
        </w:rPr>
        <w:t>, vol. 182, no. 107, pp. 62–4.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Gonzalez, E 1986, “Role of the Endoplasmic Reticulum in Glyoxysome Formation in Castor Bean Endosperm,” </w:t>
      </w:r>
      <w:r w:rsidRPr="00D72F07">
        <w:rPr>
          <w:rFonts w:ascii="Cambria" w:hAnsi="Cambria"/>
          <w:i/>
          <w:iCs/>
          <w:noProof/>
          <w:sz w:val="22"/>
        </w:rPr>
        <w:t>Plant physiology</w:t>
      </w:r>
      <w:r w:rsidRPr="00D72F07">
        <w:rPr>
          <w:rFonts w:ascii="Cambria" w:hAnsi="Cambria"/>
          <w:noProof/>
          <w:sz w:val="22"/>
        </w:rPr>
        <w:t>, vol. 80, pp. 950–955.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Gonzalez, E &amp; Beevers, H 1976, “Role of the Endoplasmic Reticulum in Glyoxysome Formation in Castor Bean Endosperm,” </w:t>
      </w:r>
      <w:r w:rsidRPr="00D72F07">
        <w:rPr>
          <w:rFonts w:ascii="Cambria" w:hAnsi="Cambria"/>
          <w:i/>
          <w:iCs/>
          <w:noProof/>
          <w:sz w:val="22"/>
        </w:rPr>
        <w:t>Plant Physiology</w:t>
      </w:r>
      <w:r w:rsidRPr="00D72F07">
        <w:rPr>
          <w:rFonts w:ascii="Cambria" w:hAnsi="Cambria"/>
          <w:noProof/>
          <w:sz w:val="22"/>
        </w:rPr>
        <w:t>, vol. 57, pp. 406–409.</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Gould, SJ, Keller, G a, Hosken, N, Wilkinson, J &amp; Subramani, S 1989, “A conserved tripeptide sorts proteins to peroxisomes.,” </w:t>
      </w:r>
      <w:r w:rsidRPr="00D72F07">
        <w:rPr>
          <w:rFonts w:ascii="Cambria" w:hAnsi="Cambria"/>
          <w:i/>
          <w:iCs/>
          <w:noProof/>
          <w:sz w:val="22"/>
        </w:rPr>
        <w:t>The Journal of cell biology</w:t>
      </w:r>
      <w:r w:rsidRPr="00D72F07">
        <w:rPr>
          <w:rFonts w:ascii="Cambria" w:hAnsi="Cambria"/>
          <w:noProof/>
          <w:sz w:val="22"/>
        </w:rPr>
        <w:t>, vol. 108, no. 5, pp. 1657–64.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Gould, SJ, Keller, G &amp; Subramani, S 1987, “Identification of a Peroxisomal Targeting Signal at the Carboxy Terminus of Firefly Luciferase,” </w:t>
      </w:r>
      <w:r w:rsidRPr="00D72F07">
        <w:rPr>
          <w:rFonts w:ascii="Cambria" w:hAnsi="Cambria"/>
          <w:i/>
          <w:iCs/>
          <w:noProof/>
          <w:sz w:val="22"/>
        </w:rPr>
        <w:t>Journal of Cell Biology</w:t>
      </w:r>
      <w:r w:rsidRPr="00D72F07">
        <w:rPr>
          <w:rFonts w:ascii="Cambria" w:hAnsi="Cambria"/>
          <w:noProof/>
          <w:sz w:val="22"/>
        </w:rPr>
        <w:t>, vol. 105, no. 6, pp. 2923–2931.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Gould, SJ, Mccollum, D, Spong, AP, Heyman, JA &amp; Subramani, S 1992, “Development of the yeast Pichia pastoris as a model organism for a genetic and molecular analysis of peroxisome assembly.,” </w:t>
      </w:r>
      <w:r w:rsidRPr="00D72F07">
        <w:rPr>
          <w:rFonts w:ascii="Cambria" w:hAnsi="Cambria"/>
          <w:i/>
          <w:iCs/>
          <w:noProof/>
          <w:sz w:val="22"/>
        </w:rPr>
        <w:t>Yeast</w:t>
      </w:r>
      <w:r w:rsidRPr="00D72F07">
        <w:rPr>
          <w:rFonts w:ascii="Cambria" w:hAnsi="Cambria"/>
          <w:noProof/>
          <w:sz w:val="22"/>
        </w:rPr>
        <w:t>, vol. 8, no. 8, pp. 613–28.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Grimm, I, Saffian, D, Platta, HW &amp; Erdmann, R 2012, “The AAA-type ATPases Pex1p and Pex6p and their role in peroxisomal matrix protein import in Saccharomyces cerevisiae.,” </w:t>
      </w:r>
      <w:r w:rsidRPr="00D72F07">
        <w:rPr>
          <w:rFonts w:ascii="Cambria" w:hAnsi="Cambria"/>
          <w:i/>
          <w:iCs/>
          <w:noProof/>
          <w:sz w:val="22"/>
        </w:rPr>
        <w:t>Biochimica et biophysica acta</w:t>
      </w:r>
      <w:r w:rsidRPr="00D72F07">
        <w:rPr>
          <w:rFonts w:ascii="Cambria" w:hAnsi="Cambria"/>
          <w:noProof/>
          <w:sz w:val="22"/>
        </w:rPr>
        <w:t>, vol. 1823, no. 1, Elsevier B.V., pp. 150–8.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Grou, CP, Carvalho, AF, Pinto, MP, Huybrechts, SJ, Sá-Miranda, C, Fransen, M &amp; Azevedo, JE 2009, “Properties of the ubiquitin-pex5p thiol ester conjugate.,” </w:t>
      </w:r>
      <w:r w:rsidRPr="00D72F07">
        <w:rPr>
          <w:rFonts w:ascii="Cambria" w:hAnsi="Cambria"/>
          <w:i/>
          <w:iCs/>
          <w:noProof/>
          <w:sz w:val="22"/>
        </w:rPr>
        <w:t>The Journal of biological chemistry</w:t>
      </w:r>
      <w:r w:rsidRPr="00D72F07">
        <w:rPr>
          <w:rFonts w:ascii="Cambria" w:hAnsi="Cambria"/>
          <w:noProof/>
          <w:sz w:val="22"/>
        </w:rPr>
        <w:t>, vol. 284, no. 16, pp. 10504–13.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Grunau, S, Schliebs, W, Linnepe, R, Neufeld, C, Cizmowski, C, Reinartz, B, Meyer, HE, Warscheid, B, Girzalsky, W &amp; Erdmann, R 2009, “Peroxisomal Targeting of PTS2 Pre-Import Complexes in the Yeast Saccharomyces cerevisiae,” </w:t>
      </w:r>
      <w:r w:rsidRPr="00D72F07">
        <w:rPr>
          <w:rFonts w:ascii="Cambria" w:hAnsi="Cambria"/>
          <w:i/>
          <w:iCs/>
          <w:noProof/>
          <w:sz w:val="22"/>
        </w:rPr>
        <w:t>Traffic</w:t>
      </w:r>
      <w:r w:rsidRPr="00D72F07">
        <w:rPr>
          <w:rFonts w:ascii="Cambria" w:hAnsi="Cambria"/>
          <w:noProof/>
          <w:sz w:val="22"/>
        </w:rPr>
        <w:t>, vol. 10, no. 4, pp. 451–460.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Götte, K, Girzalsky, W, Linkert, M, Baumgart, E, Kammerer, S, Kunau, WH &amp; Erdmann, R 1998, “Pex19p, a farnesylated protein essential for peroxisome biogenesis.,” </w:t>
      </w:r>
      <w:r w:rsidRPr="00D72F07">
        <w:rPr>
          <w:rFonts w:ascii="Cambria" w:hAnsi="Cambria"/>
          <w:i/>
          <w:iCs/>
          <w:noProof/>
          <w:sz w:val="22"/>
        </w:rPr>
        <w:t>Molecular and cellular biology</w:t>
      </w:r>
      <w:r w:rsidRPr="00D72F07">
        <w:rPr>
          <w:rFonts w:ascii="Cambria" w:hAnsi="Cambria"/>
          <w:noProof/>
          <w:sz w:val="22"/>
        </w:rPr>
        <w:t>, vol. 18, no. 1, pp. 616–28.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Hammond, SM, Bernstein, E, Beach, D &amp; Hannon, GJ 2000, “An RNA-directed nuclease mediates post-transcriptional gene silencing in Drosophila cells.,” </w:t>
      </w:r>
      <w:r w:rsidRPr="00D72F07">
        <w:rPr>
          <w:rFonts w:ascii="Cambria" w:hAnsi="Cambria"/>
          <w:i/>
          <w:iCs/>
          <w:noProof/>
          <w:sz w:val="22"/>
        </w:rPr>
        <w:t>Nature</w:t>
      </w:r>
      <w:r w:rsidRPr="00D72F07">
        <w:rPr>
          <w:rFonts w:ascii="Cambria" w:hAnsi="Cambria"/>
          <w:noProof/>
          <w:sz w:val="22"/>
        </w:rPr>
        <w:t>, vol. 404, no. 6775, pp. 293–6.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Held, M, Schmitz, MHA, Fischer, B, Walter, T, Neumann, B, Olma, MH, Peter, M, Ellenberg, J &amp; Gerlich, DW 2010, “Cellcognition: time-resolved phenotype annotation in high-throughput live cell imaging,” </w:t>
      </w:r>
      <w:r w:rsidRPr="00D72F07">
        <w:rPr>
          <w:rFonts w:ascii="Cambria" w:hAnsi="Cambria"/>
          <w:i/>
          <w:iCs/>
          <w:noProof/>
          <w:sz w:val="22"/>
        </w:rPr>
        <w:t>Nature Methods</w:t>
      </w:r>
      <w:r w:rsidRPr="00D72F07">
        <w:rPr>
          <w:rFonts w:ascii="Cambria" w:hAnsi="Cambria"/>
          <w:noProof/>
          <w:sz w:val="22"/>
        </w:rPr>
        <w:t>, vol. 7, pp. 745–54.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Hettema, EH, Girzalsky, W, Van Den Berg, M, Erdmann, R &amp; Distel, B 2000, “Saccharomyces cerevisiae pex3p and pex19p are required for proper localization and stability of peroxisomal membrane proteins.,” </w:t>
      </w:r>
      <w:r w:rsidRPr="00D72F07">
        <w:rPr>
          <w:rFonts w:ascii="Cambria" w:hAnsi="Cambria"/>
          <w:i/>
          <w:iCs/>
          <w:noProof/>
          <w:sz w:val="22"/>
        </w:rPr>
        <w:t>The EMBO journal</w:t>
      </w:r>
      <w:r w:rsidRPr="00D72F07">
        <w:rPr>
          <w:rFonts w:ascii="Cambria" w:hAnsi="Cambria"/>
          <w:noProof/>
          <w:sz w:val="22"/>
        </w:rPr>
        <w:t>, vol. 19, no. 2, pp. 223–33.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lastRenderedPageBreak/>
        <w:t xml:space="preserve">Hoepfner, D, Schildknegt, D, Braakman, I, Philippsen, P &amp; Tabak, HF 2005, “Contribution of the endoplasmic reticulum to peroxisome formation.,” </w:t>
      </w:r>
      <w:r w:rsidRPr="00D72F07">
        <w:rPr>
          <w:rFonts w:ascii="Cambria" w:hAnsi="Cambria"/>
          <w:i/>
          <w:iCs/>
          <w:noProof/>
          <w:sz w:val="22"/>
        </w:rPr>
        <w:t>Cell</w:t>
      </w:r>
      <w:r w:rsidRPr="00D72F07">
        <w:rPr>
          <w:rFonts w:ascii="Cambria" w:hAnsi="Cambria"/>
          <w:noProof/>
          <w:sz w:val="22"/>
        </w:rPr>
        <w:t>, vol. 122, no. 1, pp. 85–95.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Holroyd, C &amp; Erdmann, R 2001, “Protein translocation machineries of peroxisomes,” </w:t>
      </w:r>
      <w:r w:rsidRPr="00D72F07">
        <w:rPr>
          <w:rFonts w:ascii="Cambria" w:hAnsi="Cambria"/>
          <w:i/>
          <w:iCs/>
          <w:noProof/>
          <w:sz w:val="22"/>
        </w:rPr>
        <w:t>FEBS letters</w:t>
      </w:r>
      <w:r w:rsidRPr="00D72F07">
        <w:rPr>
          <w:rFonts w:ascii="Cambria" w:hAnsi="Cambria"/>
          <w:noProof/>
          <w:sz w:val="22"/>
        </w:rPr>
        <w:t>, vol. 501, pp. 6–10.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Honsho, M, Tamura, S, Shimozawa, N, Suzuki, Y, Kondo, N &amp; Fujiki, Y 1998, “Mutation in </w:t>
      </w:r>
      <w:r w:rsidR="00D93535" w:rsidRPr="00D93535">
        <w:rPr>
          <w:rFonts w:ascii="Cambria" w:hAnsi="Cambria"/>
          <w:i/>
          <w:noProof/>
          <w:sz w:val="22"/>
        </w:rPr>
        <w:t>PEX</w:t>
      </w:r>
      <w:r w:rsidRPr="00D72F07">
        <w:rPr>
          <w:rFonts w:ascii="Cambria" w:hAnsi="Cambria"/>
          <w:noProof/>
          <w:sz w:val="22"/>
        </w:rPr>
        <w:t xml:space="preserve">16 is causal in the peroxisome-deficient Zellweger syndrome of complementation group D.,” </w:t>
      </w:r>
      <w:r w:rsidRPr="00D72F07">
        <w:rPr>
          <w:rFonts w:ascii="Cambria" w:hAnsi="Cambria"/>
          <w:i/>
          <w:iCs/>
          <w:noProof/>
          <w:sz w:val="22"/>
        </w:rPr>
        <w:t>American journal of human genetics</w:t>
      </w:r>
      <w:r w:rsidRPr="00D72F07">
        <w:rPr>
          <w:rFonts w:ascii="Cambria" w:hAnsi="Cambria"/>
          <w:noProof/>
          <w:sz w:val="22"/>
        </w:rPr>
        <w:t>, vol. 63, no. 6, pp. 1622–30.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Horn, T, Sandmann, T &amp; Boutros, M 2010, “Design and evaluation of genome-wide libraries for RNA interference screens.,” </w:t>
      </w:r>
      <w:r w:rsidRPr="00D72F07">
        <w:rPr>
          <w:rFonts w:ascii="Cambria" w:hAnsi="Cambria"/>
          <w:i/>
          <w:iCs/>
          <w:noProof/>
          <w:sz w:val="22"/>
        </w:rPr>
        <w:t>Genome biology</w:t>
      </w:r>
      <w:r w:rsidRPr="00D72F07">
        <w:rPr>
          <w:rFonts w:ascii="Cambria" w:hAnsi="Cambria"/>
          <w:noProof/>
          <w:sz w:val="22"/>
        </w:rPr>
        <w:t>, vol. 11, no. 6, p. R61.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Huhse, B, Rehling, P, Albertini, M, Blank, L, Meller, K &amp; Kunau, W 1998, “Pex17p of Saccharomyces cerevisiae Is a Novel Peroxin and Component of the Peroxisomal Protein Translocation Machinery,” </w:t>
      </w:r>
      <w:r w:rsidRPr="00D72F07">
        <w:rPr>
          <w:rFonts w:ascii="Cambria" w:hAnsi="Cambria"/>
          <w:i/>
          <w:iCs/>
          <w:noProof/>
          <w:sz w:val="22"/>
        </w:rPr>
        <w:t>Journal of Cell Biology</w:t>
      </w:r>
      <w:r w:rsidRPr="00D72F07">
        <w:rPr>
          <w:rFonts w:ascii="Cambria" w:hAnsi="Cambria"/>
          <w:noProof/>
          <w:sz w:val="22"/>
        </w:rPr>
        <w:t>, vol. 140, no. 1, pp. 49–60.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James, GL, Goldstein, JL, Pathak, RK, Anderson, RG &amp; Brown, MS 1994, “PxF, a prenylated protein of peroxisomes.,” </w:t>
      </w:r>
      <w:r w:rsidRPr="00D72F07">
        <w:rPr>
          <w:rFonts w:ascii="Cambria" w:hAnsi="Cambria"/>
          <w:i/>
          <w:iCs/>
          <w:noProof/>
          <w:sz w:val="22"/>
        </w:rPr>
        <w:t>The Journal of biological chemistry</w:t>
      </w:r>
      <w:r w:rsidRPr="00D72F07">
        <w:rPr>
          <w:rFonts w:ascii="Cambria" w:hAnsi="Cambria"/>
          <w:noProof/>
          <w:sz w:val="22"/>
        </w:rPr>
        <w:t>, vol. 269, no. 19, pp. 14182–90.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Joly, N, Zhang, N, Buck, M &amp; Zhang, X 2012, “Coupling AAA protein function to regulated gene expression.,” </w:t>
      </w:r>
      <w:r w:rsidRPr="00D72F07">
        <w:rPr>
          <w:rFonts w:ascii="Cambria" w:hAnsi="Cambria"/>
          <w:i/>
          <w:iCs/>
          <w:noProof/>
          <w:sz w:val="22"/>
        </w:rPr>
        <w:t>Biochimica et biophysica acta</w:t>
      </w:r>
      <w:r w:rsidRPr="00D72F07">
        <w:rPr>
          <w:rFonts w:ascii="Cambria" w:hAnsi="Cambria"/>
          <w:noProof/>
          <w:sz w:val="22"/>
        </w:rPr>
        <w:t>, vol. 1823, no. 1, Elsevier B.V., pp. 108–16.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Kamentsky, L, Jones, TR, Fraser, A, Bray, M-A, Logan, DJ, Madden, KL, Ljosa, V, Rueden, C, Eliceiri, KW &amp; Carpenter, AE 2011, “Improved structure, function and compatibility for CellProfiler: modular high-throughput image analysis software.,” </w:t>
      </w:r>
      <w:r w:rsidRPr="00D72F07">
        <w:rPr>
          <w:rFonts w:ascii="Cambria" w:hAnsi="Cambria"/>
          <w:i/>
          <w:iCs/>
          <w:noProof/>
          <w:sz w:val="22"/>
        </w:rPr>
        <w:t>Bioinformatics (Oxford, England)</w:t>
      </w:r>
      <w:r w:rsidRPr="00D72F07">
        <w:rPr>
          <w:rFonts w:ascii="Cambria" w:hAnsi="Cambria"/>
          <w:noProof/>
          <w:sz w:val="22"/>
        </w:rPr>
        <w:t>, vol. 27, no. 8, pp. 1179–80.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Karpova, N, Bobinnec, Y, Fouix, S, Huitorel, P &amp; Debec, A 2006, “Jupiter, a new Drosophila protein associated with microtubules.,” </w:t>
      </w:r>
      <w:r w:rsidRPr="00D72F07">
        <w:rPr>
          <w:rFonts w:ascii="Cambria" w:hAnsi="Cambria"/>
          <w:i/>
          <w:iCs/>
          <w:noProof/>
          <w:sz w:val="22"/>
        </w:rPr>
        <w:t>Cell motility and the cytoskeleton</w:t>
      </w:r>
      <w:r w:rsidRPr="00D72F07">
        <w:rPr>
          <w:rFonts w:ascii="Cambria" w:hAnsi="Cambria"/>
          <w:noProof/>
          <w:sz w:val="22"/>
        </w:rPr>
        <w:t>, vol. 63, no. 5, pp. 301–12.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Kiel, J, Hilbrands, R, Klei, I van der, Rasmussen, S, Salomons, F, Heide, M van der, Faber, K, Cregg, J &amp; Veenhuis, M 1999, “Hansenula polymorpha Pex1p and Pex6p are peroxisome-associated AAA proteins that functionally and physically interact.,” </w:t>
      </w:r>
      <w:r w:rsidRPr="00D72F07">
        <w:rPr>
          <w:rFonts w:ascii="Cambria" w:hAnsi="Cambria"/>
          <w:i/>
          <w:iCs/>
          <w:noProof/>
          <w:sz w:val="22"/>
        </w:rPr>
        <w:t>Yeast</w:t>
      </w:r>
      <w:r w:rsidRPr="00D72F07">
        <w:rPr>
          <w:rFonts w:ascii="Cambria" w:hAnsi="Cambria"/>
          <w:noProof/>
          <w:sz w:val="22"/>
        </w:rPr>
        <w:t>, vol. 1078, no. October 1998, pp. 1059–1078.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Kiger, A, Baum, B, Jones, S, Jones, M, Coulson, A, Echeverri, C &amp; Perrimon, N 2003, “A functional genomic analysis of cell morphology using RNA interference,” </w:t>
      </w:r>
      <w:r w:rsidRPr="00D72F07">
        <w:rPr>
          <w:rFonts w:ascii="Cambria" w:hAnsi="Cambria"/>
          <w:i/>
          <w:iCs/>
          <w:noProof/>
          <w:sz w:val="22"/>
        </w:rPr>
        <w:t>Journal of Biology</w:t>
      </w:r>
      <w:r w:rsidRPr="00D72F07">
        <w:rPr>
          <w:rFonts w:ascii="Cambria" w:hAnsi="Cambria"/>
          <w:noProof/>
          <w:sz w:val="22"/>
        </w:rPr>
        <w:t>, vol. 2, no. 4, pp. 27.1–15.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Kobayashi, S, Tanaka, A &amp; Fujiki, Y 2007, “Fis1, DLP1, and Pex11p coordinately regulate peroxisome morphogenesis.,” </w:t>
      </w:r>
      <w:r w:rsidRPr="00D72F07">
        <w:rPr>
          <w:rFonts w:ascii="Cambria" w:hAnsi="Cambria"/>
          <w:i/>
          <w:iCs/>
          <w:noProof/>
          <w:sz w:val="22"/>
        </w:rPr>
        <w:t>Experimental cell research</w:t>
      </w:r>
      <w:r w:rsidRPr="00D72F07">
        <w:rPr>
          <w:rFonts w:ascii="Cambria" w:hAnsi="Cambria"/>
          <w:noProof/>
          <w:sz w:val="22"/>
        </w:rPr>
        <w:t>, vol. 313, no. 8, pp. 1675–86.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Koch, A, Thiemann, M, Grabenbauer, M, Yoon, Y, McNiven, M a &amp; Schrader, M 2003, “Dynamin-like protein 1 is involved in peroxisomal fission.,” </w:t>
      </w:r>
      <w:r w:rsidRPr="00D72F07">
        <w:rPr>
          <w:rFonts w:ascii="Cambria" w:hAnsi="Cambria"/>
          <w:i/>
          <w:iCs/>
          <w:noProof/>
          <w:sz w:val="22"/>
        </w:rPr>
        <w:t>The Journal of biological chemistry</w:t>
      </w:r>
      <w:r w:rsidRPr="00D72F07">
        <w:rPr>
          <w:rFonts w:ascii="Cambria" w:hAnsi="Cambria"/>
          <w:noProof/>
          <w:sz w:val="22"/>
        </w:rPr>
        <w:t>, vol. 278, no. 10, pp. 8597–605.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lastRenderedPageBreak/>
        <w:t xml:space="preserve">Koch, A, Yoon, Y, Bonekamp, NA, Mcniven, MA &amp; Schrader, M 2005, “A Role for Fis1 in Both Mitochondrial and Peroxisomal Fission in Mammalian Cells,” </w:t>
      </w:r>
      <w:r w:rsidRPr="00D72F07">
        <w:rPr>
          <w:rFonts w:ascii="Cambria" w:hAnsi="Cambria"/>
          <w:i/>
          <w:iCs/>
          <w:noProof/>
          <w:sz w:val="22"/>
        </w:rPr>
        <w:t>Molecular Biology of the Cell</w:t>
      </w:r>
      <w:r w:rsidRPr="00D72F07">
        <w:rPr>
          <w:rFonts w:ascii="Cambria" w:hAnsi="Cambria"/>
          <w:noProof/>
          <w:sz w:val="22"/>
        </w:rPr>
        <w:t>, vol. 16, no. November, pp. 5077–5086.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Koch, J &amp; Brocard, C 2011, “Membrane elongation factors in organelle maintenance</w:t>
      </w:r>
      <w:r w:rsidRPr="00D72F07">
        <w:rPr>
          <w:noProof/>
          <w:sz w:val="22"/>
        </w:rPr>
        <w:t> </w:t>
      </w:r>
      <w:r w:rsidRPr="00D72F07">
        <w:rPr>
          <w:rFonts w:ascii="Cambria" w:hAnsi="Cambria" w:cs="Cambria"/>
          <w:noProof/>
          <w:sz w:val="22"/>
        </w:rPr>
        <w:t xml:space="preserve">: the case of peroxisome proliferation,” </w:t>
      </w:r>
      <w:r w:rsidRPr="00D72F07">
        <w:rPr>
          <w:rFonts w:ascii="Cambria" w:hAnsi="Cambria"/>
          <w:i/>
          <w:iCs/>
          <w:noProof/>
          <w:sz w:val="22"/>
        </w:rPr>
        <w:t>Biomolecular Concepts</w:t>
      </w:r>
      <w:r w:rsidRPr="00D72F07">
        <w:rPr>
          <w:rFonts w:ascii="Cambria" w:hAnsi="Cambria"/>
          <w:noProof/>
          <w:sz w:val="22"/>
        </w:rPr>
        <w:t>, vol. 2, no. 5, pp. 353–364.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Koch, J, Pranjic, K, Huber, A, Ellinger, A, Hartig, A, Kragler, F &amp; Brocard, C 2010, “</w:t>
      </w:r>
      <w:r w:rsidR="00D93535" w:rsidRPr="00D93535">
        <w:rPr>
          <w:rFonts w:ascii="Cambria" w:hAnsi="Cambria"/>
          <w:i/>
          <w:noProof/>
          <w:sz w:val="22"/>
        </w:rPr>
        <w:t>PEX</w:t>
      </w:r>
      <w:r w:rsidRPr="00D72F07">
        <w:rPr>
          <w:rFonts w:ascii="Cambria" w:hAnsi="Cambria"/>
          <w:noProof/>
          <w:sz w:val="22"/>
        </w:rPr>
        <w:t xml:space="preserve">11 family members are membrane elongation factors that coordinate peroxisome proliferation and maintenance.,” </w:t>
      </w:r>
      <w:r w:rsidRPr="00D72F07">
        <w:rPr>
          <w:rFonts w:ascii="Cambria" w:hAnsi="Cambria"/>
          <w:i/>
          <w:iCs/>
          <w:noProof/>
          <w:sz w:val="22"/>
        </w:rPr>
        <w:t>Journal of cell science</w:t>
      </w:r>
      <w:r w:rsidRPr="00D72F07">
        <w:rPr>
          <w:rFonts w:ascii="Cambria" w:hAnsi="Cambria"/>
          <w:noProof/>
          <w:sz w:val="22"/>
        </w:rPr>
        <w:t>, vol. 123, no. Pt 19, pp. 3389–400.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Kragt, A, Voorn-Brouwer, T, Van den Berg, M &amp; Distel, B 2005, “The Saccharomyces cerevisiae peroxisomal import receptor Pex5p is monoubiquitinated in wild type cells.,” </w:t>
      </w:r>
      <w:r w:rsidRPr="00D72F07">
        <w:rPr>
          <w:rFonts w:ascii="Cambria" w:hAnsi="Cambria"/>
          <w:i/>
          <w:iCs/>
          <w:noProof/>
          <w:sz w:val="22"/>
        </w:rPr>
        <w:t>The Journal of biological chemistry</w:t>
      </w:r>
      <w:r w:rsidRPr="00D72F07">
        <w:rPr>
          <w:rFonts w:ascii="Cambria" w:hAnsi="Cambria"/>
          <w:noProof/>
          <w:sz w:val="22"/>
        </w:rPr>
        <w:t>, vol. 280, no. 9, pp. 7867–74.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Kunau, WH 2001, “Peroxisomes: the extended shuttle to the peroxisome matrix.,” </w:t>
      </w:r>
      <w:r w:rsidRPr="00D72F07">
        <w:rPr>
          <w:rFonts w:ascii="Cambria" w:hAnsi="Cambria"/>
          <w:i/>
          <w:iCs/>
          <w:noProof/>
          <w:sz w:val="22"/>
        </w:rPr>
        <w:t>Current biology</w:t>
      </w:r>
      <w:r w:rsidRPr="00D72F07">
        <w:rPr>
          <w:i/>
          <w:iCs/>
          <w:noProof/>
          <w:sz w:val="22"/>
        </w:rPr>
        <w:t> </w:t>
      </w:r>
      <w:r w:rsidRPr="00D72F07">
        <w:rPr>
          <w:rFonts w:ascii="Cambria" w:hAnsi="Cambria" w:cs="Cambria"/>
          <w:i/>
          <w:iCs/>
          <w:noProof/>
          <w:sz w:val="22"/>
        </w:rPr>
        <w:t>: CB</w:t>
      </w:r>
      <w:r w:rsidRPr="00D72F07">
        <w:rPr>
          <w:rFonts w:ascii="Cambria" w:hAnsi="Cambria"/>
          <w:noProof/>
          <w:sz w:val="22"/>
        </w:rPr>
        <w:t>, vol. 11, no. 16, pp. R659–62.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Kuravi, K, Nagotu, S, Krikken, AM, Sjollema, K, Deckers, M, Erdmann, R, Veenhuis, M &amp; Van der Klei, IJ 2006, “Dynamin-related proteins Vps1p and Dnm1p control peroxisome abundance in Saccharomyces cerevisiae.,” </w:t>
      </w:r>
      <w:r w:rsidRPr="00D72F07">
        <w:rPr>
          <w:rFonts w:ascii="Cambria" w:hAnsi="Cambria"/>
          <w:i/>
          <w:iCs/>
          <w:noProof/>
          <w:sz w:val="22"/>
        </w:rPr>
        <w:t>Journal of cell science</w:t>
      </w:r>
      <w:r w:rsidRPr="00D72F07">
        <w:rPr>
          <w:rFonts w:ascii="Cambria" w:hAnsi="Cambria"/>
          <w:noProof/>
          <w:sz w:val="22"/>
        </w:rPr>
        <w:t>, vol. 119, no. Pt 19, pp. 3994–4001.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Lanyon-Hogg, T, Warriner, SL &amp; Baker, A 2010, “Getting a camel through the eye of a needle: the import of folded proteins by peroxisomes.,” </w:t>
      </w:r>
      <w:r w:rsidRPr="00D72F07">
        <w:rPr>
          <w:rFonts w:ascii="Cambria" w:hAnsi="Cambria"/>
          <w:i/>
          <w:iCs/>
          <w:noProof/>
          <w:sz w:val="22"/>
        </w:rPr>
        <w:t>Biology of the cell / under the auspices of the European Cell Biology Organization</w:t>
      </w:r>
      <w:r w:rsidRPr="00D72F07">
        <w:rPr>
          <w:rFonts w:ascii="Cambria" w:hAnsi="Cambria"/>
          <w:noProof/>
          <w:sz w:val="22"/>
        </w:rPr>
        <w:t>, vol. 102, no. 4, pp. 245–63.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Lazarow, PB &amp; Fujiki, Y 1985, “Biogenesis of peroxisomes,” </w:t>
      </w:r>
      <w:r w:rsidRPr="00D72F07">
        <w:rPr>
          <w:rFonts w:ascii="Cambria" w:hAnsi="Cambria"/>
          <w:i/>
          <w:iCs/>
          <w:noProof/>
          <w:sz w:val="22"/>
        </w:rPr>
        <w:t>Annual review of Cellular Biology</w:t>
      </w:r>
      <w:r w:rsidRPr="00D72F07">
        <w:rPr>
          <w:rFonts w:ascii="Cambria" w:hAnsi="Cambria"/>
          <w:noProof/>
          <w:sz w:val="22"/>
        </w:rPr>
        <w:t>, vol. 1, pp. 489–530.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Van der Leij, I, VanDen Berg, M, Boot, R, Franse, M, Distel, B &amp; Tabak, HF 1992, “Isolation of Peroxisome Assembly Mutants from Saccharomyces cerevisiae with Different Morphologies Using a Novel Positive Selection Procedure,” </w:t>
      </w:r>
      <w:r w:rsidRPr="00D72F07">
        <w:rPr>
          <w:rFonts w:ascii="Cambria" w:hAnsi="Cambria"/>
          <w:i/>
          <w:iCs/>
          <w:noProof/>
          <w:sz w:val="22"/>
        </w:rPr>
        <w:t>Journal of Cell Biology</w:t>
      </w:r>
      <w:r w:rsidRPr="00D72F07">
        <w:rPr>
          <w:rFonts w:ascii="Cambria" w:hAnsi="Cambria"/>
          <w:noProof/>
          <w:sz w:val="22"/>
        </w:rPr>
        <w:t>, vol. 119, no. 1, pp. 153–162.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Van der Leij, I, Franse, MM, Elgersma, Y, Distel, B &amp; Tabak, HF 1993, “PAS10 is a tetratricopeptide-repeat protein that is essential for the import of most matrix proteins into peroxisomes of Saccharomyces cerevisiae.,” </w:t>
      </w:r>
      <w:r w:rsidRPr="00D72F07">
        <w:rPr>
          <w:rFonts w:ascii="Cambria" w:hAnsi="Cambria"/>
          <w:i/>
          <w:iCs/>
          <w:noProof/>
          <w:sz w:val="22"/>
        </w:rPr>
        <w:t>Proceedings of the National Academy of Sciences of the United States of America</w:t>
      </w:r>
      <w:r w:rsidRPr="00D72F07">
        <w:rPr>
          <w:rFonts w:ascii="Cambria" w:hAnsi="Cambria"/>
          <w:noProof/>
          <w:sz w:val="22"/>
        </w:rPr>
        <w:t>, vol. 90, no. 24, pp. 11782–6.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Liu, H, Tan, X, Veenhuis, M, McCollum, D &amp; Cregg, JM 1992, “An efficient screen for peroxisome-deficient mutants of Pichia pastoris.,” </w:t>
      </w:r>
      <w:r w:rsidRPr="00D72F07">
        <w:rPr>
          <w:rFonts w:ascii="Cambria" w:hAnsi="Cambria"/>
          <w:i/>
          <w:iCs/>
          <w:noProof/>
          <w:sz w:val="22"/>
        </w:rPr>
        <w:t>Journal of bacteriology</w:t>
      </w:r>
      <w:r w:rsidRPr="00D72F07">
        <w:rPr>
          <w:rFonts w:ascii="Cambria" w:hAnsi="Cambria"/>
          <w:noProof/>
          <w:sz w:val="22"/>
        </w:rPr>
        <w:t>, vol. 174, no. 15, pp. 4943–51.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Maroni, G, Otto, E &amp; Lastowski-perry, D 1986, “Molecular and Cytogenetic Characterisation of a Metallothionein Gene of Drosophila,” </w:t>
      </w:r>
      <w:r w:rsidRPr="00D72F07">
        <w:rPr>
          <w:rFonts w:ascii="Cambria" w:hAnsi="Cambria"/>
          <w:i/>
          <w:iCs/>
          <w:noProof/>
          <w:sz w:val="22"/>
        </w:rPr>
        <w:t>Genetics</w:t>
      </w:r>
      <w:r w:rsidRPr="00D72F07">
        <w:rPr>
          <w:rFonts w:ascii="Cambria" w:hAnsi="Cambria"/>
          <w:noProof/>
          <w:sz w:val="22"/>
        </w:rPr>
        <w:t>, vol. 123, no. 3, pp. 493–504.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Marr, MT, Isogai, Y, Wright, KJ &amp; Tjian, R 2006, “Coactivator cross-talk specifies transcriptional output.,” </w:t>
      </w:r>
      <w:r w:rsidRPr="00D72F07">
        <w:rPr>
          <w:rFonts w:ascii="Cambria" w:hAnsi="Cambria"/>
          <w:i/>
          <w:iCs/>
          <w:noProof/>
          <w:sz w:val="22"/>
        </w:rPr>
        <w:t>Genes &amp; development</w:t>
      </w:r>
      <w:r w:rsidRPr="00D72F07">
        <w:rPr>
          <w:rFonts w:ascii="Cambria" w:hAnsi="Cambria"/>
          <w:noProof/>
          <w:sz w:val="22"/>
        </w:rPr>
        <w:t>, vol. 20, no. 11, pp. 1458–69.</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lastRenderedPageBreak/>
        <w:t xml:space="preserve">Marzioch, M, Erdmann, R, Veenhuis, M &amp; Kunau, WH 1994, “PAS7 encodes a novel yeast member of the WD-40 protein family essential for import of 3-oxoacyl-CoA thiolase, a PTS2-containing protein, into peroxisomes.,” </w:t>
      </w:r>
      <w:r w:rsidRPr="00D72F07">
        <w:rPr>
          <w:rFonts w:ascii="Cambria" w:hAnsi="Cambria"/>
          <w:i/>
          <w:iCs/>
          <w:noProof/>
          <w:sz w:val="22"/>
        </w:rPr>
        <w:t>The EMBO journal</w:t>
      </w:r>
      <w:r w:rsidRPr="00D72F07">
        <w:rPr>
          <w:rFonts w:ascii="Cambria" w:hAnsi="Cambria"/>
          <w:noProof/>
          <w:sz w:val="22"/>
        </w:rPr>
        <w:t>, vol. 13, no. 20, pp. 4908–18.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Mast, FD, Li, J, Virk, MK, Hughes, SC, Simmonds, AJ &amp; Rachubinski, R a 2011, “A Drosophila model for the Zellweger spectrum of peroxisome biogenesis disorders.,” </w:t>
      </w:r>
      <w:r w:rsidRPr="00D72F07">
        <w:rPr>
          <w:rFonts w:ascii="Cambria" w:hAnsi="Cambria"/>
          <w:i/>
          <w:iCs/>
          <w:noProof/>
          <w:sz w:val="22"/>
        </w:rPr>
        <w:t>Disease models &amp; mechanisms</w:t>
      </w:r>
      <w:r w:rsidRPr="00D72F07">
        <w:rPr>
          <w:rFonts w:ascii="Cambria" w:hAnsi="Cambria"/>
          <w:noProof/>
          <w:sz w:val="22"/>
        </w:rPr>
        <w:t>, vol. 4, no. 5, pp. 659–72.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Matsumoto, N, Tamura, S &amp; Fujiki, Y 2003, “The pathogenic peroxin Pex26p recruits the Pex1p–Pex6p AAA ATPase complexes to peroxisomes,” </w:t>
      </w:r>
      <w:r w:rsidRPr="00D72F07">
        <w:rPr>
          <w:rFonts w:ascii="Cambria" w:hAnsi="Cambria"/>
          <w:i/>
          <w:iCs/>
          <w:noProof/>
          <w:sz w:val="22"/>
        </w:rPr>
        <w:t>Nature Cell Biology</w:t>
      </w:r>
      <w:r w:rsidRPr="00D72F07">
        <w:rPr>
          <w:rFonts w:ascii="Cambria" w:hAnsi="Cambria"/>
          <w:noProof/>
          <w:sz w:val="22"/>
        </w:rPr>
        <w:t>, vol. 5, pp. 454–60.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Matsumoto, N, Tamura, S, Furuki, S, Miyata, N, Moser, A, Shimozawa, N, Moser, HW, Suzuki, Y, Kondo, N &amp; Fujiki, Y 2003, “Mutations in novel peroxin gene </w:t>
      </w:r>
      <w:r w:rsidR="00D93535" w:rsidRPr="00D93535">
        <w:rPr>
          <w:rFonts w:ascii="Cambria" w:hAnsi="Cambria"/>
          <w:i/>
          <w:noProof/>
          <w:sz w:val="22"/>
        </w:rPr>
        <w:t>PEX</w:t>
      </w:r>
      <w:r w:rsidRPr="00D72F07">
        <w:rPr>
          <w:rFonts w:ascii="Cambria" w:hAnsi="Cambria"/>
          <w:noProof/>
          <w:sz w:val="22"/>
        </w:rPr>
        <w:t xml:space="preserve">26 that cause peroxisome-biogenesis disorders of complementation group 8 provide a genotype-phenotype correlation.,” </w:t>
      </w:r>
      <w:r w:rsidRPr="00D72F07">
        <w:rPr>
          <w:rFonts w:ascii="Cambria" w:hAnsi="Cambria"/>
          <w:i/>
          <w:iCs/>
          <w:noProof/>
          <w:sz w:val="22"/>
        </w:rPr>
        <w:t>American journal of human genetics</w:t>
      </w:r>
      <w:r w:rsidRPr="00D72F07">
        <w:rPr>
          <w:rFonts w:ascii="Cambria" w:hAnsi="Cambria"/>
          <w:noProof/>
          <w:sz w:val="22"/>
        </w:rPr>
        <w:t>, vol. 73, no. 2, pp. 233–46.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Matsuzaki, T &amp; Fujiki, Y 2008, “The peroxisomal membrane protein import receptor Pex3p is directly transported to peroxisomes by a novel Pex19p- and Pex16p-dependent pathway.,” </w:t>
      </w:r>
      <w:r w:rsidRPr="00D72F07">
        <w:rPr>
          <w:rFonts w:ascii="Cambria" w:hAnsi="Cambria"/>
          <w:i/>
          <w:iCs/>
          <w:noProof/>
          <w:sz w:val="22"/>
        </w:rPr>
        <w:t>The Journal of cell biology</w:t>
      </w:r>
      <w:r w:rsidRPr="00D72F07">
        <w:rPr>
          <w:rFonts w:ascii="Cambria" w:hAnsi="Cambria"/>
          <w:noProof/>
          <w:sz w:val="22"/>
        </w:rPr>
        <w:t>, vol. 183, no. 7, pp. 1275–86.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Matsuzono, Y, Kinoshita, N, Tamura, S, Shimozawa, N, Hamasaki, M, Ghaedi, K, Wanders, RJ, Suzuki, Y, Kondo, N &amp; Fujiki, Y 1999, “Human </w:t>
      </w:r>
      <w:r w:rsidR="00D93535" w:rsidRPr="00D93535">
        <w:rPr>
          <w:rFonts w:ascii="Cambria" w:hAnsi="Cambria"/>
          <w:i/>
          <w:noProof/>
          <w:sz w:val="22"/>
        </w:rPr>
        <w:t>PEX</w:t>
      </w:r>
      <w:r w:rsidRPr="00D72F07">
        <w:rPr>
          <w:rFonts w:ascii="Cambria" w:hAnsi="Cambria"/>
          <w:noProof/>
          <w:sz w:val="22"/>
        </w:rPr>
        <w:t xml:space="preserve">19: cDNA cloning by functional complementation, mutation analysis in a patient with Zellweger syndrome, and potential role in peroxisomal membrane assembly.,” </w:t>
      </w:r>
      <w:r w:rsidRPr="00D72F07">
        <w:rPr>
          <w:rFonts w:ascii="Cambria" w:hAnsi="Cambria"/>
          <w:i/>
          <w:iCs/>
          <w:noProof/>
          <w:sz w:val="22"/>
        </w:rPr>
        <w:t>Proceedings of the National Academy of Sciences of the United States of America</w:t>
      </w:r>
      <w:r w:rsidRPr="00D72F07">
        <w:rPr>
          <w:rFonts w:ascii="Cambria" w:hAnsi="Cambria"/>
          <w:noProof/>
          <w:sz w:val="22"/>
        </w:rPr>
        <w:t>, vol. 96, no. 5, pp. 2116–21.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Mccollum, D, Monosov, E &amp; Subramani, S 1991, “The pas8 Mutant of Pichia pastoris Exhibits the Peroxisomal Protein Import Deficiencies of Zellweger Syndrome Cells-The PAS8 Protein Binds to the COOH-Terminal Tripeptide Peroxisomal Targeting Signal, and Is a Member of the TPR Protein Family,” </w:t>
      </w:r>
      <w:r w:rsidRPr="00D72F07">
        <w:rPr>
          <w:rFonts w:ascii="Cambria" w:hAnsi="Cambria"/>
          <w:i/>
          <w:iCs/>
          <w:noProof/>
          <w:sz w:val="22"/>
        </w:rPr>
        <w:t>Journal of Cell Biology</w:t>
      </w:r>
      <w:r w:rsidRPr="00D72F07">
        <w:rPr>
          <w:rFonts w:ascii="Cambria" w:hAnsi="Cambria"/>
          <w:noProof/>
          <w:sz w:val="22"/>
        </w:rPr>
        <w:t>, vol. 121, no. 4, pp. 761–774.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Meinecke, M, Cizmowski, C, Schliebs, W, Krüger, V, Beck, S, Wagner, R &amp; Erdmann, R 2010, “The peroxisomal importomer constitutes a large and highly dynamic pore.,” </w:t>
      </w:r>
      <w:r w:rsidRPr="00D72F07">
        <w:rPr>
          <w:rFonts w:ascii="Cambria" w:hAnsi="Cambria"/>
          <w:i/>
          <w:iCs/>
          <w:noProof/>
          <w:sz w:val="22"/>
        </w:rPr>
        <w:t>Nature cell biology</w:t>
      </w:r>
      <w:r w:rsidRPr="00D72F07">
        <w:rPr>
          <w:rFonts w:ascii="Cambria" w:hAnsi="Cambria"/>
          <w:noProof/>
          <w:sz w:val="22"/>
        </w:rPr>
        <w:t>, vol. 12, no. 3, Nature Publishing Group, pp. 273–7.</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Mohr, S, Bakal, C &amp; Perrimon, N 2010, “Genomic screening with RNAi: results and challenges.,” </w:t>
      </w:r>
      <w:r w:rsidRPr="00D72F07">
        <w:rPr>
          <w:rFonts w:ascii="Cambria" w:hAnsi="Cambria"/>
          <w:i/>
          <w:iCs/>
          <w:noProof/>
          <w:sz w:val="22"/>
        </w:rPr>
        <w:t>Annual review of biochemistry</w:t>
      </w:r>
      <w:r w:rsidRPr="00D72F07">
        <w:rPr>
          <w:rFonts w:ascii="Cambria" w:hAnsi="Cambria"/>
          <w:noProof/>
          <w:sz w:val="22"/>
        </w:rPr>
        <w:t>, vol. 79, pp. 37–64.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Motley, AM, Hettema, EH, Ketting, R, Plasterk, R &amp; Tabak, HF 2000, “Caenorhabditis elegans has a single pathway to target matrix proteins to peroxisomes,” </w:t>
      </w:r>
      <w:r w:rsidRPr="00D72F07">
        <w:rPr>
          <w:rFonts w:ascii="Cambria" w:hAnsi="Cambria"/>
          <w:i/>
          <w:iCs/>
          <w:noProof/>
          <w:sz w:val="22"/>
        </w:rPr>
        <w:t>EMBO Reports</w:t>
      </w:r>
      <w:r w:rsidRPr="00D72F07">
        <w:rPr>
          <w:rFonts w:ascii="Cambria" w:hAnsi="Cambria"/>
          <w:noProof/>
          <w:sz w:val="22"/>
        </w:rPr>
        <w:t>, vol. 1, no. 1, pp. 40–46.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Motley, AM, Ward, GP &amp; Hettema, EH 2008, “Dnm1p-dependent peroxisome fission requires Caf4p, Mdv1p and Fis1p.,” </w:t>
      </w:r>
      <w:r w:rsidRPr="00D72F07">
        <w:rPr>
          <w:rFonts w:ascii="Cambria" w:hAnsi="Cambria"/>
          <w:i/>
          <w:iCs/>
          <w:noProof/>
          <w:sz w:val="22"/>
        </w:rPr>
        <w:t>Journal of cell science</w:t>
      </w:r>
      <w:r w:rsidRPr="00D72F07">
        <w:rPr>
          <w:rFonts w:ascii="Cambria" w:hAnsi="Cambria"/>
          <w:noProof/>
          <w:sz w:val="22"/>
        </w:rPr>
        <w:t>, vol. 121, no. Pt 10, pp. 1633–40.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Mullen, RT, Lisenbee, CS, Miernyk, J a &amp; Trelease, RN 1999, “Peroxisomal membrane ascorbate peroxidase is sorted to a membranous network that resembles a </w:t>
      </w:r>
      <w:r w:rsidRPr="00D72F07">
        <w:rPr>
          <w:rFonts w:ascii="Cambria" w:hAnsi="Cambria"/>
          <w:noProof/>
          <w:sz w:val="22"/>
        </w:rPr>
        <w:lastRenderedPageBreak/>
        <w:t xml:space="preserve">subdomain of the endoplasmic reticulum.,” </w:t>
      </w:r>
      <w:r w:rsidRPr="00D72F07">
        <w:rPr>
          <w:rFonts w:ascii="Cambria" w:hAnsi="Cambria"/>
          <w:i/>
          <w:iCs/>
          <w:noProof/>
          <w:sz w:val="22"/>
        </w:rPr>
        <w:t>The Plant cell</w:t>
      </w:r>
      <w:r w:rsidRPr="00D72F07">
        <w:rPr>
          <w:rFonts w:ascii="Cambria" w:hAnsi="Cambria"/>
          <w:noProof/>
          <w:sz w:val="22"/>
        </w:rPr>
        <w:t>, vol. 11, no. 11, pp. 2167–85.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Murphy, RF 2011, “Communicating Subcellular Distributions,” </w:t>
      </w:r>
      <w:r w:rsidRPr="00D72F07">
        <w:rPr>
          <w:rFonts w:ascii="Cambria" w:hAnsi="Cambria"/>
          <w:i/>
          <w:iCs/>
          <w:noProof/>
          <w:sz w:val="22"/>
        </w:rPr>
        <w:t>NIH Public Access</w:t>
      </w:r>
      <w:r w:rsidRPr="00D72F07">
        <w:rPr>
          <w:rFonts w:ascii="Cambria" w:hAnsi="Cambria"/>
          <w:noProof/>
          <w:sz w:val="22"/>
        </w:rPr>
        <w:t>, vol. 77, no. 7, pp. 686–692.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Nair, DM, Purdue, PE &amp; Lazarow, PB 2004, “Pex7p translocates in and out of peroxisomes in Saccharomyces cerevisiae.,” </w:t>
      </w:r>
      <w:r w:rsidRPr="00D72F07">
        <w:rPr>
          <w:rFonts w:ascii="Cambria" w:hAnsi="Cambria"/>
          <w:i/>
          <w:iCs/>
          <w:noProof/>
          <w:sz w:val="22"/>
        </w:rPr>
        <w:t>The Journal of cell biology</w:t>
      </w:r>
      <w:r w:rsidRPr="00D72F07">
        <w:rPr>
          <w:rFonts w:ascii="Cambria" w:hAnsi="Cambria"/>
          <w:noProof/>
          <w:sz w:val="22"/>
        </w:rPr>
        <w:t>, vol. 167, no. 4, pp. 599–604.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Nakayama, M, Sato, H, Okuda, T, Fujisawa, N, Kono, N, Arai, H, Suzuki, E, Umeda, M, Ishikawa, HO &amp; Matsuno, K 2011, “Drosophila carrying pex3 or pex16 mutations are models of Zellweger syndrome that reflect its symptoms associated with the absence of peroxisomes.,” </w:t>
      </w:r>
      <w:r w:rsidRPr="00D72F07">
        <w:rPr>
          <w:rFonts w:ascii="Cambria" w:hAnsi="Cambria"/>
          <w:i/>
          <w:iCs/>
          <w:noProof/>
          <w:sz w:val="22"/>
        </w:rPr>
        <w:t>PloS one</w:t>
      </w:r>
      <w:r w:rsidRPr="00D72F07">
        <w:rPr>
          <w:rFonts w:ascii="Cambria" w:hAnsi="Cambria"/>
          <w:noProof/>
          <w:sz w:val="22"/>
        </w:rPr>
        <w:t>, vol. 6, no. 8, p. e22984.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Napoli, C, Lemieux, C &amp; Jorgensen, R 1990, “Introduction of a Chimeric Chalcone Synthase Gene into Petunia Results in Reversible Co-Suppression of Homologous Genes in trans.,” </w:t>
      </w:r>
      <w:r w:rsidRPr="00D72F07">
        <w:rPr>
          <w:rFonts w:ascii="Cambria" w:hAnsi="Cambria"/>
          <w:i/>
          <w:iCs/>
          <w:noProof/>
          <w:sz w:val="22"/>
        </w:rPr>
        <w:t>The Plant cell</w:t>
      </w:r>
      <w:r w:rsidRPr="00D72F07">
        <w:rPr>
          <w:rFonts w:ascii="Cambria" w:hAnsi="Cambria"/>
          <w:noProof/>
          <w:sz w:val="22"/>
        </w:rPr>
        <w:t>, vol. 2, no. 4, pp. 279–289.</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Neumann, B, Held, M, Liebel, U, Erfle, H, Rogers, P, Pepperkok, R &amp; Ellenberg, J 2006, “High-throughput RNAi screening by time-lapse imaging of live human cells,” </w:t>
      </w:r>
      <w:r w:rsidRPr="00D72F07">
        <w:rPr>
          <w:rFonts w:ascii="Cambria" w:hAnsi="Cambria"/>
          <w:i/>
          <w:iCs/>
          <w:noProof/>
          <w:sz w:val="22"/>
        </w:rPr>
        <w:t>Nature Methods</w:t>
      </w:r>
      <w:r w:rsidRPr="00D72F07">
        <w:rPr>
          <w:rFonts w:ascii="Cambria" w:hAnsi="Cambria"/>
          <w:noProof/>
          <w:sz w:val="22"/>
        </w:rPr>
        <w:t>, vol. 3, no. 5, pp. 385–390.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Neumüller, R a &amp; Perrimon, N 2011, “Where gene discovery turns into systems biology: genome-scale RNAi screens in Drosophila.,” </w:t>
      </w:r>
      <w:r w:rsidRPr="00D72F07">
        <w:rPr>
          <w:rFonts w:ascii="Cambria" w:hAnsi="Cambria"/>
          <w:i/>
          <w:iCs/>
          <w:noProof/>
          <w:sz w:val="22"/>
        </w:rPr>
        <w:t>Wiley interdisciplinary reviews. Systems biology and medicine</w:t>
      </w:r>
      <w:r w:rsidRPr="00D72F07">
        <w:rPr>
          <w:rFonts w:ascii="Cambria" w:hAnsi="Cambria"/>
          <w:noProof/>
          <w:sz w:val="22"/>
        </w:rPr>
        <w:t>, vol. 3, no. 4, pp. 471–8.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Novikoff, PM &amp; Novikoff, a B 1972, “Peroxisomes in absorptive cells of mammalian small intestine.,” </w:t>
      </w:r>
      <w:r w:rsidRPr="00D72F07">
        <w:rPr>
          <w:rFonts w:ascii="Cambria" w:hAnsi="Cambria"/>
          <w:i/>
          <w:iCs/>
          <w:noProof/>
          <w:sz w:val="22"/>
        </w:rPr>
        <w:t>The Journal of cell biology</w:t>
      </w:r>
      <w:r w:rsidRPr="00D72F07">
        <w:rPr>
          <w:rFonts w:ascii="Cambria" w:hAnsi="Cambria"/>
          <w:noProof/>
          <w:sz w:val="22"/>
        </w:rPr>
        <w:t>, vol. 53, no. 2, pp. 532–60.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Nuttall, JM, Motley, A &amp; Hettema, EH 2011, “Peroxisome biogenesis: recent advances.,” </w:t>
      </w:r>
      <w:r w:rsidRPr="00D72F07">
        <w:rPr>
          <w:rFonts w:ascii="Cambria" w:hAnsi="Cambria"/>
          <w:i/>
          <w:iCs/>
          <w:noProof/>
          <w:sz w:val="22"/>
        </w:rPr>
        <w:t>Current opinion in cell biology</w:t>
      </w:r>
      <w:r w:rsidRPr="00D72F07">
        <w:rPr>
          <w:rFonts w:ascii="Cambria" w:hAnsi="Cambria"/>
          <w:noProof/>
          <w:sz w:val="22"/>
        </w:rPr>
        <w:t>, vol. 23, no. 4, Elsevier Ltd, pp. 421–6.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Okumoto, K, Abe, I &amp; Fujiki, Y 2000, “Molecular anatomy of the peroxin Pex12p: ring finger domain is essential for Pex12p function and interacts with the peroxisome-targeting signal type 1-receptor Pex5p and a ring peroxin, Pex10p.,” </w:t>
      </w:r>
      <w:r w:rsidRPr="00D72F07">
        <w:rPr>
          <w:rFonts w:ascii="Cambria" w:hAnsi="Cambria"/>
          <w:i/>
          <w:iCs/>
          <w:noProof/>
          <w:sz w:val="22"/>
        </w:rPr>
        <w:t>The Journal of biological chemistry</w:t>
      </w:r>
      <w:r w:rsidRPr="00D72F07">
        <w:rPr>
          <w:rFonts w:ascii="Cambria" w:hAnsi="Cambria"/>
          <w:noProof/>
          <w:sz w:val="22"/>
        </w:rPr>
        <w:t>, vol. 275, no. 33, pp. 25700–10.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Opaliński, Ł, Kiel, J a KW, Williams, C, Veenhuis, M &amp; Van der Klei, IJ 2011, “Membrane curvature during peroxisome fission requires Pex11.,” </w:t>
      </w:r>
      <w:r w:rsidRPr="00D72F07">
        <w:rPr>
          <w:rFonts w:ascii="Cambria" w:hAnsi="Cambria"/>
          <w:i/>
          <w:iCs/>
          <w:noProof/>
          <w:sz w:val="22"/>
        </w:rPr>
        <w:t>The EMBO journal</w:t>
      </w:r>
      <w:r w:rsidRPr="00D72F07">
        <w:rPr>
          <w:rFonts w:ascii="Cambria" w:hAnsi="Cambria"/>
          <w:noProof/>
          <w:sz w:val="22"/>
        </w:rPr>
        <w:t>, vol. 30, no. 1, pp. 5–16.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Otera, H, Setoguchi, K, Hamasaki, M, Kumashiro, T &amp; Shimizu, N 2002, “Peroxisomal Targeting Signal Receptor Pex5p Interacts with Cargoes and Import Machinery Components in a Spatiotemporally Differentiated Manner</w:t>
      </w:r>
      <w:r w:rsidRPr="00D72F07">
        <w:rPr>
          <w:noProof/>
          <w:sz w:val="22"/>
        </w:rPr>
        <w:t> </w:t>
      </w:r>
      <w:r w:rsidRPr="00D72F07">
        <w:rPr>
          <w:rFonts w:ascii="Cambria" w:hAnsi="Cambria" w:cs="Cambria"/>
          <w:noProof/>
          <w:sz w:val="22"/>
        </w:rPr>
        <w:t xml:space="preserve">: Conserved Pex5p WXXXF / Y Motifs Are Critical for Matrix Protein Import,” </w:t>
      </w:r>
      <w:r w:rsidRPr="00D72F07">
        <w:rPr>
          <w:rFonts w:ascii="Cambria" w:hAnsi="Cambria"/>
          <w:i/>
          <w:iCs/>
          <w:noProof/>
          <w:sz w:val="22"/>
        </w:rPr>
        <w:t>Molecular and cellular biology</w:t>
      </w:r>
      <w:r w:rsidRPr="00D72F07">
        <w:rPr>
          <w:rFonts w:ascii="Cambria" w:hAnsi="Cambria"/>
          <w:noProof/>
          <w:sz w:val="22"/>
        </w:rPr>
        <w:t>, vol. 22, no. 6, pp. 1639–1655.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Otera, H, Wang, C, Cleland, MM, Setoguchi, K, Yokota, S, Youle, RJ &amp; Mihara, K 2010, “Mff is an essential factor for mitochondrial recruitment of Drp1 during mitochondrial fission in mammalian cells.,” </w:t>
      </w:r>
      <w:r w:rsidRPr="00D72F07">
        <w:rPr>
          <w:rFonts w:ascii="Cambria" w:hAnsi="Cambria"/>
          <w:i/>
          <w:iCs/>
          <w:noProof/>
          <w:sz w:val="22"/>
        </w:rPr>
        <w:t>The Journal of cell biology</w:t>
      </w:r>
      <w:r w:rsidRPr="00D72F07">
        <w:rPr>
          <w:rFonts w:ascii="Cambria" w:hAnsi="Cambria"/>
          <w:noProof/>
          <w:sz w:val="22"/>
        </w:rPr>
        <w:t>, vol. 191, no. 6, pp. 1141–58.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lastRenderedPageBreak/>
        <w:t xml:space="preserve">Petriv, OI, Tang, L, Titorenko, VI &amp; Rachubinski, R a 2004, “A new definition for the consensus sequence of the peroxisome targeting signal type 2.,” </w:t>
      </w:r>
      <w:r w:rsidRPr="00D72F07">
        <w:rPr>
          <w:rFonts w:ascii="Cambria" w:hAnsi="Cambria"/>
          <w:i/>
          <w:iCs/>
          <w:noProof/>
          <w:sz w:val="22"/>
        </w:rPr>
        <w:t>Journal of molecular biology</w:t>
      </w:r>
      <w:r w:rsidRPr="00D72F07">
        <w:rPr>
          <w:rFonts w:ascii="Cambria" w:hAnsi="Cambria"/>
          <w:noProof/>
          <w:sz w:val="22"/>
        </w:rPr>
        <w:t>, vol. 341, no. 1, pp. 119–34.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Pinto, MP, Grou, CP, Fransen, M, Sá-Miranda, C &amp; Azevedo, JE 2009, “The cytosolic domain of </w:t>
      </w:r>
      <w:r w:rsidR="00D93535" w:rsidRPr="00D93535">
        <w:rPr>
          <w:rFonts w:ascii="Cambria" w:hAnsi="Cambria"/>
          <w:i/>
          <w:noProof/>
          <w:sz w:val="22"/>
        </w:rPr>
        <w:t>PEX</w:t>
      </w:r>
      <w:r w:rsidRPr="00D72F07">
        <w:rPr>
          <w:rFonts w:ascii="Cambria" w:hAnsi="Cambria"/>
          <w:noProof/>
          <w:sz w:val="22"/>
        </w:rPr>
        <w:t xml:space="preserve">3, a protein involved in the biogenesis of peroxisomes, binds membrane lipids.,” </w:t>
      </w:r>
      <w:r w:rsidRPr="00D72F07">
        <w:rPr>
          <w:rFonts w:ascii="Cambria" w:hAnsi="Cambria"/>
          <w:i/>
          <w:iCs/>
          <w:noProof/>
          <w:sz w:val="22"/>
        </w:rPr>
        <w:t>Biochimica et biophysica acta</w:t>
      </w:r>
      <w:r w:rsidRPr="00D72F07">
        <w:rPr>
          <w:rFonts w:ascii="Cambria" w:hAnsi="Cambria"/>
          <w:noProof/>
          <w:sz w:val="22"/>
        </w:rPr>
        <w:t>, vol. 1793, no. 11, Elsevier B.V., pp. 1669–75.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Platta, HW, Debelyy, MO, El Magraoui, F &amp; Erdmann, R 2008, “The AAA peroxins Pex1p and Pex6p function as dislocases for the ubiquitinated peroxisomal import receptor Pex5p.,” </w:t>
      </w:r>
      <w:r w:rsidRPr="00D72F07">
        <w:rPr>
          <w:rFonts w:ascii="Cambria" w:hAnsi="Cambria"/>
          <w:i/>
          <w:iCs/>
          <w:noProof/>
          <w:sz w:val="22"/>
        </w:rPr>
        <w:t>Biochemical Society transactions</w:t>
      </w:r>
      <w:r w:rsidRPr="00D72F07">
        <w:rPr>
          <w:rFonts w:ascii="Cambria" w:hAnsi="Cambria"/>
          <w:noProof/>
          <w:sz w:val="22"/>
        </w:rPr>
        <w:t>, vol. 36, no. Pt 1, pp. 99–104.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Platta, HW &amp; Erdmann, R 2007, “The peroxisomal protein import machinery.,” </w:t>
      </w:r>
      <w:r w:rsidRPr="00D72F07">
        <w:rPr>
          <w:rFonts w:ascii="Cambria" w:hAnsi="Cambria"/>
          <w:i/>
          <w:iCs/>
          <w:noProof/>
          <w:sz w:val="22"/>
        </w:rPr>
        <w:t>FEBS letters</w:t>
      </w:r>
      <w:r w:rsidRPr="00D72F07">
        <w:rPr>
          <w:rFonts w:ascii="Cambria" w:hAnsi="Cambria"/>
          <w:noProof/>
          <w:sz w:val="22"/>
        </w:rPr>
        <w:t>, vol. 581, no. 15, pp. 2811–9.</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Platta, HW, Girzalsky, W &amp; Erdmann, R 2004, “Ubiquitination of the peroxisomal import receptor Pex5p.,” </w:t>
      </w:r>
      <w:r w:rsidRPr="00D72F07">
        <w:rPr>
          <w:rFonts w:ascii="Cambria" w:hAnsi="Cambria"/>
          <w:i/>
          <w:iCs/>
          <w:noProof/>
          <w:sz w:val="22"/>
        </w:rPr>
        <w:t>The Biochemical journal</w:t>
      </w:r>
      <w:r w:rsidRPr="00D72F07">
        <w:rPr>
          <w:rFonts w:ascii="Cambria" w:hAnsi="Cambria"/>
          <w:noProof/>
          <w:sz w:val="22"/>
        </w:rPr>
        <w:t>, vol. 384, no. Pt 1, pp. 37–45.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Platta, HW, El Magraoui, F, Bäumer, BE, Schlee, D, Girzalsky, W &amp; Erdmann, R 2009, “Pex2 and pex12 function as protein-ubiquitin ligases in peroxisomal protein import.,” </w:t>
      </w:r>
      <w:r w:rsidRPr="00D72F07">
        <w:rPr>
          <w:rFonts w:ascii="Cambria" w:hAnsi="Cambria"/>
          <w:i/>
          <w:iCs/>
          <w:noProof/>
          <w:sz w:val="22"/>
        </w:rPr>
        <w:t>Molecular and cellular biology</w:t>
      </w:r>
      <w:r w:rsidRPr="00D72F07">
        <w:rPr>
          <w:rFonts w:ascii="Cambria" w:hAnsi="Cambria"/>
          <w:noProof/>
          <w:sz w:val="22"/>
        </w:rPr>
        <w:t>, vol. 29, no. 20, pp. 5505–16.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Rachubinski, RA, Fujiki, Y, Mortensen, RM &amp; Lazarow, PB 1984, “AcyI-CoA Oxidase and Hydratase-Dehydrogenase, Two Enzymes of the Peroxisomal/ -Oxidation System, Are Synthesized on Free Polysomes of Clofibrate-treated Rat Liver,” </w:t>
      </w:r>
      <w:r w:rsidRPr="00D72F07">
        <w:rPr>
          <w:rFonts w:ascii="Cambria" w:hAnsi="Cambria"/>
          <w:i/>
          <w:iCs/>
          <w:noProof/>
          <w:sz w:val="22"/>
        </w:rPr>
        <w:t>Journal of Cell Biology</w:t>
      </w:r>
      <w:r w:rsidRPr="00D72F07">
        <w:rPr>
          <w:rFonts w:ascii="Cambria" w:hAnsi="Cambria"/>
          <w:noProof/>
          <w:sz w:val="22"/>
        </w:rPr>
        <w:t>, vol. 99, pp. 2241–2246.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Rachubinski, RA &amp; Subramani, S 1995, “How Proteins Penetrate Peroxisomes Minireview,” </w:t>
      </w:r>
      <w:r w:rsidRPr="00D72F07">
        <w:rPr>
          <w:rFonts w:ascii="Cambria" w:hAnsi="Cambria"/>
          <w:i/>
          <w:iCs/>
          <w:noProof/>
          <w:sz w:val="22"/>
        </w:rPr>
        <w:t>Cell</w:t>
      </w:r>
      <w:r w:rsidRPr="00D72F07">
        <w:rPr>
          <w:rFonts w:ascii="Cambria" w:hAnsi="Cambria"/>
          <w:noProof/>
          <w:sz w:val="22"/>
        </w:rPr>
        <w:t>, vol. 83, pp. 525–528.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Reguenga, C, Oliveira, ME, Gouveia, a M, Sá-Miranda, C &amp; Azevedo, JE 2001, “Characterization of the mammalian peroxisomal import machinery: Pex2p, Pex5p, Pex12p, and Pex14p are subunits of the same protein assembly.,” </w:t>
      </w:r>
      <w:r w:rsidRPr="00D72F07">
        <w:rPr>
          <w:rFonts w:ascii="Cambria" w:hAnsi="Cambria"/>
          <w:i/>
          <w:iCs/>
          <w:noProof/>
          <w:sz w:val="22"/>
        </w:rPr>
        <w:t>The Journal of biological chemistry</w:t>
      </w:r>
      <w:r w:rsidRPr="00D72F07">
        <w:rPr>
          <w:rFonts w:ascii="Cambria" w:hAnsi="Cambria"/>
          <w:noProof/>
          <w:sz w:val="22"/>
        </w:rPr>
        <w:t>, vol. 276, no. 32, pp. 29935–42.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Reiter, LT, Potocki, L, Chien, S, Gribskov, M &amp; Bier, E 2001, “A Systematic Analysis of Human Disease-Associated Gene Sequences In Drosophila melanogaster,” pp. 1114–1125.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Reynolds, A, Leake, D, Boese, Q, Scaringe, S, Marshal, WS &amp; Khvorova, A 2004, “Rational siRNA design for RNA interference,” </w:t>
      </w:r>
      <w:r w:rsidRPr="00D72F07">
        <w:rPr>
          <w:rFonts w:ascii="Cambria" w:hAnsi="Cambria"/>
          <w:i/>
          <w:iCs/>
          <w:noProof/>
          <w:sz w:val="22"/>
        </w:rPr>
        <w:t>Nature Biotechnology</w:t>
      </w:r>
      <w:r w:rsidRPr="00D72F07">
        <w:rPr>
          <w:rFonts w:ascii="Cambria" w:hAnsi="Cambria"/>
          <w:noProof/>
          <w:sz w:val="22"/>
        </w:rPr>
        <w:t>, vol. 22, pp. 326–330.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Rhodin, J 1954, </w:t>
      </w:r>
      <w:r w:rsidRPr="00D72F07">
        <w:rPr>
          <w:rFonts w:ascii="Cambria" w:hAnsi="Cambria"/>
          <w:i/>
          <w:iCs/>
          <w:noProof/>
          <w:sz w:val="22"/>
        </w:rPr>
        <w:t>Correlation of ultrastructural organisationand function in normal and experimentally change proximal convoluted tubule cells of the mouse kidney.</w:t>
      </w:r>
      <w:r w:rsidRPr="00D72F07">
        <w:rPr>
          <w:rFonts w:ascii="Cambria" w:hAnsi="Cambria"/>
          <w:noProof/>
          <w:sz w:val="22"/>
        </w:rPr>
        <w:t>, Stockholm.</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Romano, N &amp; Macino, G 1992, “Quelling: transient inactivation of gene expression in Neurospora crassa by transformation with homologous sequences.,” </w:t>
      </w:r>
      <w:r w:rsidRPr="00D72F07">
        <w:rPr>
          <w:rFonts w:ascii="Cambria" w:hAnsi="Cambria"/>
          <w:i/>
          <w:iCs/>
          <w:noProof/>
          <w:sz w:val="22"/>
        </w:rPr>
        <w:t>Molecular microbiology</w:t>
      </w:r>
      <w:r w:rsidRPr="00D72F07">
        <w:rPr>
          <w:rFonts w:ascii="Cambria" w:hAnsi="Cambria"/>
          <w:noProof/>
          <w:sz w:val="22"/>
        </w:rPr>
        <w:t>, vol. 6, no. 22, pp. 3343–53.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Rubin, GM 2000, “A Brief History of Drosophila’s Contributions to Genome Research,” </w:t>
      </w:r>
      <w:r w:rsidRPr="00D72F07">
        <w:rPr>
          <w:rFonts w:ascii="Cambria" w:hAnsi="Cambria"/>
          <w:i/>
          <w:iCs/>
          <w:noProof/>
          <w:sz w:val="22"/>
        </w:rPr>
        <w:t>Science</w:t>
      </w:r>
      <w:r w:rsidRPr="00D72F07">
        <w:rPr>
          <w:rFonts w:ascii="Cambria" w:hAnsi="Cambria"/>
          <w:noProof/>
          <w:sz w:val="22"/>
        </w:rPr>
        <w:t>, vol. 287, no. 5461, pp. 2216–2218.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lastRenderedPageBreak/>
        <w:t xml:space="preserve">Rucktäschel, R, Thoms, S, Sidorovitch, V, Halbach, A, Pechlivanis, M, Volkmer, R, Alexandrov, K, Kuhlmann, J, Rottensteiner, H &amp; Erdmann, R 2009, “Farnesylation of pex19p is required for its structural integrity and function in peroxisome biogenesis.,” </w:t>
      </w:r>
      <w:r w:rsidRPr="00D72F07">
        <w:rPr>
          <w:rFonts w:ascii="Cambria" w:hAnsi="Cambria"/>
          <w:i/>
          <w:iCs/>
          <w:noProof/>
          <w:sz w:val="22"/>
        </w:rPr>
        <w:t>The Journal of biological chemistry</w:t>
      </w:r>
      <w:r w:rsidRPr="00D72F07">
        <w:rPr>
          <w:rFonts w:ascii="Cambria" w:hAnsi="Cambria"/>
          <w:noProof/>
          <w:sz w:val="22"/>
        </w:rPr>
        <w:t>, vol. 284, no. 31, pp. 20885–96.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Sacksteder, K a, Jones, JM, South, ST, Li, X, Liu, Y &amp; Gould, SJ 2000, “</w:t>
      </w:r>
      <w:r w:rsidR="00D93535" w:rsidRPr="00D93535">
        <w:rPr>
          <w:rFonts w:ascii="Cambria" w:hAnsi="Cambria"/>
          <w:i/>
          <w:noProof/>
          <w:sz w:val="22"/>
        </w:rPr>
        <w:t>PEX</w:t>
      </w:r>
      <w:r w:rsidRPr="00D72F07">
        <w:rPr>
          <w:rFonts w:ascii="Cambria" w:hAnsi="Cambria"/>
          <w:noProof/>
          <w:sz w:val="22"/>
        </w:rPr>
        <w:t xml:space="preserve">19 binds multiple peroxisomal membrane proteins, is predominantly cytoplasmic, and is required for peroxisome membrane synthesis.,” </w:t>
      </w:r>
      <w:r w:rsidRPr="00D72F07">
        <w:rPr>
          <w:rFonts w:ascii="Cambria" w:hAnsi="Cambria"/>
          <w:i/>
          <w:iCs/>
          <w:noProof/>
          <w:sz w:val="22"/>
        </w:rPr>
        <w:t>The Journal of cell biology</w:t>
      </w:r>
      <w:r w:rsidRPr="00D72F07">
        <w:rPr>
          <w:rFonts w:ascii="Cambria" w:hAnsi="Cambria"/>
          <w:noProof/>
          <w:sz w:val="22"/>
        </w:rPr>
        <w:t>, vol. 148, no. 5, pp. 931–44.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Santos, MJ, Imanaka, T, Shio, H &amp; Lazarow, PB 1988, “Peroxisomal integral membrane proteins in control and Zellweger fibroblasts.,” </w:t>
      </w:r>
      <w:r w:rsidRPr="00D72F07">
        <w:rPr>
          <w:rFonts w:ascii="Cambria" w:hAnsi="Cambria"/>
          <w:i/>
          <w:iCs/>
          <w:noProof/>
          <w:sz w:val="22"/>
        </w:rPr>
        <w:t>The Journal of biological chemistry</w:t>
      </w:r>
      <w:r w:rsidRPr="00D72F07">
        <w:rPr>
          <w:rFonts w:ascii="Cambria" w:hAnsi="Cambria"/>
          <w:noProof/>
          <w:sz w:val="22"/>
        </w:rPr>
        <w:t>, vol. 263, no. 21, pp. 10502–9.</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Sato, Y, Shibata, H, Nakatsu, T, Nakano, H, Kashiwayama, Y, Imanaka, T &amp; Kato, H 2010, “Structural basis for docking of peroxisomal membrane protein carrier Pex19p onto its receptor Pex3p.,” </w:t>
      </w:r>
      <w:r w:rsidRPr="00D72F07">
        <w:rPr>
          <w:rFonts w:ascii="Cambria" w:hAnsi="Cambria"/>
          <w:i/>
          <w:iCs/>
          <w:noProof/>
          <w:sz w:val="22"/>
        </w:rPr>
        <w:t>The EMBO journal</w:t>
      </w:r>
      <w:r w:rsidRPr="00D72F07">
        <w:rPr>
          <w:rFonts w:ascii="Cambria" w:hAnsi="Cambria"/>
          <w:noProof/>
          <w:sz w:val="22"/>
        </w:rPr>
        <w:t>, vol. 29, no. 24, Nature Publishing Group, pp. 4083–93.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Schliebs, W, Agianian, B, Dodt, G, Herberg, FW &amp; Kunau, W 1999, “Recombinant Human Peroxisomal Targeting Signal Receptor </w:t>
      </w:r>
      <w:r w:rsidR="00D93535" w:rsidRPr="00D93535">
        <w:rPr>
          <w:rFonts w:ascii="Cambria" w:hAnsi="Cambria"/>
          <w:i/>
          <w:noProof/>
          <w:sz w:val="22"/>
        </w:rPr>
        <w:t>PEX</w:t>
      </w:r>
      <w:r w:rsidRPr="00D72F07">
        <w:rPr>
          <w:rFonts w:ascii="Cambria" w:hAnsi="Cambria"/>
          <w:noProof/>
          <w:sz w:val="22"/>
        </w:rPr>
        <w:t xml:space="preserve">5,” </w:t>
      </w:r>
      <w:r w:rsidRPr="00D72F07">
        <w:rPr>
          <w:rFonts w:ascii="Cambria" w:hAnsi="Cambria"/>
          <w:i/>
          <w:iCs/>
          <w:noProof/>
          <w:sz w:val="22"/>
        </w:rPr>
        <w:t>journal of biological chemistry</w:t>
      </w:r>
      <w:r w:rsidRPr="00D72F07">
        <w:rPr>
          <w:rFonts w:ascii="Cambria" w:hAnsi="Cambria"/>
          <w:noProof/>
          <w:sz w:val="22"/>
        </w:rPr>
        <w:t>, vol. 274, no. 9, pp. 5666–5673.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Schliebs, W &amp; Kunau, W-H 2004, “Peroxisome membrane biogenesis: the stage is set.,” </w:t>
      </w:r>
      <w:r w:rsidRPr="00D72F07">
        <w:rPr>
          <w:rFonts w:ascii="Cambria" w:hAnsi="Cambria"/>
          <w:i/>
          <w:iCs/>
          <w:noProof/>
          <w:sz w:val="22"/>
        </w:rPr>
        <w:t>Current biology</w:t>
      </w:r>
      <w:r w:rsidRPr="00D72F07">
        <w:rPr>
          <w:i/>
          <w:iCs/>
          <w:noProof/>
          <w:sz w:val="22"/>
        </w:rPr>
        <w:t> </w:t>
      </w:r>
      <w:r w:rsidRPr="00D72F07">
        <w:rPr>
          <w:rFonts w:ascii="Cambria" w:hAnsi="Cambria" w:cs="Cambria"/>
          <w:i/>
          <w:iCs/>
          <w:noProof/>
          <w:sz w:val="22"/>
        </w:rPr>
        <w:t>: CB</w:t>
      </w:r>
      <w:r w:rsidRPr="00D72F07">
        <w:rPr>
          <w:rFonts w:ascii="Cambria" w:hAnsi="Cambria"/>
          <w:noProof/>
          <w:sz w:val="22"/>
        </w:rPr>
        <w:t>, vol. 14, no. 10, pp. R397–9.</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Schneider, I 1972, “Cell lines derived from late embryonic stages of Drosophila melanogaster,” </w:t>
      </w:r>
      <w:r w:rsidRPr="00D72F07">
        <w:rPr>
          <w:rFonts w:ascii="Cambria" w:hAnsi="Cambria"/>
          <w:i/>
          <w:iCs/>
          <w:noProof/>
          <w:sz w:val="22"/>
        </w:rPr>
        <w:t>Journal of Embriology and Experiment Morphology</w:t>
      </w:r>
      <w:r w:rsidRPr="00D72F07">
        <w:rPr>
          <w:rFonts w:ascii="Cambria" w:hAnsi="Cambria"/>
          <w:noProof/>
          <w:sz w:val="22"/>
        </w:rPr>
        <w:t>, vol. 27, no. 1969, pp. 353–365.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Schueller, N, Holton, SJ, Fodor, K, Milewski, M, Konarev, P, Stanley, W a, Wolf, J, Erdmann, R, Schliebs, W, Song, Y-H &amp; Wilmanns, M 2010, “The peroxisomal receptor Pex19p forms a helical mPTS recognition domain.,” </w:t>
      </w:r>
      <w:r w:rsidRPr="00D72F07">
        <w:rPr>
          <w:rFonts w:ascii="Cambria" w:hAnsi="Cambria"/>
          <w:i/>
          <w:iCs/>
          <w:noProof/>
          <w:sz w:val="22"/>
        </w:rPr>
        <w:t>The EMBO journal</w:t>
      </w:r>
      <w:r w:rsidRPr="00D72F07">
        <w:rPr>
          <w:rFonts w:ascii="Cambria" w:hAnsi="Cambria"/>
          <w:noProof/>
          <w:sz w:val="22"/>
        </w:rPr>
        <w:t>, vol. 29, no. 15, Nature Publishing Group, pp. 2491–500.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Shah, JK, Garner, HR, White, M a, Shames, DS &amp; Minna, JD 2007, “sIR: siRNA Information Resource, a web-based tool for siRNA sequence design and analysis and an open access siRNA database.,” </w:t>
      </w:r>
      <w:r w:rsidRPr="00D72F07">
        <w:rPr>
          <w:rFonts w:ascii="Cambria" w:hAnsi="Cambria"/>
          <w:i/>
          <w:iCs/>
          <w:noProof/>
          <w:sz w:val="22"/>
        </w:rPr>
        <w:t>BMC bioinformatics</w:t>
      </w:r>
      <w:r w:rsidRPr="00D72F07">
        <w:rPr>
          <w:rFonts w:ascii="Cambria" w:hAnsi="Cambria"/>
          <w:noProof/>
          <w:sz w:val="22"/>
        </w:rPr>
        <w:t>, vol. 8, p. 178.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Shimozawa, N 2011, “Molecular and clinical findings and diagnostic flowchart of peroxisomal diseases.,” </w:t>
      </w:r>
      <w:r w:rsidRPr="00D72F07">
        <w:rPr>
          <w:rFonts w:ascii="Cambria" w:hAnsi="Cambria"/>
          <w:i/>
          <w:iCs/>
          <w:noProof/>
          <w:sz w:val="22"/>
        </w:rPr>
        <w:t>Brain &amp; development</w:t>
      </w:r>
      <w:r w:rsidRPr="00D72F07">
        <w:rPr>
          <w:rFonts w:ascii="Cambria" w:hAnsi="Cambria"/>
          <w:noProof/>
          <w:sz w:val="22"/>
        </w:rPr>
        <w:t>, vol. 33, no. 9, The Japanese Society of Child Neurology, pp. 770–6.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Sigoillot, FD &amp; King, RW 2011, “Vigilance and Validation: Keys to Success in RNAi Screening,” </w:t>
      </w:r>
      <w:r w:rsidRPr="00D72F07">
        <w:rPr>
          <w:rFonts w:ascii="Cambria" w:hAnsi="Cambria"/>
          <w:i/>
          <w:iCs/>
          <w:noProof/>
          <w:sz w:val="22"/>
        </w:rPr>
        <w:t>American Cheical Society: Chemical Biology</w:t>
      </w:r>
      <w:r w:rsidRPr="00D72F07">
        <w:rPr>
          <w:rFonts w:ascii="Cambria" w:hAnsi="Cambria"/>
          <w:noProof/>
          <w:sz w:val="22"/>
        </w:rPr>
        <w:t>, vol. 6, no. 1, pp. 47–60.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Smith, JJ, Marelli, M, Christmas, RH, Vizeacoumar, FJ, Dilworth, DJ, Ideker, T, Galitski, T, Dimitrov, K, Rachubinski, R a &amp; Aitchison, JD 2002, “Transcriptome profiling to identify genes involved in peroxisome assembly and function.,” </w:t>
      </w:r>
      <w:r w:rsidRPr="00D72F07">
        <w:rPr>
          <w:rFonts w:ascii="Cambria" w:hAnsi="Cambria"/>
          <w:i/>
          <w:iCs/>
          <w:noProof/>
          <w:sz w:val="22"/>
        </w:rPr>
        <w:t>The Journal of cell biology</w:t>
      </w:r>
      <w:r w:rsidRPr="00D72F07">
        <w:rPr>
          <w:rFonts w:ascii="Cambria" w:hAnsi="Cambria"/>
          <w:noProof/>
          <w:sz w:val="22"/>
        </w:rPr>
        <w:t>, vol. 158, no. 2, pp. 259–71.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Snyder, WB, Faber, KN, Wenzel, TJ, Koller, a, Lüers, GH, Rangell, L, Keller, G a &amp; Subramani, S 1999, “Pex19p interacts with Pex3p and Pex10p and is essential for </w:t>
      </w:r>
      <w:r w:rsidRPr="00D72F07">
        <w:rPr>
          <w:rFonts w:ascii="Cambria" w:hAnsi="Cambria"/>
          <w:noProof/>
          <w:sz w:val="22"/>
        </w:rPr>
        <w:lastRenderedPageBreak/>
        <w:t xml:space="preserve">peroxisome biogenesis in Pichia pastoris.,” </w:t>
      </w:r>
      <w:r w:rsidRPr="00D72F07">
        <w:rPr>
          <w:rFonts w:ascii="Cambria" w:hAnsi="Cambria"/>
          <w:i/>
          <w:iCs/>
          <w:noProof/>
          <w:sz w:val="22"/>
        </w:rPr>
        <w:t>Molecular biology of the cell</w:t>
      </w:r>
      <w:r w:rsidRPr="00D72F07">
        <w:rPr>
          <w:rFonts w:ascii="Cambria" w:hAnsi="Cambria"/>
          <w:noProof/>
          <w:sz w:val="22"/>
        </w:rPr>
        <w:t>, vol. 10, no. 6, pp. 1745–61.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South, ST, Sacksteder, K a, Li, X, Liu, Y &amp; Gould, SJ 2000, “Inhibitors of COPI and COPII do not block </w:t>
      </w:r>
      <w:r w:rsidR="00D93535" w:rsidRPr="00D93535">
        <w:rPr>
          <w:rFonts w:ascii="Cambria" w:hAnsi="Cambria"/>
          <w:i/>
          <w:noProof/>
          <w:sz w:val="22"/>
        </w:rPr>
        <w:t>PEX</w:t>
      </w:r>
      <w:r w:rsidRPr="00D72F07">
        <w:rPr>
          <w:rFonts w:ascii="Cambria" w:hAnsi="Cambria"/>
          <w:noProof/>
          <w:sz w:val="22"/>
        </w:rPr>
        <w:t xml:space="preserve">3-mediated peroxisome synthesis.,” </w:t>
      </w:r>
      <w:r w:rsidRPr="00D72F07">
        <w:rPr>
          <w:rFonts w:ascii="Cambria" w:hAnsi="Cambria"/>
          <w:i/>
          <w:iCs/>
          <w:noProof/>
          <w:sz w:val="22"/>
        </w:rPr>
        <w:t>The Journal of cell biology</w:t>
      </w:r>
      <w:r w:rsidRPr="00D72F07">
        <w:rPr>
          <w:rFonts w:ascii="Cambria" w:hAnsi="Cambria"/>
          <w:noProof/>
          <w:sz w:val="22"/>
        </w:rPr>
        <w:t>, vol. 149, no. 7, pp. 1345–60.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Southon, A, Burke, R, Norgate, M, Batterham, P &amp; Camakaris, J 2004, “Copper homoeostasis in Drosophila melanogaster S2 cells.,” </w:t>
      </w:r>
      <w:r w:rsidRPr="00D72F07">
        <w:rPr>
          <w:rFonts w:ascii="Cambria" w:hAnsi="Cambria"/>
          <w:i/>
          <w:iCs/>
          <w:noProof/>
          <w:sz w:val="22"/>
        </w:rPr>
        <w:t>The Biochemical journal</w:t>
      </w:r>
      <w:r w:rsidRPr="00D72F07">
        <w:rPr>
          <w:rFonts w:ascii="Cambria" w:hAnsi="Cambria"/>
          <w:noProof/>
          <w:sz w:val="22"/>
        </w:rPr>
        <w:t>, vol. 383, no. Pt 2, pp. 303–9.</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Steinberg, SJ, Dodt, G, Raymond, G V, Braverman, NE, Moser, AB &amp; Moser, HW 2006, “Peroxisome biogenesis disorders.,” </w:t>
      </w:r>
      <w:r w:rsidRPr="00D72F07">
        <w:rPr>
          <w:rFonts w:ascii="Cambria" w:hAnsi="Cambria"/>
          <w:i/>
          <w:iCs/>
          <w:noProof/>
          <w:sz w:val="22"/>
        </w:rPr>
        <w:t>Biochimica et biophysica acta</w:t>
      </w:r>
      <w:r w:rsidRPr="00D72F07">
        <w:rPr>
          <w:rFonts w:ascii="Cambria" w:hAnsi="Cambria"/>
          <w:noProof/>
          <w:sz w:val="22"/>
        </w:rPr>
        <w:t>, vol. 1763, no. 12, pp. 1733–48.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Stenmark, H &amp; Olkkonen, VM 2001, “Protein family review The Rab GTPase family,” </w:t>
      </w:r>
      <w:r w:rsidRPr="00D72F07">
        <w:rPr>
          <w:rFonts w:ascii="Cambria" w:hAnsi="Cambria"/>
          <w:i/>
          <w:iCs/>
          <w:noProof/>
          <w:sz w:val="22"/>
        </w:rPr>
        <w:t>Genome Biology</w:t>
      </w:r>
      <w:r w:rsidRPr="00D72F07">
        <w:rPr>
          <w:rFonts w:ascii="Cambria" w:hAnsi="Cambria"/>
          <w:noProof/>
          <w:sz w:val="22"/>
        </w:rPr>
        <w:t>, vol. 2, no. 5, pp. 1–7.</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Subramani, S 1998, “Components involved in peroxisome import, biogenesis, proliferation, turnover, and movement.,” </w:t>
      </w:r>
      <w:r w:rsidRPr="00D72F07">
        <w:rPr>
          <w:rFonts w:ascii="Cambria" w:hAnsi="Cambria"/>
          <w:i/>
          <w:iCs/>
          <w:noProof/>
          <w:sz w:val="22"/>
        </w:rPr>
        <w:t>Physiological reviews</w:t>
      </w:r>
      <w:r w:rsidRPr="00D72F07">
        <w:rPr>
          <w:rFonts w:ascii="Cambria" w:hAnsi="Cambria"/>
          <w:noProof/>
          <w:sz w:val="22"/>
        </w:rPr>
        <w:t>, vol. 78, no. 1, pp. 171–88.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Tabak, HF, Murk, JL, Braakman, I &amp; Geuze, HJ 2003, “Peroxisomes start their life in the endoplasmic reticulum.,” </w:t>
      </w:r>
      <w:r w:rsidRPr="00D72F07">
        <w:rPr>
          <w:rFonts w:ascii="Cambria" w:hAnsi="Cambria"/>
          <w:i/>
          <w:iCs/>
          <w:noProof/>
          <w:sz w:val="22"/>
        </w:rPr>
        <w:t>Traffic (Copenhagen, Denmark)</w:t>
      </w:r>
      <w:r w:rsidRPr="00D72F07">
        <w:rPr>
          <w:rFonts w:ascii="Cambria" w:hAnsi="Cambria"/>
          <w:noProof/>
          <w:sz w:val="22"/>
        </w:rPr>
        <w:t>, vol. 4, no. 8, pp. 512–8.</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Tam, YYC, Torres-guzman, JC, Vizeacoumar, FJ, Smith, JJ, Marelli, M, Aitchison, JD &amp; Rachubinski, RA 2003, “Pex11-related Proteins in Peroxisome Dynamics</w:t>
      </w:r>
      <w:r w:rsidRPr="00D72F07">
        <w:rPr>
          <w:noProof/>
          <w:sz w:val="22"/>
        </w:rPr>
        <w:t> </w:t>
      </w:r>
      <w:r w:rsidRPr="00D72F07">
        <w:rPr>
          <w:rFonts w:ascii="Cambria" w:hAnsi="Cambria" w:cs="Cambria"/>
          <w:noProof/>
          <w:sz w:val="22"/>
        </w:rPr>
        <w:t xml:space="preserve">: A Role </w:t>
      </w:r>
      <w:r w:rsidRPr="00D72F07">
        <w:rPr>
          <w:rFonts w:ascii="Cambria" w:hAnsi="Cambria"/>
          <w:noProof/>
          <w:sz w:val="22"/>
        </w:rPr>
        <w:t xml:space="preserve">for the Novel Peroxin Pex27p in Controlling Peroxisome Size and Number in Saccharomyces cerevisiae,” </w:t>
      </w:r>
      <w:r w:rsidRPr="00D72F07">
        <w:rPr>
          <w:rFonts w:ascii="Cambria" w:hAnsi="Cambria"/>
          <w:i/>
          <w:iCs/>
          <w:noProof/>
          <w:sz w:val="22"/>
        </w:rPr>
        <w:t>journal of biological chemistry</w:t>
      </w:r>
      <w:r w:rsidRPr="00D72F07">
        <w:rPr>
          <w:rFonts w:ascii="Cambria" w:hAnsi="Cambria"/>
          <w:noProof/>
          <w:sz w:val="22"/>
        </w:rPr>
        <w:t>, vol. 14, no. October, pp. 4089–4102.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Titorenko, VI, Ogrydziak, DM &amp; Rachubinski, R a 1997, “Four distinct secretory pathways serve protein secretion, cell surface growth, and peroxisome biogenesis in the yeast Yarrowia lipolytica.,” </w:t>
      </w:r>
      <w:r w:rsidRPr="00D72F07">
        <w:rPr>
          <w:rFonts w:ascii="Cambria" w:hAnsi="Cambria"/>
          <w:i/>
          <w:iCs/>
          <w:noProof/>
          <w:sz w:val="22"/>
        </w:rPr>
        <w:t>Molecular and cellular biology</w:t>
      </w:r>
      <w:r w:rsidRPr="00D72F07">
        <w:rPr>
          <w:rFonts w:ascii="Cambria" w:hAnsi="Cambria"/>
          <w:noProof/>
          <w:sz w:val="22"/>
        </w:rPr>
        <w:t>, vol. 17, no. 9, pp. 5210–26.</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Titorenko, VI &amp; Rachubinski, R a 1998, “Mutants of the yeast Yarrowia lipolytica defective in protein exit from the endoplasmic reticulum are also defective in peroxisome biogenesis.,” </w:t>
      </w:r>
      <w:r w:rsidRPr="00D72F07">
        <w:rPr>
          <w:rFonts w:ascii="Cambria" w:hAnsi="Cambria"/>
          <w:i/>
          <w:iCs/>
          <w:noProof/>
          <w:sz w:val="22"/>
        </w:rPr>
        <w:t>Molecular and cellular biology</w:t>
      </w:r>
      <w:r w:rsidRPr="00D72F07">
        <w:rPr>
          <w:rFonts w:ascii="Cambria" w:hAnsi="Cambria"/>
          <w:noProof/>
          <w:sz w:val="22"/>
        </w:rPr>
        <w:t>, vol. 18, no. 5, pp. 2789–803.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Tsukamoto, T, Yokota, S &amp; Fujiki, Y 1990, “Isolation and characterization of Chinese hamster ovary cell mutants defective in assembly of peroxisomes.,” </w:t>
      </w:r>
      <w:r w:rsidRPr="00D72F07">
        <w:rPr>
          <w:rFonts w:ascii="Cambria" w:hAnsi="Cambria"/>
          <w:i/>
          <w:iCs/>
          <w:noProof/>
          <w:sz w:val="22"/>
        </w:rPr>
        <w:t>The Journal of cell biology</w:t>
      </w:r>
      <w:r w:rsidRPr="00D72F07">
        <w:rPr>
          <w:rFonts w:ascii="Cambria" w:hAnsi="Cambria"/>
          <w:noProof/>
          <w:sz w:val="22"/>
        </w:rPr>
        <w:t>, vol. 110, no. 3, pp. 651–60.</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Veenhuis, M, Mateblowski, M, Kunau, WH &amp; Harder, H 1987, “Proliferation of microbodies in Saccharomyces cerevisiae,” </w:t>
      </w:r>
      <w:r w:rsidRPr="00D72F07">
        <w:rPr>
          <w:rFonts w:ascii="Cambria" w:hAnsi="Cambria"/>
          <w:i/>
          <w:iCs/>
          <w:noProof/>
          <w:sz w:val="22"/>
        </w:rPr>
        <w:t>Yeast</w:t>
      </w:r>
      <w:r w:rsidRPr="00D72F07">
        <w:rPr>
          <w:rFonts w:ascii="Cambria" w:hAnsi="Cambria"/>
          <w:noProof/>
          <w:sz w:val="22"/>
        </w:rPr>
        <w:t>, vol. 3, no. 2, pp. 77–84.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Vizeacoumar, FJ, Torres-guzman, JC, Bouard, D, Aitchison, JD &amp; Rachubinski, RA 2004, “Pex30p , Pex31p , and Pex32p Form a Family of Peroxisomal Integral Membrane Proteins Regulating Peroxisome Size and Number in Saccharomyces cerevisiae,” </w:t>
      </w:r>
      <w:r w:rsidRPr="00D72F07">
        <w:rPr>
          <w:rFonts w:ascii="Cambria" w:hAnsi="Cambria"/>
          <w:i/>
          <w:iCs/>
          <w:noProof/>
          <w:sz w:val="22"/>
        </w:rPr>
        <w:t>Molecular biology of the cell</w:t>
      </w:r>
      <w:r w:rsidRPr="00D72F07">
        <w:rPr>
          <w:rFonts w:ascii="Cambria" w:hAnsi="Cambria"/>
          <w:noProof/>
          <w:sz w:val="22"/>
        </w:rPr>
        <w:t>, vol. 15, no. February, pp. 665–677.</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lastRenderedPageBreak/>
        <w:t xml:space="preserve">Vizeacoumar, FJ, Torres-Guzman, JC, Tam, YYC, Aitchison, JD &amp; Rachubinski, R a 2003, “YHR150w and YDR479c encode peroxisomal integral membrane proteins involved in the regulation of peroxisome number, size, and distribution in Saccharomyces cerevisiae.,” </w:t>
      </w:r>
      <w:r w:rsidRPr="00D72F07">
        <w:rPr>
          <w:rFonts w:ascii="Cambria" w:hAnsi="Cambria"/>
          <w:i/>
          <w:iCs/>
          <w:noProof/>
          <w:sz w:val="22"/>
        </w:rPr>
        <w:t>The Journal of cell biology</w:t>
      </w:r>
      <w:r w:rsidRPr="00D72F07">
        <w:rPr>
          <w:rFonts w:ascii="Cambria" w:hAnsi="Cambria"/>
          <w:noProof/>
          <w:sz w:val="22"/>
        </w:rPr>
        <w:t>, vol. 161, no. 2, pp. 321–32.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Vizeacoumar, FJ, Vreden, WN, Fagarasanu, M, Eitzen, G a, Aitchison, JD &amp; Rachubinski, R a 2006, “The dynamin-like protein Vps1p of the yeast Saccharomyces cerevisiae associates with peroxisomes in a Pex19p-dependent manner.,” </w:t>
      </w:r>
      <w:r w:rsidRPr="00D72F07">
        <w:rPr>
          <w:rFonts w:ascii="Cambria" w:hAnsi="Cambria"/>
          <w:i/>
          <w:iCs/>
          <w:noProof/>
          <w:sz w:val="22"/>
        </w:rPr>
        <w:t>The Journal of biological chemistry</w:t>
      </w:r>
      <w:r w:rsidRPr="00D72F07">
        <w:rPr>
          <w:rFonts w:ascii="Cambria" w:hAnsi="Cambria"/>
          <w:noProof/>
          <w:sz w:val="22"/>
        </w:rPr>
        <w:t>, vol. 281, no. 18, pp. 12817–23.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Voorn-Brouwer, T, Kragt, a, Tabak, HF &amp; Distel, B 2001, “Peroxisomal membrane proteins are properly targeted to peroxisomes in the absence of COPI- and COPII-mediated vesicular transport.,” </w:t>
      </w:r>
      <w:r w:rsidRPr="00D72F07">
        <w:rPr>
          <w:rFonts w:ascii="Cambria" w:hAnsi="Cambria"/>
          <w:i/>
          <w:iCs/>
          <w:noProof/>
          <w:sz w:val="22"/>
        </w:rPr>
        <w:t>Journal of cell science</w:t>
      </w:r>
      <w:r w:rsidRPr="00D72F07">
        <w:rPr>
          <w:rFonts w:ascii="Cambria" w:hAnsi="Cambria"/>
          <w:noProof/>
          <w:sz w:val="22"/>
        </w:rPr>
        <w:t>, vol. 114, no. Pt 11, pp. 2199–204.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Wanders, RJ a &amp; Waterham, HR 2006, “Biochemistry of mammalian peroxisomes revisited.,” </w:t>
      </w:r>
      <w:r w:rsidRPr="00D72F07">
        <w:rPr>
          <w:rFonts w:ascii="Cambria" w:hAnsi="Cambria"/>
          <w:i/>
          <w:iCs/>
          <w:noProof/>
          <w:sz w:val="22"/>
        </w:rPr>
        <w:t>Annual review of biochemistry</w:t>
      </w:r>
      <w:r w:rsidRPr="00D72F07">
        <w:rPr>
          <w:rFonts w:ascii="Cambria" w:hAnsi="Cambria"/>
          <w:noProof/>
          <w:sz w:val="22"/>
        </w:rPr>
        <w:t>, vol. 75, pp. 295–332.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Waterham, HR &amp; Ebberink, MS 2012, “Genetics and molecular basis of human peroxisome biogenesis disorders,” </w:t>
      </w:r>
      <w:r w:rsidRPr="00D72F07">
        <w:rPr>
          <w:rFonts w:ascii="Cambria" w:hAnsi="Cambria"/>
          <w:i/>
          <w:iCs/>
          <w:noProof/>
          <w:sz w:val="22"/>
        </w:rPr>
        <w:t>Biochimica et Biophysica Acta (BBA) - Molecular Basis of Disease</w:t>
      </w:r>
      <w:r w:rsidRPr="00D72F07">
        <w:rPr>
          <w:rFonts w:ascii="Cambria" w:hAnsi="Cambria"/>
          <w:noProof/>
          <w:sz w:val="22"/>
        </w:rPr>
        <w:t>, vol. 1822, no. 9, Elsevier B.V., pp. 1430–1441.</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Weller, S, Cajigas, I, Morrell, J, Obie, C, Steel, G, Gould, SJ &amp; Valle, D 2005, “Alternative splicing suggests extended function of </w:t>
      </w:r>
      <w:r w:rsidR="00D93535" w:rsidRPr="00D93535">
        <w:rPr>
          <w:rFonts w:ascii="Cambria" w:hAnsi="Cambria"/>
          <w:i/>
          <w:noProof/>
          <w:sz w:val="22"/>
        </w:rPr>
        <w:t>PEX</w:t>
      </w:r>
      <w:r w:rsidRPr="00D72F07">
        <w:rPr>
          <w:rFonts w:ascii="Cambria" w:hAnsi="Cambria"/>
          <w:noProof/>
          <w:sz w:val="22"/>
        </w:rPr>
        <w:t xml:space="preserve">26 in peroxisome biogenesis.,” </w:t>
      </w:r>
      <w:r w:rsidRPr="00D72F07">
        <w:rPr>
          <w:rFonts w:ascii="Cambria" w:hAnsi="Cambria"/>
          <w:i/>
          <w:iCs/>
          <w:noProof/>
          <w:sz w:val="22"/>
        </w:rPr>
        <w:t>American journal of human genetics</w:t>
      </w:r>
      <w:r w:rsidRPr="00D72F07">
        <w:rPr>
          <w:rFonts w:ascii="Cambria" w:hAnsi="Cambria"/>
          <w:noProof/>
          <w:sz w:val="22"/>
        </w:rPr>
        <w:t>, vol. 76, no. 6, pp. 987–1007.</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Williams, CP &amp; Stanley, W a 2010, “Peroxin 5: a cycling receptor for protein translocation into peroxisomes.,” </w:t>
      </w:r>
      <w:r w:rsidRPr="00D72F07">
        <w:rPr>
          <w:rFonts w:ascii="Cambria" w:hAnsi="Cambria"/>
          <w:i/>
          <w:iCs/>
          <w:noProof/>
          <w:sz w:val="22"/>
        </w:rPr>
        <w:t>The international journal of biochemistry &amp; cell biology</w:t>
      </w:r>
      <w:r w:rsidRPr="00D72F07">
        <w:rPr>
          <w:rFonts w:ascii="Cambria" w:hAnsi="Cambria"/>
          <w:noProof/>
          <w:sz w:val="22"/>
        </w:rPr>
        <w:t>, vol. 42, no. 11, Elsevier Ltd, pp. 1771–4.</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Yanagawa, S, Lee, JS &amp; Ishimoto, a 1998, “Identification and characterization of a novel line of Drosophila Schneider S2 cells that respond to wingless signaling.,” </w:t>
      </w:r>
      <w:r w:rsidRPr="00D72F07">
        <w:rPr>
          <w:rFonts w:ascii="Cambria" w:hAnsi="Cambria"/>
          <w:i/>
          <w:iCs/>
          <w:noProof/>
          <w:sz w:val="22"/>
        </w:rPr>
        <w:t>The Journal of biological chemistry</w:t>
      </w:r>
      <w:r w:rsidRPr="00D72F07">
        <w:rPr>
          <w:rFonts w:ascii="Cambria" w:hAnsi="Cambria"/>
          <w:noProof/>
          <w:sz w:val="22"/>
        </w:rPr>
        <w:t>, vol. 273, no. 48, pp. 32353–9.</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Zamore, PD, Tuschl, T, Sharp, P a &amp; Bartel, DP 2000, “RNAi: double-stranded RNA directs the ATP-dependent cleavage of mRNA at 21 to 23 nucleotide intervals.,” </w:t>
      </w:r>
      <w:r w:rsidRPr="00D72F07">
        <w:rPr>
          <w:rFonts w:ascii="Cambria" w:hAnsi="Cambria"/>
          <w:i/>
          <w:iCs/>
          <w:noProof/>
          <w:sz w:val="22"/>
        </w:rPr>
        <w:t>Cell</w:t>
      </w:r>
      <w:r w:rsidRPr="00D72F07">
        <w:rPr>
          <w:rFonts w:ascii="Cambria" w:hAnsi="Cambria"/>
          <w:noProof/>
          <w:sz w:val="22"/>
        </w:rPr>
        <w:t>, vol. 101, no. 1, pp. 25–33.</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Zand, A Van Der, Braakman, I &amp; Tabak, HF 2010, “Peroxisomal Membrane Proteins Insert into the Endoplasmic Reticulum,” vol. 21, pp. 2057–2065.</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Zhang, J, Fang, Z, Jud, C, Vansteensel, MJ, Kaasik, K, Lee, CC, Albrecht, U, Tamanini, F, Meijer, JH, Oostra, BA &amp; Nelson, DL 2008, “Fragile X-Related Proteins Regulate Mammalian Circadian Behavioral Rhythms,” no. July, pp. 43–52.</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Zhang, J, Wang, Y, Keuss, M, Pai, Y-ME, Kang, HC, Shin, Joo-ho, Kang, C, Shin, Jooho, Bugayenko, A, Wang, H, Xiong, Y, Mikhail, V, Mattson, M &amp; Dawson, T 2012, “The AAA+ ATPase, Thorase Regulates AMPA Receptor- Dependent Synaptic Plasticity and Behavior,” </w:t>
      </w:r>
      <w:r w:rsidRPr="00D72F07">
        <w:rPr>
          <w:rFonts w:ascii="Cambria" w:hAnsi="Cambria"/>
          <w:i/>
          <w:iCs/>
          <w:noProof/>
          <w:sz w:val="22"/>
        </w:rPr>
        <w:t>Cell</w:t>
      </w:r>
      <w:r w:rsidRPr="00D72F07">
        <w:rPr>
          <w:rFonts w:ascii="Cambria" w:hAnsi="Cambria"/>
          <w:noProof/>
          <w:sz w:val="22"/>
        </w:rPr>
        <w:t>, vol. 145, no. 2, pp. 284–299.</w:t>
      </w:r>
    </w:p>
    <w:p w:rsidR="00D72F07" w:rsidRPr="00D72F07" w:rsidRDefault="00D72F07">
      <w:pPr>
        <w:pStyle w:val="NormalWeb"/>
        <w:ind w:left="480" w:hanging="480"/>
        <w:divId w:val="1704211801"/>
        <w:rPr>
          <w:rFonts w:ascii="Cambria" w:hAnsi="Cambria"/>
          <w:noProof/>
          <w:sz w:val="22"/>
        </w:rPr>
      </w:pPr>
      <w:r w:rsidRPr="00D72F07">
        <w:rPr>
          <w:rFonts w:ascii="Cambria" w:hAnsi="Cambria"/>
          <w:noProof/>
          <w:sz w:val="22"/>
        </w:rPr>
        <w:t xml:space="preserve">Zhang, JW, Han, Y &amp; Lazar 1993, “Novel Peroxisome Clustering Mutants and Peroxisome Biogenesis Mutants of Saccharomyces cerevisiae,” </w:t>
      </w:r>
      <w:r w:rsidRPr="00D72F07">
        <w:rPr>
          <w:rFonts w:ascii="Cambria" w:hAnsi="Cambria"/>
          <w:i/>
          <w:iCs/>
          <w:noProof/>
          <w:sz w:val="22"/>
        </w:rPr>
        <w:t>Journal of Cell Biology</w:t>
      </w:r>
      <w:r w:rsidRPr="00D72F07">
        <w:rPr>
          <w:rFonts w:ascii="Cambria" w:hAnsi="Cambria"/>
          <w:noProof/>
          <w:sz w:val="22"/>
        </w:rPr>
        <w:t>, vol. 123, no. 5, pp. 1933–47.</w:t>
      </w:r>
    </w:p>
    <w:p w:rsidR="0009469E" w:rsidRPr="0013327C" w:rsidRDefault="009A1FEC" w:rsidP="00D72F07">
      <w:pPr>
        <w:pStyle w:val="NormalWeb"/>
        <w:ind w:left="480" w:hanging="480"/>
        <w:divId w:val="2136363281"/>
        <w:rPr>
          <w:rFonts w:asciiTheme="majorHAnsi" w:hAnsiTheme="majorHAnsi"/>
        </w:rPr>
      </w:pPr>
      <w:r>
        <w:rPr>
          <w:rFonts w:asciiTheme="majorHAnsi" w:hAnsiTheme="majorHAnsi"/>
        </w:rPr>
        <w:lastRenderedPageBreak/>
        <w:fldChar w:fldCharType="end"/>
      </w:r>
    </w:p>
    <w:sectPr w:rsidR="0009469E" w:rsidRPr="0013327C" w:rsidSect="00BB01DD">
      <w:type w:val="oddPage"/>
      <w:pgSz w:w="11906" w:h="16838"/>
      <w:pgMar w:top="1440" w:right="1440" w:bottom="1440" w:left="2325"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15B33" w:rsidRDefault="00115B33" w:rsidP="00DA16DB">
      <w:pPr>
        <w:spacing w:after="0" w:line="240" w:lineRule="auto"/>
      </w:pPr>
      <w:r>
        <w:separator/>
      </w:r>
    </w:p>
  </w:endnote>
  <w:endnote w:type="continuationSeparator" w:id="0">
    <w:p w:rsidR="00115B33" w:rsidRDefault="00115B33" w:rsidP="00DA16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30204"/>
    <w:charset w:val="00"/>
    <w:family w:val="swiss"/>
    <w:pitch w:val="variable"/>
    <w:sig w:usb0="20002A87" w:usb1="00000000" w:usb2="00000000" w:usb3="00000000" w:csb0="000001FF" w:csb1="00000000"/>
  </w:font>
  <w:font w:name="ArialMT">
    <w:altName w:val="Arial"/>
    <w:panose1 w:val="00000000000000000000"/>
    <w:charset w:val="4D"/>
    <w:family w:val="swiss"/>
    <w:notTrueType/>
    <w:pitch w:val="default"/>
    <w:sig w:usb0="03000003" w:usb1="00000000" w:usb2="00000000" w:usb3="00000000" w:csb0="00000001" w:csb1="00000000"/>
  </w:font>
  <w:font w:name="Helvetica-Bold">
    <w:altName w:val="Arial"/>
    <w:panose1 w:val="00000000000000000000"/>
    <w:charset w:val="4D"/>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20562"/>
      <w:docPartObj>
        <w:docPartGallery w:val="Page Numbers (Bottom of Page)"/>
        <w:docPartUnique/>
      </w:docPartObj>
    </w:sdtPr>
    <w:sdtContent>
      <w:p w:rsidR="00115B33" w:rsidRDefault="00115B33">
        <w:pPr>
          <w:pStyle w:val="Footer"/>
          <w:jc w:val="right"/>
        </w:pPr>
        <w:fldSimple w:instr=" PAGE   \* MERGEFORMAT ">
          <w:r w:rsidR="0034167E">
            <w:rPr>
              <w:noProof/>
            </w:rPr>
            <w:t>XVII</w:t>
          </w:r>
        </w:fldSimple>
      </w:p>
    </w:sdtContent>
  </w:sdt>
  <w:p w:rsidR="00115B33" w:rsidRDefault="00115B3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15B33" w:rsidRDefault="00115B33" w:rsidP="00DA16DB">
      <w:pPr>
        <w:spacing w:after="0" w:line="240" w:lineRule="auto"/>
      </w:pPr>
      <w:r>
        <w:separator/>
      </w:r>
    </w:p>
  </w:footnote>
  <w:footnote w:type="continuationSeparator" w:id="0">
    <w:p w:rsidR="00115B33" w:rsidRDefault="00115B33" w:rsidP="00DA16D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FFFFFFFF"/>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1">
    <w:nsid w:val="00BE210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3521D0F"/>
    <w:multiLevelType w:val="multilevel"/>
    <w:tmpl w:val="CB32EC98"/>
    <w:lvl w:ilvl="0">
      <w:start w:val="5"/>
      <w:numFmt w:val="decimal"/>
      <w:lvlText w:val="%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B307340"/>
    <w:multiLevelType w:val="multilevel"/>
    <w:tmpl w:val="4C7821E0"/>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nsid w:val="0D7C738A"/>
    <w:multiLevelType w:val="multilevel"/>
    <w:tmpl w:val="45AE93EE"/>
    <w:lvl w:ilvl="0">
      <w:start w:val="4"/>
      <w:numFmt w:val="decimal"/>
      <w:lvlText w:val="%1"/>
      <w:lvlJc w:val="left"/>
      <w:pPr>
        <w:ind w:left="432" w:hanging="432"/>
      </w:pPr>
      <w:rPr>
        <w:rFonts w:hint="default"/>
      </w:rPr>
    </w:lvl>
    <w:lvl w:ilvl="1">
      <w:start w:val="1"/>
      <w:numFmt w:val="decimal"/>
      <w:lvlText w:val="3.%2"/>
      <w:lvlJc w:val="left"/>
      <w:pPr>
        <w:ind w:left="576" w:hanging="576"/>
      </w:pPr>
      <w:rPr>
        <w:rFonts w:hint="default"/>
      </w:rPr>
    </w:lvl>
    <w:lvl w:ilvl="2">
      <w:start w:val="1"/>
      <w:numFmt w:val="decimal"/>
      <w:lvlText w:val="3.%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1B3B51F0"/>
    <w:multiLevelType w:val="hybridMultilevel"/>
    <w:tmpl w:val="718A3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FE65F5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26A689D"/>
    <w:multiLevelType w:val="hybridMultilevel"/>
    <w:tmpl w:val="886AEA5C"/>
    <w:lvl w:ilvl="0" w:tplc="D2964FB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nsid w:val="29B779F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2D1E092E"/>
    <w:multiLevelType w:val="hybridMultilevel"/>
    <w:tmpl w:val="C3922AF4"/>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0">
    <w:nsid w:val="2FC605F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4786223D"/>
    <w:multiLevelType w:val="hybridMultilevel"/>
    <w:tmpl w:val="80B87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84D75BD"/>
    <w:multiLevelType w:val="hybridMultilevel"/>
    <w:tmpl w:val="2FB48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97F4DE4"/>
    <w:multiLevelType w:val="hybridMultilevel"/>
    <w:tmpl w:val="ECAAD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CD82E10"/>
    <w:multiLevelType w:val="multilevel"/>
    <w:tmpl w:val="4C7821E0"/>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546147CC"/>
    <w:multiLevelType w:val="hybridMultilevel"/>
    <w:tmpl w:val="3D36C3CE"/>
    <w:lvl w:ilvl="0" w:tplc="2D20817A">
      <w:start w:val="1"/>
      <w:numFmt w:val="decimal"/>
      <w:lvlText w:val="%1."/>
      <w:lvlJc w:val="left"/>
      <w:pPr>
        <w:ind w:left="720" w:hanging="360"/>
      </w:pPr>
    </w:lvl>
    <w:lvl w:ilvl="1" w:tplc="9FE22E5A" w:tentative="1">
      <w:start w:val="1"/>
      <w:numFmt w:val="lowerLetter"/>
      <w:lvlText w:val="%2."/>
      <w:lvlJc w:val="left"/>
      <w:pPr>
        <w:ind w:left="1440" w:hanging="360"/>
      </w:pPr>
    </w:lvl>
    <w:lvl w:ilvl="2" w:tplc="85FA5C2C" w:tentative="1">
      <w:start w:val="1"/>
      <w:numFmt w:val="lowerRoman"/>
      <w:lvlText w:val="%3."/>
      <w:lvlJc w:val="right"/>
      <w:pPr>
        <w:ind w:left="2160" w:hanging="180"/>
      </w:pPr>
    </w:lvl>
    <w:lvl w:ilvl="3" w:tplc="9BE6701C" w:tentative="1">
      <w:start w:val="1"/>
      <w:numFmt w:val="decimal"/>
      <w:lvlText w:val="%4."/>
      <w:lvlJc w:val="left"/>
      <w:pPr>
        <w:ind w:left="2880" w:hanging="360"/>
      </w:pPr>
    </w:lvl>
    <w:lvl w:ilvl="4" w:tplc="4C62C92E" w:tentative="1">
      <w:start w:val="1"/>
      <w:numFmt w:val="lowerLetter"/>
      <w:lvlText w:val="%5."/>
      <w:lvlJc w:val="left"/>
      <w:pPr>
        <w:ind w:left="3600" w:hanging="360"/>
      </w:pPr>
    </w:lvl>
    <w:lvl w:ilvl="5" w:tplc="923450AE" w:tentative="1">
      <w:start w:val="1"/>
      <w:numFmt w:val="lowerRoman"/>
      <w:lvlText w:val="%6."/>
      <w:lvlJc w:val="right"/>
      <w:pPr>
        <w:ind w:left="4320" w:hanging="180"/>
      </w:pPr>
    </w:lvl>
    <w:lvl w:ilvl="6" w:tplc="8AEC1ED4" w:tentative="1">
      <w:start w:val="1"/>
      <w:numFmt w:val="decimal"/>
      <w:lvlText w:val="%7."/>
      <w:lvlJc w:val="left"/>
      <w:pPr>
        <w:ind w:left="5040" w:hanging="360"/>
      </w:pPr>
    </w:lvl>
    <w:lvl w:ilvl="7" w:tplc="0BC0216A" w:tentative="1">
      <w:start w:val="1"/>
      <w:numFmt w:val="lowerLetter"/>
      <w:lvlText w:val="%8."/>
      <w:lvlJc w:val="left"/>
      <w:pPr>
        <w:ind w:left="5760" w:hanging="360"/>
      </w:pPr>
    </w:lvl>
    <w:lvl w:ilvl="8" w:tplc="6B109BB8" w:tentative="1">
      <w:start w:val="1"/>
      <w:numFmt w:val="lowerRoman"/>
      <w:lvlText w:val="%9."/>
      <w:lvlJc w:val="right"/>
      <w:pPr>
        <w:ind w:left="6480" w:hanging="180"/>
      </w:pPr>
    </w:lvl>
  </w:abstractNum>
  <w:abstractNum w:abstractNumId="16">
    <w:nsid w:val="593515A0"/>
    <w:multiLevelType w:val="hybridMultilevel"/>
    <w:tmpl w:val="A80C63BA"/>
    <w:lvl w:ilvl="0" w:tplc="F4F857AE">
      <w:start w:val="1"/>
      <w:numFmt w:val="decimal"/>
      <w:lvlText w:val="%1."/>
      <w:lvlJc w:val="left"/>
      <w:pPr>
        <w:ind w:left="720" w:hanging="360"/>
      </w:pPr>
    </w:lvl>
    <w:lvl w:ilvl="1" w:tplc="29E830D2" w:tentative="1">
      <w:start w:val="1"/>
      <w:numFmt w:val="lowerLetter"/>
      <w:lvlText w:val="%2."/>
      <w:lvlJc w:val="left"/>
      <w:pPr>
        <w:ind w:left="1440" w:hanging="360"/>
      </w:pPr>
    </w:lvl>
    <w:lvl w:ilvl="2" w:tplc="73E477A8" w:tentative="1">
      <w:start w:val="1"/>
      <w:numFmt w:val="lowerRoman"/>
      <w:lvlText w:val="%3."/>
      <w:lvlJc w:val="right"/>
      <w:pPr>
        <w:ind w:left="2160" w:hanging="180"/>
      </w:pPr>
    </w:lvl>
    <w:lvl w:ilvl="3" w:tplc="D9B46D40" w:tentative="1">
      <w:start w:val="1"/>
      <w:numFmt w:val="decimal"/>
      <w:lvlText w:val="%4."/>
      <w:lvlJc w:val="left"/>
      <w:pPr>
        <w:ind w:left="2880" w:hanging="360"/>
      </w:pPr>
    </w:lvl>
    <w:lvl w:ilvl="4" w:tplc="8FECF4B0" w:tentative="1">
      <w:start w:val="1"/>
      <w:numFmt w:val="lowerLetter"/>
      <w:lvlText w:val="%5."/>
      <w:lvlJc w:val="left"/>
      <w:pPr>
        <w:ind w:left="3600" w:hanging="360"/>
      </w:pPr>
    </w:lvl>
    <w:lvl w:ilvl="5" w:tplc="B65C54D6" w:tentative="1">
      <w:start w:val="1"/>
      <w:numFmt w:val="lowerRoman"/>
      <w:lvlText w:val="%6."/>
      <w:lvlJc w:val="right"/>
      <w:pPr>
        <w:ind w:left="4320" w:hanging="180"/>
      </w:pPr>
    </w:lvl>
    <w:lvl w:ilvl="6" w:tplc="0D76DE66" w:tentative="1">
      <w:start w:val="1"/>
      <w:numFmt w:val="decimal"/>
      <w:lvlText w:val="%7."/>
      <w:lvlJc w:val="left"/>
      <w:pPr>
        <w:ind w:left="5040" w:hanging="360"/>
      </w:pPr>
    </w:lvl>
    <w:lvl w:ilvl="7" w:tplc="6A7CAE90" w:tentative="1">
      <w:start w:val="1"/>
      <w:numFmt w:val="lowerLetter"/>
      <w:lvlText w:val="%8."/>
      <w:lvlJc w:val="left"/>
      <w:pPr>
        <w:ind w:left="5760" w:hanging="360"/>
      </w:pPr>
    </w:lvl>
    <w:lvl w:ilvl="8" w:tplc="5216662C" w:tentative="1">
      <w:start w:val="1"/>
      <w:numFmt w:val="lowerRoman"/>
      <w:lvlText w:val="%9."/>
      <w:lvlJc w:val="right"/>
      <w:pPr>
        <w:ind w:left="6480" w:hanging="180"/>
      </w:pPr>
    </w:lvl>
  </w:abstractNum>
  <w:abstractNum w:abstractNumId="17">
    <w:nsid w:val="5DE30DD6"/>
    <w:multiLevelType w:val="hybridMultilevel"/>
    <w:tmpl w:val="FED83E56"/>
    <w:lvl w:ilvl="0" w:tplc="0809000F">
      <w:start w:val="1"/>
      <w:numFmt w:val="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18">
    <w:nsid w:val="660A4D88"/>
    <w:multiLevelType w:val="hybridMultilevel"/>
    <w:tmpl w:val="2BBC2522"/>
    <w:lvl w:ilvl="0" w:tplc="7C46E89A">
      <w:start w:val="1"/>
      <w:numFmt w:val="decimal"/>
      <w:lvlText w:val="%1."/>
      <w:lvlJc w:val="left"/>
      <w:pPr>
        <w:ind w:left="720" w:hanging="360"/>
      </w:pPr>
    </w:lvl>
    <w:lvl w:ilvl="1" w:tplc="1E9224FA" w:tentative="1">
      <w:start w:val="1"/>
      <w:numFmt w:val="lowerLetter"/>
      <w:lvlText w:val="%2."/>
      <w:lvlJc w:val="left"/>
      <w:pPr>
        <w:ind w:left="1440" w:hanging="360"/>
      </w:pPr>
    </w:lvl>
    <w:lvl w:ilvl="2" w:tplc="0CD0D518" w:tentative="1">
      <w:start w:val="1"/>
      <w:numFmt w:val="lowerRoman"/>
      <w:lvlText w:val="%3."/>
      <w:lvlJc w:val="right"/>
      <w:pPr>
        <w:ind w:left="2160" w:hanging="180"/>
      </w:pPr>
    </w:lvl>
    <w:lvl w:ilvl="3" w:tplc="ADCC15BC" w:tentative="1">
      <w:start w:val="1"/>
      <w:numFmt w:val="decimal"/>
      <w:lvlText w:val="%4."/>
      <w:lvlJc w:val="left"/>
      <w:pPr>
        <w:ind w:left="2880" w:hanging="360"/>
      </w:pPr>
    </w:lvl>
    <w:lvl w:ilvl="4" w:tplc="4BAC633C" w:tentative="1">
      <w:start w:val="1"/>
      <w:numFmt w:val="lowerLetter"/>
      <w:lvlText w:val="%5."/>
      <w:lvlJc w:val="left"/>
      <w:pPr>
        <w:ind w:left="3600" w:hanging="360"/>
      </w:pPr>
    </w:lvl>
    <w:lvl w:ilvl="5" w:tplc="70F4CBF2" w:tentative="1">
      <w:start w:val="1"/>
      <w:numFmt w:val="lowerRoman"/>
      <w:lvlText w:val="%6."/>
      <w:lvlJc w:val="right"/>
      <w:pPr>
        <w:ind w:left="4320" w:hanging="180"/>
      </w:pPr>
    </w:lvl>
    <w:lvl w:ilvl="6" w:tplc="780253AA" w:tentative="1">
      <w:start w:val="1"/>
      <w:numFmt w:val="decimal"/>
      <w:lvlText w:val="%7."/>
      <w:lvlJc w:val="left"/>
      <w:pPr>
        <w:ind w:left="5040" w:hanging="360"/>
      </w:pPr>
    </w:lvl>
    <w:lvl w:ilvl="7" w:tplc="FDE83930" w:tentative="1">
      <w:start w:val="1"/>
      <w:numFmt w:val="lowerLetter"/>
      <w:lvlText w:val="%8."/>
      <w:lvlJc w:val="left"/>
      <w:pPr>
        <w:ind w:left="5760" w:hanging="360"/>
      </w:pPr>
    </w:lvl>
    <w:lvl w:ilvl="8" w:tplc="589CADDC" w:tentative="1">
      <w:start w:val="1"/>
      <w:numFmt w:val="lowerRoman"/>
      <w:lvlText w:val="%9."/>
      <w:lvlJc w:val="right"/>
      <w:pPr>
        <w:ind w:left="6480" w:hanging="180"/>
      </w:pPr>
    </w:lvl>
  </w:abstractNum>
  <w:abstractNum w:abstractNumId="19">
    <w:nsid w:val="6A20097C"/>
    <w:multiLevelType w:val="multilevel"/>
    <w:tmpl w:val="15C8DDD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i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nsid w:val="7488507D"/>
    <w:multiLevelType w:val="hybridMultilevel"/>
    <w:tmpl w:val="0D30302C"/>
    <w:lvl w:ilvl="0" w:tplc="B60C5FA6">
      <w:start w:val="1"/>
      <w:numFmt w:val="bullet"/>
      <w:lvlText w:val=""/>
      <w:lvlJc w:val="left"/>
      <w:pPr>
        <w:ind w:left="720" w:hanging="360"/>
      </w:pPr>
      <w:rPr>
        <w:rFonts w:ascii="Symbol" w:hAnsi="Symbol" w:hint="default"/>
      </w:rPr>
    </w:lvl>
    <w:lvl w:ilvl="1" w:tplc="E856AD12" w:tentative="1">
      <w:start w:val="1"/>
      <w:numFmt w:val="bullet"/>
      <w:lvlText w:val="o"/>
      <w:lvlJc w:val="left"/>
      <w:pPr>
        <w:ind w:left="1440" w:hanging="360"/>
      </w:pPr>
      <w:rPr>
        <w:rFonts w:ascii="Courier New" w:hAnsi="Courier New" w:cs="Courier New" w:hint="default"/>
      </w:rPr>
    </w:lvl>
    <w:lvl w:ilvl="2" w:tplc="FF483550" w:tentative="1">
      <w:start w:val="1"/>
      <w:numFmt w:val="bullet"/>
      <w:lvlText w:val=""/>
      <w:lvlJc w:val="left"/>
      <w:pPr>
        <w:ind w:left="2160" w:hanging="360"/>
      </w:pPr>
      <w:rPr>
        <w:rFonts w:ascii="Wingdings" w:hAnsi="Wingdings" w:hint="default"/>
      </w:rPr>
    </w:lvl>
    <w:lvl w:ilvl="3" w:tplc="988A774C" w:tentative="1">
      <w:start w:val="1"/>
      <w:numFmt w:val="bullet"/>
      <w:lvlText w:val=""/>
      <w:lvlJc w:val="left"/>
      <w:pPr>
        <w:ind w:left="2880" w:hanging="360"/>
      </w:pPr>
      <w:rPr>
        <w:rFonts w:ascii="Symbol" w:hAnsi="Symbol" w:hint="default"/>
      </w:rPr>
    </w:lvl>
    <w:lvl w:ilvl="4" w:tplc="3AC046B2" w:tentative="1">
      <w:start w:val="1"/>
      <w:numFmt w:val="bullet"/>
      <w:lvlText w:val="o"/>
      <w:lvlJc w:val="left"/>
      <w:pPr>
        <w:ind w:left="3600" w:hanging="360"/>
      </w:pPr>
      <w:rPr>
        <w:rFonts w:ascii="Courier New" w:hAnsi="Courier New" w:cs="Courier New" w:hint="default"/>
      </w:rPr>
    </w:lvl>
    <w:lvl w:ilvl="5" w:tplc="92AEAC8A" w:tentative="1">
      <w:start w:val="1"/>
      <w:numFmt w:val="bullet"/>
      <w:lvlText w:val=""/>
      <w:lvlJc w:val="left"/>
      <w:pPr>
        <w:ind w:left="4320" w:hanging="360"/>
      </w:pPr>
      <w:rPr>
        <w:rFonts w:ascii="Wingdings" w:hAnsi="Wingdings" w:hint="default"/>
      </w:rPr>
    </w:lvl>
    <w:lvl w:ilvl="6" w:tplc="A3FA604E" w:tentative="1">
      <w:start w:val="1"/>
      <w:numFmt w:val="bullet"/>
      <w:lvlText w:val=""/>
      <w:lvlJc w:val="left"/>
      <w:pPr>
        <w:ind w:left="5040" w:hanging="360"/>
      </w:pPr>
      <w:rPr>
        <w:rFonts w:ascii="Symbol" w:hAnsi="Symbol" w:hint="default"/>
      </w:rPr>
    </w:lvl>
    <w:lvl w:ilvl="7" w:tplc="100A99BA" w:tentative="1">
      <w:start w:val="1"/>
      <w:numFmt w:val="bullet"/>
      <w:lvlText w:val="o"/>
      <w:lvlJc w:val="left"/>
      <w:pPr>
        <w:ind w:left="5760" w:hanging="360"/>
      </w:pPr>
      <w:rPr>
        <w:rFonts w:ascii="Courier New" w:hAnsi="Courier New" w:cs="Courier New" w:hint="default"/>
      </w:rPr>
    </w:lvl>
    <w:lvl w:ilvl="8" w:tplc="22709026" w:tentative="1">
      <w:start w:val="1"/>
      <w:numFmt w:val="bullet"/>
      <w:lvlText w:val=""/>
      <w:lvlJc w:val="left"/>
      <w:pPr>
        <w:ind w:left="6480" w:hanging="360"/>
      </w:pPr>
      <w:rPr>
        <w:rFonts w:ascii="Wingdings" w:hAnsi="Wingdings" w:hint="default"/>
      </w:rPr>
    </w:lvl>
  </w:abstractNum>
  <w:abstractNum w:abstractNumId="21">
    <w:nsid w:val="77FE11DB"/>
    <w:multiLevelType w:val="hybridMultilevel"/>
    <w:tmpl w:val="821046EA"/>
    <w:lvl w:ilvl="0" w:tplc="7182EC50">
      <w:start w:val="1"/>
      <w:numFmt w:val="bullet"/>
      <w:lvlText w:val=""/>
      <w:lvlJc w:val="left"/>
      <w:pPr>
        <w:ind w:left="720" w:hanging="360"/>
      </w:pPr>
      <w:rPr>
        <w:rFonts w:ascii="Symbol" w:hAnsi="Symbol" w:hint="default"/>
      </w:rPr>
    </w:lvl>
    <w:lvl w:ilvl="1" w:tplc="55ECABE6" w:tentative="1">
      <w:start w:val="1"/>
      <w:numFmt w:val="bullet"/>
      <w:lvlText w:val="o"/>
      <w:lvlJc w:val="left"/>
      <w:pPr>
        <w:ind w:left="1440" w:hanging="360"/>
      </w:pPr>
      <w:rPr>
        <w:rFonts w:ascii="Courier New" w:hAnsi="Courier New" w:cs="Courier New" w:hint="default"/>
      </w:rPr>
    </w:lvl>
    <w:lvl w:ilvl="2" w:tplc="21AAB740" w:tentative="1">
      <w:start w:val="1"/>
      <w:numFmt w:val="bullet"/>
      <w:lvlText w:val=""/>
      <w:lvlJc w:val="left"/>
      <w:pPr>
        <w:ind w:left="2160" w:hanging="360"/>
      </w:pPr>
      <w:rPr>
        <w:rFonts w:ascii="Wingdings" w:hAnsi="Wingdings" w:hint="default"/>
      </w:rPr>
    </w:lvl>
    <w:lvl w:ilvl="3" w:tplc="CAB04CF8" w:tentative="1">
      <w:start w:val="1"/>
      <w:numFmt w:val="bullet"/>
      <w:lvlText w:val=""/>
      <w:lvlJc w:val="left"/>
      <w:pPr>
        <w:ind w:left="2880" w:hanging="360"/>
      </w:pPr>
      <w:rPr>
        <w:rFonts w:ascii="Symbol" w:hAnsi="Symbol" w:hint="default"/>
      </w:rPr>
    </w:lvl>
    <w:lvl w:ilvl="4" w:tplc="26308BB2" w:tentative="1">
      <w:start w:val="1"/>
      <w:numFmt w:val="bullet"/>
      <w:lvlText w:val="o"/>
      <w:lvlJc w:val="left"/>
      <w:pPr>
        <w:ind w:left="3600" w:hanging="360"/>
      </w:pPr>
      <w:rPr>
        <w:rFonts w:ascii="Courier New" w:hAnsi="Courier New" w:cs="Courier New" w:hint="default"/>
      </w:rPr>
    </w:lvl>
    <w:lvl w:ilvl="5" w:tplc="A10A9F22" w:tentative="1">
      <w:start w:val="1"/>
      <w:numFmt w:val="bullet"/>
      <w:lvlText w:val=""/>
      <w:lvlJc w:val="left"/>
      <w:pPr>
        <w:ind w:left="4320" w:hanging="360"/>
      </w:pPr>
      <w:rPr>
        <w:rFonts w:ascii="Wingdings" w:hAnsi="Wingdings" w:hint="default"/>
      </w:rPr>
    </w:lvl>
    <w:lvl w:ilvl="6" w:tplc="81B464EC" w:tentative="1">
      <w:start w:val="1"/>
      <w:numFmt w:val="bullet"/>
      <w:lvlText w:val=""/>
      <w:lvlJc w:val="left"/>
      <w:pPr>
        <w:ind w:left="5040" w:hanging="360"/>
      </w:pPr>
      <w:rPr>
        <w:rFonts w:ascii="Symbol" w:hAnsi="Symbol" w:hint="default"/>
      </w:rPr>
    </w:lvl>
    <w:lvl w:ilvl="7" w:tplc="065C4B12" w:tentative="1">
      <w:start w:val="1"/>
      <w:numFmt w:val="bullet"/>
      <w:lvlText w:val="o"/>
      <w:lvlJc w:val="left"/>
      <w:pPr>
        <w:ind w:left="5760" w:hanging="360"/>
      </w:pPr>
      <w:rPr>
        <w:rFonts w:ascii="Courier New" w:hAnsi="Courier New" w:cs="Courier New" w:hint="default"/>
      </w:rPr>
    </w:lvl>
    <w:lvl w:ilvl="8" w:tplc="7CC04028" w:tentative="1">
      <w:start w:val="1"/>
      <w:numFmt w:val="bullet"/>
      <w:lvlText w:val=""/>
      <w:lvlJc w:val="left"/>
      <w:pPr>
        <w:ind w:left="6480" w:hanging="360"/>
      </w:pPr>
      <w:rPr>
        <w:rFonts w:ascii="Wingdings" w:hAnsi="Wingdings" w:hint="default"/>
      </w:rPr>
    </w:lvl>
  </w:abstractNum>
  <w:abstractNum w:abstractNumId="22">
    <w:nsid w:val="7E6E1882"/>
    <w:multiLevelType w:val="hybridMultilevel"/>
    <w:tmpl w:val="EE76CEDA"/>
    <w:lvl w:ilvl="0" w:tplc="08090001">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num w:numId="1">
    <w:abstractNumId w:val="19"/>
  </w:num>
  <w:num w:numId="2">
    <w:abstractNumId w:val="1"/>
  </w:num>
  <w:num w:numId="3">
    <w:abstractNumId w:val="0"/>
  </w:num>
  <w:num w:numId="4">
    <w:abstractNumId w:val="15"/>
  </w:num>
  <w:num w:numId="5">
    <w:abstractNumId w:val="7"/>
  </w:num>
  <w:num w:numId="6">
    <w:abstractNumId w:val="22"/>
  </w:num>
  <w:num w:numId="7">
    <w:abstractNumId w:val="9"/>
  </w:num>
  <w:num w:numId="8">
    <w:abstractNumId w:val="4"/>
  </w:num>
  <w:num w:numId="9">
    <w:abstractNumId w:val="18"/>
  </w:num>
  <w:num w:numId="10">
    <w:abstractNumId w:val="10"/>
  </w:num>
  <w:num w:numId="11">
    <w:abstractNumId w:val="2"/>
  </w:num>
  <w:num w:numId="12">
    <w:abstractNumId w:val="14"/>
  </w:num>
  <w:num w:numId="13">
    <w:abstractNumId w:val="6"/>
  </w:num>
  <w:num w:numId="14">
    <w:abstractNumId w:val="8"/>
  </w:num>
  <w:num w:numId="15">
    <w:abstractNumId w:val="17"/>
  </w:num>
  <w:num w:numId="16">
    <w:abstractNumId w:val="3"/>
  </w:num>
  <w:num w:numId="17">
    <w:abstractNumId w:val="20"/>
  </w:num>
  <w:num w:numId="18">
    <w:abstractNumId w:val="21"/>
  </w:num>
  <w:num w:numId="19">
    <w:abstractNumId w:val="13"/>
  </w:num>
  <w:num w:numId="20">
    <w:abstractNumId w:val="12"/>
  </w:num>
  <w:num w:numId="21">
    <w:abstractNumId w:val="16"/>
  </w:num>
  <w:num w:numId="22">
    <w:abstractNumId w:val="5"/>
  </w:num>
  <w:num w:numId="23">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characterSpacingControl w:val="doNotCompress"/>
  <w:footnotePr>
    <w:footnote w:id="-1"/>
    <w:footnote w:id="0"/>
  </w:footnotePr>
  <w:endnotePr>
    <w:endnote w:id="-1"/>
    <w:endnote w:id="0"/>
  </w:endnotePr>
  <w:compat/>
  <w:rsids>
    <w:rsidRoot w:val="00177CB6"/>
    <w:rsid w:val="00001C8F"/>
    <w:rsid w:val="000052D6"/>
    <w:rsid w:val="00005967"/>
    <w:rsid w:val="000073FF"/>
    <w:rsid w:val="00007E7A"/>
    <w:rsid w:val="00010B1A"/>
    <w:rsid w:val="00012340"/>
    <w:rsid w:val="00013038"/>
    <w:rsid w:val="00014CE7"/>
    <w:rsid w:val="000211B9"/>
    <w:rsid w:val="00021922"/>
    <w:rsid w:val="00024C6A"/>
    <w:rsid w:val="00025776"/>
    <w:rsid w:val="00032E1C"/>
    <w:rsid w:val="00036458"/>
    <w:rsid w:val="00037A43"/>
    <w:rsid w:val="00040441"/>
    <w:rsid w:val="00042D40"/>
    <w:rsid w:val="00043B47"/>
    <w:rsid w:val="000508BE"/>
    <w:rsid w:val="0005248D"/>
    <w:rsid w:val="00054603"/>
    <w:rsid w:val="00054DEB"/>
    <w:rsid w:val="00062625"/>
    <w:rsid w:val="000678F4"/>
    <w:rsid w:val="00071DA3"/>
    <w:rsid w:val="0007584D"/>
    <w:rsid w:val="00084098"/>
    <w:rsid w:val="000913DF"/>
    <w:rsid w:val="0009246E"/>
    <w:rsid w:val="00093B6F"/>
    <w:rsid w:val="0009469E"/>
    <w:rsid w:val="0009574E"/>
    <w:rsid w:val="00097993"/>
    <w:rsid w:val="000A07DB"/>
    <w:rsid w:val="000A1BFC"/>
    <w:rsid w:val="000A3262"/>
    <w:rsid w:val="000B3444"/>
    <w:rsid w:val="000B3C88"/>
    <w:rsid w:val="000B6A0A"/>
    <w:rsid w:val="000B7F62"/>
    <w:rsid w:val="000C26B2"/>
    <w:rsid w:val="000C2856"/>
    <w:rsid w:val="000C5A82"/>
    <w:rsid w:val="000C7821"/>
    <w:rsid w:val="000D1B6B"/>
    <w:rsid w:val="000D234C"/>
    <w:rsid w:val="000D2CAE"/>
    <w:rsid w:val="000D392E"/>
    <w:rsid w:val="000D7FE6"/>
    <w:rsid w:val="000E5578"/>
    <w:rsid w:val="000E5FE6"/>
    <w:rsid w:val="000F42E5"/>
    <w:rsid w:val="00104136"/>
    <w:rsid w:val="00107851"/>
    <w:rsid w:val="00113069"/>
    <w:rsid w:val="001131AF"/>
    <w:rsid w:val="00113C3D"/>
    <w:rsid w:val="001152A4"/>
    <w:rsid w:val="00115B33"/>
    <w:rsid w:val="0011609E"/>
    <w:rsid w:val="00117645"/>
    <w:rsid w:val="001224E1"/>
    <w:rsid w:val="00124F9F"/>
    <w:rsid w:val="0012536B"/>
    <w:rsid w:val="001261FA"/>
    <w:rsid w:val="0013327C"/>
    <w:rsid w:val="00136DBB"/>
    <w:rsid w:val="00142817"/>
    <w:rsid w:val="00143B51"/>
    <w:rsid w:val="00147748"/>
    <w:rsid w:val="00151E9F"/>
    <w:rsid w:val="0015214E"/>
    <w:rsid w:val="001522D4"/>
    <w:rsid w:val="001535D0"/>
    <w:rsid w:val="0015361A"/>
    <w:rsid w:val="00157CF2"/>
    <w:rsid w:val="001641F6"/>
    <w:rsid w:val="00166D70"/>
    <w:rsid w:val="00170688"/>
    <w:rsid w:val="00177CB6"/>
    <w:rsid w:val="00177DD1"/>
    <w:rsid w:val="00190F0E"/>
    <w:rsid w:val="001914BF"/>
    <w:rsid w:val="00194F4A"/>
    <w:rsid w:val="00195BE8"/>
    <w:rsid w:val="001A0C60"/>
    <w:rsid w:val="001A17FA"/>
    <w:rsid w:val="001A3247"/>
    <w:rsid w:val="001A78F5"/>
    <w:rsid w:val="001B00D6"/>
    <w:rsid w:val="001B06C1"/>
    <w:rsid w:val="001B1B35"/>
    <w:rsid w:val="001B3604"/>
    <w:rsid w:val="001B71A5"/>
    <w:rsid w:val="001C0714"/>
    <w:rsid w:val="001C1EB3"/>
    <w:rsid w:val="001C28FB"/>
    <w:rsid w:val="001C2C29"/>
    <w:rsid w:val="001C3D65"/>
    <w:rsid w:val="001C69BD"/>
    <w:rsid w:val="001C7C02"/>
    <w:rsid w:val="001D0865"/>
    <w:rsid w:val="001D0D43"/>
    <w:rsid w:val="001D1A18"/>
    <w:rsid w:val="001D5A20"/>
    <w:rsid w:val="001D5C08"/>
    <w:rsid w:val="001D7B15"/>
    <w:rsid w:val="001E289C"/>
    <w:rsid w:val="001E4C79"/>
    <w:rsid w:val="001E6303"/>
    <w:rsid w:val="001E6DF4"/>
    <w:rsid w:val="001F2021"/>
    <w:rsid w:val="001F7872"/>
    <w:rsid w:val="00201589"/>
    <w:rsid w:val="002042D7"/>
    <w:rsid w:val="00207B4E"/>
    <w:rsid w:val="0021227B"/>
    <w:rsid w:val="00213BE8"/>
    <w:rsid w:val="00214609"/>
    <w:rsid w:val="002146A4"/>
    <w:rsid w:val="002146D4"/>
    <w:rsid w:val="00215467"/>
    <w:rsid w:val="00215826"/>
    <w:rsid w:val="002218B3"/>
    <w:rsid w:val="002230AB"/>
    <w:rsid w:val="00226EE0"/>
    <w:rsid w:val="00227EC4"/>
    <w:rsid w:val="00231FDE"/>
    <w:rsid w:val="002321FC"/>
    <w:rsid w:val="00237B54"/>
    <w:rsid w:val="00242518"/>
    <w:rsid w:val="002428CD"/>
    <w:rsid w:val="00244A44"/>
    <w:rsid w:val="0024632A"/>
    <w:rsid w:val="00255483"/>
    <w:rsid w:val="00256732"/>
    <w:rsid w:val="00256F4F"/>
    <w:rsid w:val="00257367"/>
    <w:rsid w:val="002600EE"/>
    <w:rsid w:val="0026095A"/>
    <w:rsid w:val="002626F7"/>
    <w:rsid w:val="0026414A"/>
    <w:rsid w:val="00264968"/>
    <w:rsid w:val="0027252C"/>
    <w:rsid w:val="00272C63"/>
    <w:rsid w:val="002731CB"/>
    <w:rsid w:val="00274763"/>
    <w:rsid w:val="00274C29"/>
    <w:rsid w:val="00276ECD"/>
    <w:rsid w:val="00280D02"/>
    <w:rsid w:val="002827CA"/>
    <w:rsid w:val="002852E1"/>
    <w:rsid w:val="0028763F"/>
    <w:rsid w:val="0029043F"/>
    <w:rsid w:val="00290DCA"/>
    <w:rsid w:val="00292711"/>
    <w:rsid w:val="00297863"/>
    <w:rsid w:val="00297F56"/>
    <w:rsid w:val="002A1C8F"/>
    <w:rsid w:val="002A1E09"/>
    <w:rsid w:val="002A210E"/>
    <w:rsid w:val="002A667B"/>
    <w:rsid w:val="002A7DD5"/>
    <w:rsid w:val="002B1230"/>
    <w:rsid w:val="002B34BD"/>
    <w:rsid w:val="002B3822"/>
    <w:rsid w:val="002B413D"/>
    <w:rsid w:val="002B5042"/>
    <w:rsid w:val="002B666E"/>
    <w:rsid w:val="002C1BE7"/>
    <w:rsid w:val="002C2246"/>
    <w:rsid w:val="002C341F"/>
    <w:rsid w:val="002C4253"/>
    <w:rsid w:val="002C7A70"/>
    <w:rsid w:val="002D2304"/>
    <w:rsid w:val="002D2888"/>
    <w:rsid w:val="002D5AFC"/>
    <w:rsid w:val="002D6321"/>
    <w:rsid w:val="002D762E"/>
    <w:rsid w:val="002E348F"/>
    <w:rsid w:val="002E655A"/>
    <w:rsid w:val="002F1C95"/>
    <w:rsid w:val="002F47B1"/>
    <w:rsid w:val="00302314"/>
    <w:rsid w:val="00304281"/>
    <w:rsid w:val="00305311"/>
    <w:rsid w:val="0030683B"/>
    <w:rsid w:val="00306CF4"/>
    <w:rsid w:val="00307B91"/>
    <w:rsid w:val="00307BDB"/>
    <w:rsid w:val="00312027"/>
    <w:rsid w:val="003126F4"/>
    <w:rsid w:val="003137ED"/>
    <w:rsid w:val="0031497E"/>
    <w:rsid w:val="00314EC6"/>
    <w:rsid w:val="00317B3D"/>
    <w:rsid w:val="0032145D"/>
    <w:rsid w:val="00323086"/>
    <w:rsid w:val="003232AB"/>
    <w:rsid w:val="0032468F"/>
    <w:rsid w:val="0032650E"/>
    <w:rsid w:val="00330BCC"/>
    <w:rsid w:val="003315B1"/>
    <w:rsid w:val="00336CB9"/>
    <w:rsid w:val="0034167E"/>
    <w:rsid w:val="003455A7"/>
    <w:rsid w:val="00346CB5"/>
    <w:rsid w:val="00347CB0"/>
    <w:rsid w:val="00360872"/>
    <w:rsid w:val="003612BA"/>
    <w:rsid w:val="00366285"/>
    <w:rsid w:val="00367A4B"/>
    <w:rsid w:val="00367F6D"/>
    <w:rsid w:val="00372277"/>
    <w:rsid w:val="00375EB5"/>
    <w:rsid w:val="00376E9B"/>
    <w:rsid w:val="00380575"/>
    <w:rsid w:val="003815C1"/>
    <w:rsid w:val="003833BD"/>
    <w:rsid w:val="00385F8A"/>
    <w:rsid w:val="003908CB"/>
    <w:rsid w:val="0039100C"/>
    <w:rsid w:val="00395924"/>
    <w:rsid w:val="00395E02"/>
    <w:rsid w:val="003A1D8A"/>
    <w:rsid w:val="003A1E33"/>
    <w:rsid w:val="003A1FA6"/>
    <w:rsid w:val="003A23B5"/>
    <w:rsid w:val="003A2CD9"/>
    <w:rsid w:val="003A433D"/>
    <w:rsid w:val="003A504F"/>
    <w:rsid w:val="003A5532"/>
    <w:rsid w:val="003A6F5F"/>
    <w:rsid w:val="003A70C8"/>
    <w:rsid w:val="003B18DD"/>
    <w:rsid w:val="003B2858"/>
    <w:rsid w:val="003B28AC"/>
    <w:rsid w:val="003B41BC"/>
    <w:rsid w:val="003B5D3B"/>
    <w:rsid w:val="003C07AE"/>
    <w:rsid w:val="003C209E"/>
    <w:rsid w:val="003C26EB"/>
    <w:rsid w:val="003C36C2"/>
    <w:rsid w:val="003C5E4C"/>
    <w:rsid w:val="003D3F30"/>
    <w:rsid w:val="003D464C"/>
    <w:rsid w:val="003E5973"/>
    <w:rsid w:val="003E6265"/>
    <w:rsid w:val="003F130C"/>
    <w:rsid w:val="003F5DF1"/>
    <w:rsid w:val="003F75B9"/>
    <w:rsid w:val="003F7B30"/>
    <w:rsid w:val="0040249B"/>
    <w:rsid w:val="004050DA"/>
    <w:rsid w:val="00406452"/>
    <w:rsid w:val="004130D7"/>
    <w:rsid w:val="00413CF6"/>
    <w:rsid w:val="0042103A"/>
    <w:rsid w:val="00421763"/>
    <w:rsid w:val="00422E88"/>
    <w:rsid w:val="004254DF"/>
    <w:rsid w:val="00427426"/>
    <w:rsid w:val="00427735"/>
    <w:rsid w:val="00427ECF"/>
    <w:rsid w:val="0043427C"/>
    <w:rsid w:val="0043699A"/>
    <w:rsid w:val="004417B6"/>
    <w:rsid w:val="00442163"/>
    <w:rsid w:val="00442EA6"/>
    <w:rsid w:val="00443AD5"/>
    <w:rsid w:val="004500E7"/>
    <w:rsid w:val="004504A0"/>
    <w:rsid w:val="00453736"/>
    <w:rsid w:val="00455207"/>
    <w:rsid w:val="00455FE1"/>
    <w:rsid w:val="00456642"/>
    <w:rsid w:val="00456EEB"/>
    <w:rsid w:val="0045750E"/>
    <w:rsid w:val="004575AE"/>
    <w:rsid w:val="00466108"/>
    <w:rsid w:val="00470582"/>
    <w:rsid w:val="00470843"/>
    <w:rsid w:val="00472D62"/>
    <w:rsid w:val="00473062"/>
    <w:rsid w:val="004735FD"/>
    <w:rsid w:val="00474B3A"/>
    <w:rsid w:val="004771C0"/>
    <w:rsid w:val="0048078C"/>
    <w:rsid w:val="004808D2"/>
    <w:rsid w:val="00487702"/>
    <w:rsid w:val="0049033C"/>
    <w:rsid w:val="00492C77"/>
    <w:rsid w:val="00494A48"/>
    <w:rsid w:val="004974EF"/>
    <w:rsid w:val="004A0DDA"/>
    <w:rsid w:val="004A44AA"/>
    <w:rsid w:val="004A5335"/>
    <w:rsid w:val="004A6C97"/>
    <w:rsid w:val="004A7C93"/>
    <w:rsid w:val="004B0117"/>
    <w:rsid w:val="004B405E"/>
    <w:rsid w:val="004B5799"/>
    <w:rsid w:val="004C0494"/>
    <w:rsid w:val="004C2261"/>
    <w:rsid w:val="004C3EE1"/>
    <w:rsid w:val="004C639E"/>
    <w:rsid w:val="004D4DF6"/>
    <w:rsid w:val="004D57BE"/>
    <w:rsid w:val="004D6994"/>
    <w:rsid w:val="004D7C08"/>
    <w:rsid w:val="004E0FB4"/>
    <w:rsid w:val="004E22C2"/>
    <w:rsid w:val="004E5D8D"/>
    <w:rsid w:val="004E6FAD"/>
    <w:rsid w:val="004F4BA8"/>
    <w:rsid w:val="004F4FC6"/>
    <w:rsid w:val="004F70CC"/>
    <w:rsid w:val="004F7E7D"/>
    <w:rsid w:val="005028B0"/>
    <w:rsid w:val="00503CAC"/>
    <w:rsid w:val="00504A06"/>
    <w:rsid w:val="00506DF5"/>
    <w:rsid w:val="00510D34"/>
    <w:rsid w:val="00512797"/>
    <w:rsid w:val="00521866"/>
    <w:rsid w:val="00521CB5"/>
    <w:rsid w:val="00522A51"/>
    <w:rsid w:val="00525E55"/>
    <w:rsid w:val="00525F24"/>
    <w:rsid w:val="00526345"/>
    <w:rsid w:val="00526878"/>
    <w:rsid w:val="00530BEB"/>
    <w:rsid w:val="00530D6B"/>
    <w:rsid w:val="00531690"/>
    <w:rsid w:val="00531F49"/>
    <w:rsid w:val="005348E9"/>
    <w:rsid w:val="00534BD4"/>
    <w:rsid w:val="00541A27"/>
    <w:rsid w:val="00542E35"/>
    <w:rsid w:val="00542EF8"/>
    <w:rsid w:val="00544C00"/>
    <w:rsid w:val="00547A86"/>
    <w:rsid w:val="005516E8"/>
    <w:rsid w:val="00551788"/>
    <w:rsid w:val="00553525"/>
    <w:rsid w:val="00557CE5"/>
    <w:rsid w:val="00565B4D"/>
    <w:rsid w:val="00567A94"/>
    <w:rsid w:val="00567BB4"/>
    <w:rsid w:val="00567FD9"/>
    <w:rsid w:val="00570A20"/>
    <w:rsid w:val="00575A12"/>
    <w:rsid w:val="005763D5"/>
    <w:rsid w:val="005826D7"/>
    <w:rsid w:val="0058509A"/>
    <w:rsid w:val="005920B4"/>
    <w:rsid w:val="00594BBA"/>
    <w:rsid w:val="00594C01"/>
    <w:rsid w:val="00595E9F"/>
    <w:rsid w:val="00596CC2"/>
    <w:rsid w:val="00597427"/>
    <w:rsid w:val="00597EA9"/>
    <w:rsid w:val="005A0871"/>
    <w:rsid w:val="005A2670"/>
    <w:rsid w:val="005A2856"/>
    <w:rsid w:val="005A41A2"/>
    <w:rsid w:val="005A4C71"/>
    <w:rsid w:val="005A4C76"/>
    <w:rsid w:val="005A50D5"/>
    <w:rsid w:val="005A5163"/>
    <w:rsid w:val="005A5D95"/>
    <w:rsid w:val="005A7F51"/>
    <w:rsid w:val="005B30CA"/>
    <w:rsid w:val="005B3C3C"/>
    <w:rsid w:val="005B5D98"/>
    <w:rsid w:val="005C05D1"/>
    <w:rsid w:val="005C20F5"/>
    <w:rsid w:val="005C49D9"/>
    <w:rsid w:val="005C5805"/>
    <w:rsid w:val="005C69D7"/>
    <w:rsid w:val="005D719D"/>
    <w:rsid w:val="005D7902"/>
    <w:rsid w:val="005E014D"/>
    <w:rsid w:val="005E0D89"/>
    <w:rsid w:val="005E0F7B"/>
    <w:rsid w:val="005E297F"/>
    <w:rsid w:val="005E29C5"/>
    <w:rsid w:val="005E2E57"/>
    <w:rsid w:val="005E30BA"/>
    <w:rsid w:val="005E3EAD"/>
    <w:rsid w:val="005E696B"/>
    <w:rsid w:val="005E7028"/>
    <w:rsid w:val="005E7B4F"/>
    <w:rsid w:val="005F2048"/>
    <w:rsid w:val="005F2835"/>
    <w:rsid w:val="005F46E6"/>
    <w:rsid w:val="00600405"/>
    <w:rsid w:val="0060118C"/>
    <w:rsid w:val="00604C57"/>
    <w:rsid w:val="00605225"/>
    <w:rsid w:val="006105ED"/>
    <w:rsid w:val="00612374"/>
    <w:rsid w:val="006149E0"/>
    <w:rsid w:val="006177AF"/>
    <w:rsid w:val="00617A14"/>
    <w:rsid w:val="006206DC"/>
    <w:rsid w:val="00625065"/>
    <w:rsid w:val="006267FA"/>
    <w:rsid w:val="00633419"/>
    <w:rsid w:val="00633497"/>
    <w:rsid w:val="00633AA9"/>
    <w:rsid w:val="00633FD9"/>
    <w:rsid w:val="00634B62"/>
    <w:rsid w:val="00634FB7"/>
    <w:rsid w:val="00637330"/>
    <w:rsid w:val="00637B09"/>
    <w:rsid w:val="0064184C"/>
    <w:rsid w:val="0064192F"/>
    <w:rsid w:val="006429A2"/>
    <w:rsid w:val="00643DC3"/>
    <w:rsid w:val="00646EEC"/>
    <w:rsid w:val="00650017"/>
    <w:rsid w:val="00654CA1"/>
    <w:rsid w:val="006563CA"/>
    <w:rsid w:val="00656468"/>
    <w:rsid w:val="006577D5"/>
    <w:rsid w:val="00657BCA"/>
    <w:rsid w:val="00657C05"/>
    <w:rsid w:val="0066073C"/>
    <w:rsid w:val="00661A7C"/>
    <w:rsid w:val="0066459C"/>
    <w:rsid w:val="00665167"/>
    <w:rsid w:val="0066531B"/>
    <w:rsid w:val="00666C1D"/>
    <w:rsid w:val="006671F9"/>
    <w:rsid w:val="00673234"/>
    <w:rsid w:val="00674826"/>
    <w:rsid w:val="00683EE1"/>
    <w:rsid w:val="006861E6"/>
    <w:rsid w:val="006909C4"/>
    <w:rsid w:val="00691C7A"/>
    <w:rsid w:val="006974D6"/>
    <w:rsid w:val="006A33E2"/>
    <w:rsid w:val="006A35BE"/>
    <w:rsid w:val="006A3EFB"/>
    <w:rsid w:val="006A531D"/>
    <w:rsid w:val="006A57DB"/>
    <w:rsid w:val="006A65D6"/>
    <w:rsid w:val="006B1B86"/>
    <w:rsid w:val="006B2861"/>
    <w:rsid w:val="006B3765"/>
    <w:rsid w:val="006B39D4"/>
    <w:rsid w:val="006B488D"/>
    <w:rsid w:val="006B558C"/>
    <w:rsid w:val="006B72ED"/>
    <w:rsid w:val="006B7E3A"/>
    <w:rsid w:val="006C0E2A"/>
    <w:rsid w:val="006C22E2"/>
    <w:rsid w:val="006C26C2"/>
    <w:rsid w:val="006C421C"/>
    <w:rsid w:val="006C71B2"/>
    <w:rsid w:val="006C73E7"/>
    <w:rsid w:val="006C771D"/>
    <w:rsid w:val="006D04E5"/>
    <w:rsid w:val="006D1747"/>
    <w:rsid w:val="006D3CC8"/>
    <w:rsid w:val="006D7743"/>
    <w:rsid w:val="006E43D3"/>
    <w:rsid w:val="006E6502"/>
    <w:rsid w:val="006E6D56"/>
    <w:rsid w:val="006F0800"/>
    <w:rsid w:val="006F169D"/>
    <w:rsid w:val="006F49A5"/>
    <w:rsid w:val="006F54BD"/>
    <w:rsid w:val="006F7843"/>
    <w:rsid w:val="0070053A"/>
    <w:rsid w:val="00703761"/>
    <w:rsid w:val="007037D2"/>
    <w:rsid w:val="00703E2C"/>
    <w:rsid w:val="0070593C"/>
    <w:rsid w:val="00715B1C"/>
    <w:rsid w:val="007173F2"/>
    <w:rsid w:val="00722662"/>
    <w:rsid w:val="00723F8A"/>
    <w:rsid w:val="0072725B"/>
    <w:rsid w:val="00730137"/>
    <w:rsid w:val="007301D5"/>
    <w:rsid w:val="00731228"/>
    <w:rsid w:val="00732327"/>
    <w:rsid w:val="00734F2E"/>
    <w:rsid w:val="00742B07"/>
    <w:rsid w:val="00742DE4"/>
    <w:rsid w:val="00746660"/>
    <w:rsid w:val="0074762E"/>
    <w:rsid w:val="007549AC"/>
    <w:rsid w:val="00755C79"/>
    <w:rsid w:val="007561AD"/>
    <w:rsid w:val="007562ED"/>
    <w:rsid w:val="0076217A"/>
    <w:rsid w:val="00762923"/>
    <w:rsid w:val="00763EB9"/>
    <w:rsid w:val="00764706"/>
    <w:rsid w:val="00764800"/>
    <w:rsid w:val="00764ABA"/>
    <w:rsid w:val="00765503"/>
    <w:rsid w:val="00770986"/>
    <w:rsid w:val="00771117"/>
    <w:rsid w:val="007745C0"/>
    <w:rsid w:val="007750F9"/>
    <w:rsid w:val="00782EC1"/>
    <w:rsid w:val="007834E2"/>
    <w:rsid w:val="00784084"/>
    <w:rsid w:val="00784B00"/>
    <w:rsid w:val="00790DBD"/>
    <w:rsid w:val="00792A29"/>
    <w:rsid w:val="00793533"/>
    <w:rsid w:val="007947C4"/>
    <w:rsid w:val="00795C45"/>
    <w:rsid w:val="00796A9C"/>
    <w:rsid w:val="007A018A"/>
    <w:rsid w:val="007A0840"/>
    <w:rsid w:val="007A14D2"/>
    <w:rsid w:val="007A1FE4"/>
    <w:rsid w:val="007A3E0B"/>
    <w:rsid w:val="007A450B"/>
    <w:rsid w:val="007A5A21"/>
    <w:rsid w:val="007A6EE5"/>
    <w:rsid w:val="007B1591"/>
    <w:rsid w:val="007B184A"/>
    <w:rsid w:val="007B19F5"/>
    <w:rsid w:val="007B1D68"/>
    <w:rsid w:val="007B2309"/>
    <w:rsid w:val="007B2647"/>
    <w:rsid w:val="007B2B8B"/>
    <w:rsid w:val="007B55DE"/>
    <w:rsid w:val="007C1A3C"/>
    <w:rsid w:val="007E0671"/>
    <w:rsid w:val="007E1B8C"/>
    <w:rsid w:val="007E219A"/>
    <w:rsid w:val="007E65D1"/>
    <w:rsid w:val="007F1872"/>
    <w:rsid w:val="007F49F1"/>
    <w:rsid w:val="007F5CA1"/>
    <w:rsid w:val="007F6E7C"/>
    <w:rsid w:val="007F7EDC"/>
    <w:rsid w:val="0080018E"/>
    <w:rsid w:val="00800A66"/>
    <w:rsid w:val="00801243"/>
    <w:rsid w:val="008036BB"/>
    <w:rsid w:val="00812342"/>
    <w:rsid w:val="00813C47"/>
    <w:rsid w:val="008163BD"/>
    <w:rsid w:val="00817534"/>
    <w:rsid w:val="00820476"/>
    <w:rsid w:val="008211DB"/>
    <w:rsid w:val="008216AD"/>
    <w:rsid w:val="008221A2"/>
    <w:rsid w:val="008225B1"/>
    <w:rsid w:val="00826C5C"/>
    <w:rsid w:val="008310E2"/>
    <w:rsid w:val="008351DF"/>
    <w:rsid w:val="0083734F"/>
    <w:rsid w:val="008414B7"/>
    <w:rsid w:val="00844488"/>
    <w:rsid w:val="008447F8"/>
    <w:rsid w:val="00847B6F"/>
    <w:rsid w:val="00854389"/>
    <w:rsid w:val="00857A0B"/>
    <w:rsid w:val="00860E8E"/>
    <w:rsid w:val="0086161E"/>
    <w:rsid w:val="008624E3"/>
    <w:rsid w:val="00864413"/>
    <w:rsid w:val="00867818"/>
    <w:rsid w:val="00872912"/>
    <w:rsid w:val="00872A0F"/>
    <w:rsid w:val="0087545C"/>
    <w:rsid w:val="00875618"/>
    <w:rsid w:val="00877786"/>
    <w:rsid w:val="0089562B"/>
    <w:rsid w:val="00895C21"/>
    <w:rsid w:val="00897AB1"/>
    <w:rsid w:val="00897B0D"/>
    <w:rsid w:val="008A0332"/>
    <w:rsid w:val="008A3AD2"/>
    <w:rsid w:val="008A4292"/>
    <w:rsid w:val="008A50B2"/>
    <w:rsid w:val="008A5EC5"/>
    <w:rsid w:val="008A75F1"/>
    <w:rsid w:val="008B14EF"/>
    <w:rsid w:val="008B1FC8"/>
    <w:rsid w:val="008B2CE3"/>
    <w:rsid w:val="008B5C99"/>
    <w:rsid w:val="008B694E"/>
    <w:rsid w:val="008B7D59"/>
    <w:rsid w:val="008C1922"/>
    <w:rsid w:val="008C305A"/>
    <w:rsid w:val="008C42F1"/>
    <w:rsid w:val="008C48FD"/>
    <w:rsid w:val="008C5C18"/>
    <w:rsid w:val="008D0320"/>
    <w:rsid w:val="008D18E4"/>
    <w:rsid w:val="008E0168"/>
    <w:rsid w:val="008E26BD"/>
    <w:rsid w:val="008E451A"/>
    <w:rsid w:val="008F0B2C"/>
    <w:rsid w:val="008F1DD9"/>
    <w:rsid w:val="008F1E79"/>
    <w:rsid w:val="008F6D45"/>
    <w:rsid w:val="00900639"/>
    <w:rsid w:val="00903AF6"/>
    <w:rsid w:val="00910C42"/>
    <w:rsid w:val="00911801"/>
    <w:rsid w:val="009119C6"/>
    <w:rsid w:val="00913511"/>
    <w:rsid w:val="00922C18"/>
    <w:rsid w:val="00927082"/>
    <w:rsid w:val="009343E7"/>
    <w:rsid w:val="0093586C"/>
    <w:rsid w:val="00936413"/>
    <w:rsid w:val="00940A94"/>
    <w:rsid w:val="009422EB"/>
    <w:rsid w:val="00942ACD"/>
    <w:rsid w:val="0094764C"/>
    <w:rsid w:val="00950E2E"/>
    <w:rsid w:val="009516DA"/>
    <w:rsid w:val="00953F41"/>
    <w:rsid w:val="0096782A"/>
    <w:rsid w:val="00970669"/>
    <w:rsid w:val="00974BC8"/>
    <w:rsid w:val="00981278"/>
    <w:rsid w:val="00982A8D"/>
    <w:rsid w:val="00990910"/>
    <w:rsid w:val="00991F0B"/>
    <w:rsid w:val="00992411"/>
    <w:rsid w:val="009924A5"/>
    <w:rsid w:val="009925A5"/>
    <w:rsid w:val="00996D26"/>
    <w:rsid w:val="009A039A"/>
    <w:rsid w:val="009A1FEC"/>
    <w:rsid w:val="009A397C"/>
    <w:rsid w:val="009A67AB"/>
    <w:rsid w:val="009B0EF3"/>
    <w:rsid w:val="009B15AC"/>
    <w:rsid w:val="009B1C4E"/>
    <w:rsid w:val="009B2720"/>
    <w:rsid w:val="009B2C90"/>
    <w:rsid w:val="009B3BE2"/>
    <w:rsid w:val="009B3F23"/>
    <w:rsid w:val="009B72C7"/>
    <w:rsid w:val="009C2E2E"/>
    <w:rsid w:val="009C3B03"/>
    <w:rsid w:val="009C64AD"/>
    <w:rsid w:val="009C71DB"/>
    <w:rsid w:val="009D06E0"/>
    <w:rsid w:val="009D218D"/>
    <w:rsid w:val="009D398D"/>
    <w:rsid w:val="009D5BF8"/>
    <w:rsid w:val="009D5F0C"/>
    <w:rsid w:val="009E4558"/>
    <w:rsid w:val="009E5A25"/>
    <w:rsid w:val="009F1752"/>
    <w:rsid w:val="009F40AC"/>
    <w:rsid w:val="009F66AC"/>
    <w:rsid w:val="009F7F04"/>
    <w:rsid w:val="00A02F07"/>
    <w:rsid w:val="00A0393A"/>
    <w:rsid w:val="00A039DD"/>
    <w:rsid w:val="00A15753"/>
    <w:rsid w:val="00A16D85"/>
    <w:rsid w:val="00A20A0C"/>
    <w:rsid w:val="00A26C0E"/>
    <w:rsid w:val="00A30089"/>
    <w:rsid w:val="00A30417"/>
    <w:rsid w:val="00A3131A"/>
    <w:rsid w:val="00A329FA"/>
    <w:rsid w:val="00A32DBE"/>
    <w:rsid w:val="00A33A18"/>
    <w:rsid w:val="00A34B77"/>
    <w:rsid w:val="00A34BF8"/>
    <w:rsid w:val="00A3649D"/>
    <w:rsid w:val="00A4044C"/>
    <w:rsid w:val="00A43110"/>
    <w:rsid w:val="00A46ADD"/>
    <w:rsid w:val="00A47DBA"/>
    <w:rsid w:val="00A50610"/>
    <w:rsid w:val="00A50A85"/>
    <w:rsid w:val="00A50E49"/>
    <w:rsid w:val="00A52176"/>
    <w:rsid w:val="00A6238E"/>
    <w:rsid w:val="00A65642"/>
    <w:rsid w:val="00A6639B"/>
    <w:rsid w:val="00A67185"/>
    <w:rsid w:val="00A713E4"/>
    <w:rsid w:val="00A733D1"/>
    <w:rsid w:val="00A747A7"/>
    <w:rsid w:val="00A7567E"/>
    <w:rsid w:val="00A778DF"/>
    <w:rsid w:val="00A81AFD"/>
    <w:rsid w:val="00A81BEF"/>
    <w:rsid w:val="00A8236C"/>
    <w:rsid w:val="00A84A70"/>
    <w:rsid w:val="00A91BE9"/>
    <w:rsid w:val="00A92BEF"/>
    <w:rsid w:val="00A944F3"/>
    <w:rsid w:val="00A95CDF"/>
    <w:rsid w:val="00A96598"/>
    <w:rsid w:val="00AA4640"/>
    <w:rsid w:val="00AA797A"/>
    <w:rsid w:val="00AA7CD5"/>
    <w:rsid w:val="00AB1884"/>
    <w:rsid w:val="00AB2055"/>
    <w:rsid w:val="00AB46DA"/>
    <w:rsid w:val="00AB54FC"/>
    <w:rsid w:val="00AB680F"/>
    <w:rsid w:val="00AB6AFE"/>
    <w:rsid w:val="00AB7D6C"/>
    <w:rsid w:val="00AC0519"/>
    <w:rsid w:val="00AC189C"/>
    <w:rsid w:val="00AC5285"/>
    <w:rsid w:val="00AD2A8F"/>
    <w:rsid w:val="00AD3309"/>
    <w:rsid w:val="00AD3BD2"/>
    <w:rsid w:val="00AD6750"/>
    <w:rsid w:val="00AD7323"/>
    <w:rsid w:val="00AD7DAE"/>
    <w:rsid w:val="00AD7EF2"/>
    <w:rsid w:val="00AE0264"/>
    <w:rsid w:val="00AE181A"/>
    <w:rsid w:val="00AE38C3"/>
    <w:rsid w:val="00AE4F60"/>
    <w:rsid w:val="00AE6A48"/>
    <w:rsid w:val="00AE7EC2"/>
    <w:rsid w:val="00AF3E49"/>
    <w:rsid w:val="00AF4010"/>
    <w:rsid w:val="00AF79B4"/>
    <w:rsid w:val="00B016BC"/>
    <w:rsid w:val="00B058DC"/>
    <w:rsid w:val="00B07999"/>
    <w:rsid w:val="00B10B3E"/>
    <w:rsid w:val="00B147D9"/>
    <w:rsid w:val="00B14833"/>
    <w:rsid w:val="00B14F7A"/>
    <w:rsid w:val="00B15AA6"/>
    <w:rsid w:val="00B24155"/>
    <w:rsid w:val="00B30AFD"/>
    <w:rsid w:val="00B34396"/>
    <w:rsid w:val="00B34F43"/>
    <w:rsid w:val="00B3539E"/>
    <w:rsid w:val="00B35682"/>
    <w:rsid w:val="00B36D6B"/>
    <w:rsid w:val="00B41E2B"/>
    <w:rsid w:val="00B427CD"/>
    <w:rsid w:val="00B42D05"/>
    <w:rsid w:val="00B45C3E"/>
    <w:rsid w:val="00B52A6C"/>
    <w:rsid w:val="00B53387"/>
    <w:rsid w:val="00B55762"/>
    <w:rsid w:val="00B56049"/>
    <w:rsid w:val="00B56AE2"/>
    <w:rsid w:val="00B56BB8"/>
    <w:rsid w:val="00B57EFF"/>
    <w:rsid w:val="00B606BB"/>
    <w:rsid w:val="00B6222B"/>
    <w:rsid w:val="00B663A8"/>
    <w:rsid w:val="00B6657E"/>
    <w:rsid w:val="00B670BF"/>
    <w:rsid w:val="00B7665B"/>
    <w:rsid w:val="00B773D6"/>
    <w:rsid w:val="00B828F8"/>
    <w:rsid w:val="00B83D9B"/>
    <w:rsid w:val="00B84C3F"/>
    <w:rsid w:val="00B8518F"/>
    <w:rsid w:val="00B8531B"/>
    <w:rsid w:val="00B87178"/>
    <w:rsid w:val="00B92A6A"/>
    <w:rsid w:val="00B93132"/>
    <w:rsid w:val="00B95714"/>
    <w:rsid w:val="00B957B1"/>
    <w:rsid w:val="00B96F57"/>
    <w:rsid w:val="00B97D72"/>
    <w:rsid w:val="00BA00B5"/>
    <w:rsid w:val="00BB01DD"/>
    <w:rsid w:val="00BB0A52"/>
    <w:rsid w:val="00BB2F78"/>
    <w:rsid w:val="00BB300C"/>
    <w:rsid w:val="00BB35DC"/>
    <w:rsid w:val="00BB3884"/>
    <w:rsid w:val="00BB474F"/>
    <w:rsid w:val="00BB5FE9"/>
    <w:rsid w:val="00BB71FB"/>
    <w:rsid w:val="00BC01D8"/>
    <w:rsid w:val="00BC02CA"/>
    <w:rsid w:val="00BC3B3C"/>
    <w:rsid w:val="00BC7014"/>
    <w:rsid w:val="00BD5893"/>
    <w:rsid w:val="00BE2A0A"/>
    <w:rsid w:val="00BE3DC1"/>
    <w:rsid w:val="00BE47A5"/>
    <w:rsid w:val="00BF0E13"/>
    <w:rsid w:val="00BF17A8"/>
    <w:rsid w:val="00BF3DF0"/>
    <w:rsid w:val="00C008DE"/>
    <w:rsid w:val="00C01ECE"/>
    <w:rsid w:val="00C027B2"/>
    <w:rsid w:val="00C04304"/>
    <w:rsid w:val="00C04DE0"/>
    <w:rsid w:val="00C073F8"/>
    <w:rsid w:val="00C1179E"/>
    <w:rsid w:val="00C1481F"/>
    <w:rsid w:val="00C179B3"/>
    <w:rsid w:val="00C22C0A"/>
    <w:rsid w:val="00C22ED8"/>
    <w:rsid w:val="00C245FB"/>
    <w:rsid w:val="00C24F2B"/>
    <w:rsid w:val="00C250C5"/>
    <w:rsid w:val="00C259E7"/>
    <w:rsid w:val="00C3380A"/>
    <w:rsid w:val="00C42886"/>
    <w:rsid w:val="00C4295A"/>
    <w:rsid w:val="00C44420"/>
    <w:rsid w:val="00C45FB3"/>
    <w:rsid w:val="00C47DEE"/>
    <w:rsid w:val="00C47E6F"/>
    <w:rsid w:val="00C5051E"/>
    <w:rsid w:val="00C51D85"/>
    <w:rsid w:val="00C52035"/>
    <w:rsid w:val="00C52D76"/>
    <w:rsid w:val="00C53210"/>
    <w:rsid w:val="00C54F03"/>
    <w:rsid w:val="00C63356"/>
    <w:rsid w:val="00C70ED9"/>
    <w:rsid w:val="00C7131B"/>
    <w:rsid w:val="00C71B7B"/>
    <w:rsid w:val="00C74A79"/>
    <w:rsid w:val="00C82FF6"/>
    <w:rsid w:val="00C834C7"/>
    <w:rsid w:val="00C86DEC"/>
    <w:rsid w:val="00C86F3F"/>
    <w:rsid w:val="00C90059"/>
    <w:rsid w:val="00C94924"/>
    <w:rsid w:val="00C96B32"/>
    <w:rsid w:val="00C96FF4"/>
    <w:rsid w:val="00C97BC6"/>
    <w:rsid w:val="00CA27CB"/>
    <w:rsid w:val="00CA58C4"/>
    <w:rsid w:val="00CA6C6F"/>
    <w:rsid w:val="00CC2C8D"/>
    <w:rsid w:val="00CC5BC4"/>
    <w:rsid w:val="00CC6403"/>
    <w:rsid w:val="00CC7312"/>
    <w:rsid w:val="00CD04BA"/>
    <w:rsid w:val="00CD1EBB"/>
    <w:rsid w:val="00CE35A1"/>
    <w:rsid w:val="00CE3902"/>
    <w:rsid w:val="00CE7478"/>
    <w:rsid w:val="00CF6EE2"/>
    <w:rsid w:val="00CF7219"/>
    <w:rsid w:val="00D01B46"/>
    <w:rsid w:val="00D0579D"/>
    <w:rsid w:val="00D05920"/>
    <w:rsid w:val="00D10073"/>
    <w:rsid w:val="00D10D6A"/>
    <w:rsid w:val="00D1147B"/>
    <w:rsid w:val="00D12C26"/>
    <w:rsid w:val="00D15495"/>
    <w:rsid w:val="00D22E36"/>
    <w:rsid w:val="00D23702"/>
    <w:rsid w:val="00D24F2C"/>
    <w:rsid w:val="00D30D56"/>
    <w:rsid w:val="00D31A10"/>
    <w:rsid w:val="00D3209A"/>
    <w:rsid w:val="00D3660E"/>
    <w:rsid w:val="00D400A2"/>
    <w:rsid w:val="00D407EA"/>
    <w:rsid w:val="00D40C51"/>
    <w:rsid w:val="00D454E3"/>
    <w:rsid w:val="00D45E68"/>
    <w:rsid w:val="00D47F15"/>
    <w:rsid w:val="00D503A6"/>
    <w:rsid w:val="00D506CC"/>
    <w:rsid w:val="00D51A8E"/>
    <w:rsid w:val="00D54394"/>
    <w:rsid w:val="00D548B5"/>
    <w:rsid w:val="00D563FA"/>
    <w:rsid w:val="00D575C1"/>
    <w:rsid w:val="00D57C0C"/>
    <w:rsid w:val="00D616A6"/>
    <w:rsid w:val="00D62157"/>
    <w:rsid w:val="00D6305D"/>
    <w:rsid w:val="00D64FA4"/>
    <w:rsid w:val="00D66985"/>
    <w:rsid w:val="00D71200"/>
    <w:rsid w:val="00D72F07"/>
    <w:rsid w:val="00D73A8F"/>
    <w:rsid w:val="00D75439"/>
    <w:rsid w:val="00D779DF"/>
    <w:rsid w:val="00D83774"/>
    <w:rsid w:val="00D83B66"/>
    <w:rsid w:val="00D8704A"/>
    <w:rsid w:val="00D87DDC"/>
    <w:rsid w:val="00D922BA"/>
    <w:rsid w:val="00D93535"/>
    <w:rsid w:val="00DA16DB"/>
    <w:rsid w:val="00DA1F51"/>
    <w:rsid w:val="00DA2011"/>
    <w:rsid w:val="00DA2862"/>
    <w:rsid w:val="00DA3026"/>
    <w:rsid w:val="00DA5337"/>
    <w:rsid w:val="00DA6022"/>
    <w:rsid w:val="00DB067B"/>
    <w:rsid w:val="00DB181C"/>
    <w:rsid w:val="00DB3DB2"/>
    <w:rsid w:val="00DB7A95"/>
    <w:rsid w:val="00DC0A9E"/>
    <w:rsid w:val="00DC0D16"/>
    <w:rsid w:val="00DC16AA"/>
    <w:rsid w:val="00DC26BB"/>
    <w:rsid w:val="00DC71B4"/>
    <w:rsid w:val="00DC7AEC"/>
    <w:rsid w:val="00DD14AF"/>
    <w:rsid w:val="00DD3186"/>
    <w:rsid w:val="00DD4175"/>
    <w:rsid w:val="00DD6BCA"/>
    <w:rsid w:val="00DE064C"/>
    <w:rsid w:val="00DE44FD"/>
    <w:rsid w:val="00DE657E"/>
    <w:rsid w:val="00DE71FB"/>
    <w:rsid w:val="00DF2CED"/>
    <w:rsid w:val="00DF5F2A"/>
    <w:rsid w:val="00DF6C17"/>
    <w:rsid w:val="00E0069D"/>
    <w:rsid w:val="00E010FC"/>
    <w:rsid w:val="00E01E46"/>
    <w:rsid w:val="00E0200E"/>
    <w:rsid w:val="00E03763"/>
    <w:rsid w:val="00E03CD0"/>
    <w:rsid w:val="00E07F3C"/>
    <w:rsid w:val="00E11189"/>
    <w:rsid w:val="00E11B3A"/>
    <w:rsid w:val="00E13648"/>
    <w:rsid w:val="00E13B73"/>
    <w:rsid w:val="00E25F9C"/>
    <w:rsid w:val="00E26616"/>
    <w:rsid w:val="00E31F6D"/>
    <w:rsid w:val="00E3285D"/>
    <w:rsid w:val="00E365F4"/>
    <w:rsid w:val="00E36C4C"/>
    <w:rsid w:val="00E36F1C"/>
    <w:rsid w:val="00E36FB6"/>
    <w:rsid w:val="00E379C3"/>
    <w:rsid w:val="00E4651C"/>
    <w:rsid w:val="00E5134C"/>
    <w:rsid w:val="00E52CC1"/>
    <w:rsid w:val="00E52F6B"/>
    <w:rsid w:val="00E550E7"/>
    <w:rsid w:val="00E61543"/>
    <w:rsid w:val="00E62BE5"/>
    <w:rsid w:val="00E62E54"/>
    <w:rsid w:val="00E63DB0"/>
    <w:rsid w:val="00E63FE0"/>
    <w:rsid w:val="00E66B02"/>
    <w:rsid w:val="00E718FD"/>
    <w:rsid w:val="00E749D9"/>
    <w:rsid w:val="00E826F0"/>
    <w:rsid w:val="00E866AD"/>
    <w:rsid w:val="00E90BA9"/>
    <w:rsid w:val="00E92C6E"/>
    <w:rsid w:val="00E92F9D"/>
    <w:rsid w:val="00E932E5"/>
    <w:rsid w:val="00E9550A"/>
    <w:rsid w:val="00EA0E71"/>
    <w:rsid w:val="00EA1925"/>
    <w:rsid w:val="00EA1D4E"/>
    <w:rsid w:val="00EA2A26"/>
    <w:rsid w:val="00EA3E00"/>
    <w:rsid w:val="00EA5273"/>
    <w:rsid w:val="00EA5416"/>
    <w:rsid w:val="00EA6278"/>
    <w:rsid w:val="00EA7A7D"/>
    <w:rsid w:val="00EB585E"/>
    <w:rsid w:val="00EB5FC3"/>
    <w:rsid w:val="00EB64CD"/>
    <w:rsid w:val="00EB74B4"/>
    <w:rsid w:val="00EC023E"/>
    <w:rsid w:val="00EC16F1"/>
    <w:rsid w:val="00EC213E"/>
    <w:rsid w:val="00EC34F8"/>
    <w:rsid w:val="00EC5646"/>
    <w:rsid w:val="00ED002A"/>
    <w:rsid w:val="00ED0144"/>
    <w:rsid w:val="00ED245D"/>
    <w:rsid w:val="00ED283A"/>
    <w:rsid w:val="00ED7033"/>
    <w:rsid w:val="00EF17CD"/>
    <w:rsid w:val="00EF6601"/>
    <w:rsid w:val="00EF6E00"/>
    <w:rsid w:val="00EF6E7C"/>
    <w:rsid w:val="00EF7819"/>
    <w:rsid w:val="00F0444A"/>
    <w:rsid w:val="00F05D7D"/>
    <w:rsid w:val="00F0664D"/>
    <w:rsid w:val="00F06C9D"/>
    <w:rsid w:val="00F07AE0"/>
    <w:rsid w:val="00F13D73"/>
    <w:rsid w:val="00F14978"/>
    <w:rsid w:val="00F159E4"/>
    <w:rsid w:val="00F1606B"/>
    <w:rsid w:val="00F20DB7"/>
    <w:rsid w:val="00F31D98"/>
    <w:rsid w:val="00F32274"/>
    <w:rsid w:val="00F3686C"/>
    <w:rsid w:val="00F36C45"/>
    <w:rsid w:val="00F40654"/>
    <w:rsid w:val="00F44CE0"/>
    <w:rsid w:val="00F46193"/>
    <w:rsid w:val="00F54C76"/>
    <w:rsid w:val="00F57C96"/>
    <w:rsid w:val="00F57D69"/>
    <w:rsid w:val="00F57F1D"/>
    <w:rsid w:val="00F60816"/>
    <w:rsid w:val="00F616FC"/>
    <w:rsid w:val="00F652EF"/>
    <w:rsid w:val="00F66F5A"/>
    <w:rsid w:val="00F76B91"/>
    <w:rsid w:val="00F76BAE"/>
    <w:rsid w:val="00F81AFF"/>
    <w:rsid w:val="00F86EDA"/>
    <w:rsid w:val="00F919E5"/>
    <w:rsid w:val="00F91B00"/>
    <w:rsid w:val="00F95EBD"/>
    <w:rsid w:val="00F96B23"/>
    <w:rsid w:val="00FA3485"/>
    <w:rsid w:val="00FA4F90"/>
    <w:rsid w:val="00FA5D94"/>
    <w:rsid w:val="00FB1494"/>
    <w:rsid w:val="00FB4E49"/>
    <w:rsid w:val="00FC11C6"/>
    <w:rsid w:val="00FC2112"/>
    <w:rsid w:val="00FC55B4"/>
    <w:rsid w:val="00FC57CC"/>
    <w:rsid w:val="00FC665F"/>
    <w:rsid w:val="00FC7A43"/>
    <w:rsid w:val="00FD2BB9"/>
    <w:rsid w:val="00FD4EE3"/>
    <w:rsid w:val="00FD54DA"/>
    <w:rsid w:val="00FD5898"/>
    <w:rsid w:val="00FE4605"/>
    <w:rsid w:val="00FF13C0"/>
    <w:rsid w:val="00FF431C"/>
    <w:rsid w:val="00FF4596"/>
    <w:rsid w:val="00FF553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67AB"/>
    <w:pPr>
      <w:spacing w:line="360" w:lineRule="auto"/>
    </w:pPr>
  </w:style>
  <w:style w:type="paragraph" w:styleId="Heading1">
    <w:name w:val="heading 1"/>
    <w:basedOn w:val="Normal"/>
    <w:next w:val="Normal"/>
    <w:link w:val="Heading1Char"/>
    <w:uiPriority w:val="9"/>
    <w:qFormat/>
    <w:rsid w:val="003B18DD"/>
    <w:pPr>
      <w:keepNext/>
      <w:keepLines/>
      <w:numPr>
        <w:numId w:val="1"/>
      </w:numPr>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3B18DD"/>
    <w:pPr>
      <w:keepNext/>
      <w:keepLines/>
      <w:numPr>
        <w:ilvl w:val="1"/>
        <w:numId w:val="1"/>
      </w:num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3B18DD"/>
    <w:pPr>
      <w:keepNext/>
      <w:keepLines/>
      <w:numPr>
        <w:ilvl w:val="2"/>
        <w:numId w:val="1"/>
      </w:numPr>
      <w:spacing w:before="200" w:after="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177CB6"/>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177CB6"/>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77CB6"/>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77CB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77CB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77CB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18DD"/>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3B18DD"/>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3B18DD"/>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177CB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177CB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177CB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177CB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77CB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77CB6"/>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177CB6"/>
    <w:pPr>
      <w:ind w:left="720"/>
      <w:contextualSpacing/>
    </w:pPr>
  </w:style>
  <w:style w:type="paragraph" w:styleId="NoSpacing">
    <w:name w:val="No Spacing"/>
    <w:aliases w:val="1.5 spacing"/>
    <w:basedOn w:val="Normal"/>
    <w:next w:val="Normal"/>
    <w:uiPriority w:val="1"/>
    <w:qFormat/>
    <w:rsid w:val="009422EB"/>
    <w:pPr>
      <w:spacing w:after="0"/>
    </w:pPr>
  </w:style>
  <w:style w:type="table" w:styleId="TableGrid">
    <w:name w:val="Table Grid"/>
    <w:basedOn w:val="TableNormal"/>
    <w:rsid w:val="003B18DD"/>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195BE8"/>
    <w:pPr>
      <w:tabs>
        <w:tab w:val="center" w:pos="4153"/>
        <w:tab w:val="right" w:pos="8306"/>
      </w:tabs>
      <w:spacing w:after="0" w:line="240" w:lineRule="auto"/>
    </w:pPr>
    <w:rPr>
      <w:rFonts w:ascii="Times New Roman" w:eastAsia="Times New Roman" w:hAnsi="Times New Roman" w:cs="Times New Roman"/>
      <w:sz w:val="24"/>
      <w:szCs w:val="20"/>
    </w:rPr>
  </w:style>
  <w:style w:type="character" w:customStyle="1" w:styleId="FooterChar">
    <w:name w:val="Footer Char"/>
    <w:basedOn w:val="DefaultParagraphFont"/>
    <w:link w:val="Footer"/>
    <w:uiPriority w:val="99"/>
    <w:rsid w:val="00195BE8"/>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494A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4A48"/>
    <w:rPr>
      <w:rFonts w:ascii="Tahoma" w:hAnsi="Tahoma" w:cs="Tahoma"/>
      <w:sz w:val="16"/>
      <w:szCs w:val="16"/>
    </w:rPr>
  </w:style>
  <w:style w:type="paragraph" w:styleId="NormalWeb">
    <w:name w:val="Normal (Web)"/>
    <w:basedOn w:val="Normal"/>
    <w:uiPriority w:val="99"/>
    <w:unhideWhenUsed/>
    <w:rsid w:val="008B14EF"/>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Header">
    <w:name w:val="header"/>
    <w:basedOn w:val="Normal"/>
    <w:link w:val="HeaderChar"/>
    <w:uiPriority w:val="99"/>
    <w:semiHidden/>
    <w:unhideWhenUsed/>
    <w:rsid w:val="00DA16DB"/>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A16DB"/>
  </w:style>
  <w:style w:type="character" w:styleId="Hyperlink">
    <w:name w:val="Hyperlink"/>
    <w:basedOn w:val="DefaultParagraphFont"/>
    <w:uiPriority w:val="99"/>
    <w:unhideWhenUsed/>
    <w:rsid w:val="00147748"/>
    <w:rPr>
      <w:color w:val="0000FF" w:themeColor="hyperlink"/>
      <w:u w:val="single"/>
    </w:rPr>
  </w:style>
  <w:style w:type="paragraph" w:styleId="Subtitle">
    <w:name w:val="Subtitle"/>
    <w:basedOn w:val="Normal"/>
    <w:next w:val="Normal"/>
    <w:link w:val="SubtitleChar"/>
    <w:uiPriority w:val="11"/>
    <w:qFormat/>
    <w:rsid w:val="00597427"/>
    <w:pPr>
      <w:numPr>
        <w:ilvl w:val="1"/>
      </w:numPr>
      <w:spacing w:line="276" w:lineRule="auto"/>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97427"/>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6B72ED"/>
    <w:pPr>
      <w:numPr>
        <w:numId w:val="0"/>
      </w:numPr>
      <w:spacing w:line="276" w:lineRule="auto"/>
      <w:outlineLvl w:val="9"/>
    </w:pPr>
    <w:rPr>
      <w:color w:val="365F91" w:themeColor="accent1" w:themeShade="BF"/>
      <w:lang w:val="en-US"/>
    </w:rPr>
  </w:style>
  <w:style w:type="paragraph" w:styleId="TOC1">
    <w:name w:val="toc 1"/>
    <w:basedOn w:val="Normal"/>
    <w:next w:val="Normal"/>
    <w:autoRedefine/>
    <w:uiPriority w:val="39"/>
    <w:unhideWhenUsed/>
    <w:rsid w:val="006B72ED"/>
    <w:pPr>
      <w:spacing w:after="100"/>
    </w:pPr>
  </w:style>
  <w:style w:type="paragraph" w:styleId="TOC2">
    <w:name w:val="toc 2"/>
    <w:basedOn w:val="Normal"/>
    <w:next w:val="Normal"/>
    <w:autoRedefine/>
    <w:uiPriority w:val="39"/>
    <w:unhideWhenUsed/>
    <w:rsid w:val="006B72ED"/>
    <w:pPr>
      <w:spacing w:after="100"/>
      <w:ind w:left="220"/>
    </w:pPr>
  </w:style>
  <w:style w:type="paragraph" w:styleId="TOC3">
    <w:name w:val="toc 3"/>
    <w:basedOn w:val="Normal"/>
    <w:next w:val="Normal"/>
    <w:autoRedefine/>
    <w:uiPriority w:val="39"/>
    <w:unhideWhenUsed/>
    <w:rsid w:val="006B72ED"/>
    <w:pPr>
      <w:spacing w:after="100"/>
      <w:ind w:left="440"/>
    </w:pPr>
  </w:style>
  <w:style w:type="numbering" w:customStyle="1" w:styleId="NoList1">
    <w:name w:val="No List1"/>
    <w:next w:val="NoList"/>
    <w:uiPriority w:val="99"/>
    <w:semiHidden/>
    <w:unhideWhenUsed/>
    <w:rsid w:val="000C26B2"/>
  </w:style>
  <w:style w:type="paragraph" w:styleId="TOC4">
    <w:name w:val="toc 4"/>
    <w:basedOn w:val="Normal"/>
    <w:next w:val="Normal"/>
    <w:autoRedefine/>
    <w:uiPriority w:val="39"/>
    <w:unhideWhenUsed/>
    <w:rsid w:val="000C26B2"/>
    <w:pPr>
      <w:spacing w:after="100" w:line="276" w:lineRule="auto"/>
      <w:ind w:left="660"/>
    </w:pPr>
    <w:rPr>
      <w:rFonts w:eastAsiaTheme="minorEastAsia"/>
      <w:lang w:eastAsia="en-GB"/>
    </w:rPr>
  </w:style>
  <w:style w:type="paragraph" w:styleId="TOC5">
    <w:name w:val="toc 5"/>
    <w:basedOn w:val="Normal"/>
    <w:next w:val="Normal"/>
    <w:autoRedefine/>
    <w:uiPriority w:val="39"/>
    <w:unhideWhenUsed/>
    <w:rsid w:val="000C26B2"/>
    <w:pPr>
      <w:spacing w:after="100" w:line="276" w:lineRule="auto"/>
      <w:ind w:left="880"/>
    </w:pPr>
    <w:rPr>
      <w:rFonts w:eastAsiaTheme="minorEastAsia"/>
      <w:lang w:eastAsia="en-GB"/>
    </w:rPr>
  </w:style>
  <w:style w:type="paragraph" w:styleId="TOC6">
    <w:name w:val="toc 6"/>
    <w:basedOn w:val="Normal"/>
    <w:next w:val="Normal"/>
    <w:autoRedefine/>
    <w:uiPriority w:val="39"/>
    <w:unhideWhenUsed/>
    <w:rsid w:val="000C26B2"/>
    <w:pPr>
      <w:spacing w:after="100" w:line="276" w:lineRule="auto"/>
      <w:ind w:left="1100"/>
    </w:pPr>
    <w:rPr>
      <w:rFonts w:eastAsiaTheme="minorEastAsia"/>
      <w:lang w:eastAsia="en-GB"/>
    </w:rPr>
  </w:style>
  <w:style w:type="paragraph" w:styleId="TOC7">
    <w:name w:val="toc 7"/>
    <w:basedOn w:val="Normal"/>
    <w:next w:val="Normal"/>
    <w:autoRedefine/>
    <w:uiPriority w:val="39"/>
    <w:unhideWhenUsed/>
    <w:rsid w:val="000C26B2"/>
    <w:pPr>
      <w:spacing w:after="100" w:line="276" w:lineRule="auto"/>
      <w:ind w:left="1320"/>
    </w:pPr>
    <w:rPr>
      <w:rFonts w:eastAsiaTheme="minorEastAsia"/>
      <w:lang w:eastAsia="en-GB"/>
    </w:rPr>
  </w:style>
  <w:style w:type="paragraph" w:styleId="TOC8">
    <w:name w:val="toc 8"/>
    <w:basedOn w:val="Normal"/>
    <w:next w:val="Normal"/>
    <w:autoRedefine/>
    <w:uiPriority w:val="39"/>
    <w:unhideWhenUsed/>
    <w:rsid w:val="000C26B2"/>
    <w:pPr>
      <w:spacing w:after="100" w:line="276" w:lineRule="auto"/>
      <w:ind w:left="1540"/>
    </w:pPr>
    <w:rPr>
      <w:rFonts w:eastAsiaTheme="minorEastAsia"/>
      <w:lang w:eastAsia="en-GB"/>
    </w:rPr>
  </w:style>
  <w:style w:type="paragraph" w:styleId="TOC9">
    <w:name w:val="toc 9"/>
    <w:basedOn w:val="Normal"/>
    <w:next w:val="Normal"/>
    <w:autoRedefine/>
    <w:uiPriority w:val="39"/>
    <w:unhideWhenUsed/>
    <w:rsid w:val="000C26B2"/>
    <w:pPr>
      <w:spacing w:after="100" w:line="276" w:lineRule="auto"/>
      <w:ind w:left="1760"/>
    </w:pPr>
    <w:rPr>
      <w:rFonts w:eastAsiaTheme="minorEastAsia"/>
      <w:lang w:eastAsia="en-GB"/>
    </w:rPr>
  </w:style>
</w:styles>
</file>

<file path=word/webSettings.xml><?xml version="1.0" encoding="utf-8"?>
<w:webSettings xmlns:r="http://schemas.openxmlformats.org/officeDocument/2006/relationships" xmlns:w="http://schemas.openxmlformats.org/wordprocessingml/2006/main">
  <w:divs>
    <w:div w:id="9993689">
      <w:bodyDiv w:val="1"/>
      <w:marLeft w:val="0"/>
      <w:marRight w:val="0"/>
      <w:marTop w:val="0"/>
      <w:marBottom w:val="0"/>
      <w:divBdr>
        <w:top w:val="none" w:sz="0" w:space="0" w:color="auto"/>
        <w:left w:val="none" w:sz="0" w:space="0" w:color="auto"/>
        <w:bottom w:val="none" w:sz="0" w:space="0" w:color="auto"/>
        <w:right w:val="none" w:sz="0" w:space="0" w:color="auto"/>
      </w:divBdr>
    </w:div>
    <w:div w:id="51738248">
      <w:bodyDiv w:val="1"/>
      <w:marLeft w:val="0"/>
      <w:marRight w:val="0"/>
      <w:marTop w:val="0"/>
      <w:marBottom w:val="0"/>
      <w:divBdr>
        <w:top w:val="none" w:sz="0" w:space="0" w:color="auto"/>
        <w:left w:val="none" w:sz="0" w:space="0" w:color="auto"/>
        <w:bottom w:val="none" w:sz="0" w:space="0" w:color="auto"/>
        <w:right w:val="none" w:sz="0" w:space="0" w:color="auto"/>
      </w:divBdr>
      <w:divsChild>
        <w:div w:id="126969855">
          <w:marLeft w:val="0"/>
          <w:marRight w:val="0"/>
          <w:marTop w:val="0"/>
          <w:marBottom w:val="0"/>
          <w:divBdr>
            <w:top w:val="none" w:sz="0" w:space="0" w:color="auto"/>
            <w:left w:val="none" w:sz="0" w:space="0" w:color="auto"/>
            <w:bottom w:val="none" w:sz="0" w:space="0" w:color="auto"/>
            <w:right w:val="none" w:sz="0" w:space="0" w:color="auto"/>
          </w:divBdr>
          <w:divsChild>
            <w:div w:id="208025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56149">
      <w:bodyDiv w:val="1"/>
      <w:marLeft w:val="0"/>
      <w:marRight w:val="0"/>
      <w:marTop w:val="0"/>
      <w:marBottom w:val="0"/>
      <w:divBdr>
        <w:top w:val="none" w:sz="0" w:space="0" w:color="auto"/>
        <w:left w:val="none" w:sz="0" w:space="0" w:color="auto"/>
        <w:bottom w:val="none" w:sz="0" w:space="0" w:color="auto"/>
        <w:right w:val="none" w:sz="0" w:space="0" w:color="auto"/>
      </w:divBdr>
    </w:div>
    <w:div w:id="258216694">
      <w:bodyDiv w:val="1"/>
      <w:marLeft w:val="0"/>
      <w:marRight w:val="0"/>
      <w:marTop w:val="0"/>
      <w:marBottom w:val="0"/>
      <w:divBdr>
        <w:top w:val="none" w:sz="0" w:space="0" w:color="auto"/>
        <w:left w:val="none" w:sz="0" w:space="0" w:color="auto"/>
        <w:bottom w:val="none" w:sz="0" w:space="0" w:color="auto"/>
        <w:right w:val="none" w:sz="0" w:space="0" w:color="auto"/>
      </w:divBdr>
      <w:divsChild>
        <w:div w:id="1775664811">
          <w:marLeft w:val="0"/>
          <w:marRight w:val="0"/>
          <w:marTop w:val="0"/>
          <w:marBottom w:val="0"/>
          <w:divBdr>
            <w:top w:val="none" w:sz="0" w:space="0" w:color="auto"/>
            <w:left w:val="none" w:sz="0" w:space="0" w:color="auto"/>
            <w:bottom w:val="none" w:sz="0" w:space="0" w:color="auto"/>
            <w:right w:val="none" w:sz="0" w:space="0" w:color="auto"/>
          </w:divBdr>
          <w:divsChild>
            <w:div w:id="1701928657">
              <w:marLeft w:val="0"/>
              <w:marRight w:val="0"/>
              <w:marTop w:val="0"/>
              <w:marBottom w:val="0"/>
              <w:divBdr>
                <w:top w:val="none" w:sz="0" w:space="0" w:color="auto"/>
                <w:left w:val="none" w:sz="0" w:space="0" w:color="auto"/>
                <w:bottom w:val="none" w:sz="0" w:space="0" w:color="auto"/>
                <w:right w:val="none" w:sz="0" w:space="0" w:color="auto"/>
              </w:divBdr>
              <w:divsChild>
                <w:div w:id="1862428568">
                  <w:marLeft w:val="0"/>
                  <w:marRight w:val="0"/>
                  <w:marTop w:val="0"/>
                  <w:marBottom w:val="0"/>
                  <w:divBdr>
                    <w:top w:val="none" w:sz="0" w:space="0" w:color="auto"/>
                    <w:left w:val="none" w:sz="0" w:space="0" w:color="auto"/>
                    <w:bottom w:val="none" w:sz="0" w:space="0" w:color="auto"/>
                    <w:right w:val="none" w:sz="0" w:space="0" w:color="auto"/>
                  </w:divBdr>
                  <w:divsChild>
                    <w:div w:id="2072381087">
                      <w:marLeft w:val="0"/>
                      <w:marRight w:val="0"/>
                      <w:marTop w:val="0"/>
                      <w:marBottom w:val="0"/>
                      <w:divBdr>
                        <w:top w:val="none" w:sz="0" w:space="0" w:color="auto"/>
                        <w:left w:val="none" w:sz="0" w:space="0" w:color="auto"/>
                        <w:bottom w:val="none" w:sz="0" w:space="0" w:color="auto"/>
                        <w:right w:val="none" w:sz="0" w:space="0" w:color="auto"/>
                      </w:divBdr>
                      <w:divsChild>
                        <w:div w:id="141969399">
                          <w:marLeft w:val="0"/>
                          <w:marRight w:val="0"/>
                          <w:marTop w:val="0"/>
                          <w:marBottom w:val="0"/>
                          <w:divBdr>
                            <w:top w:val="none" w:sz="0" w:space="0" w:color="auto"/>
                            <w:left w:val="none" w:sz="0" w:space="0" w:color="auto"/>
                            <w:bottom w:val="none" w:sz="0" w:space="0" w:color="auto"/>
                            <w:right w:val="none" w:sz="0" w:space="0" w:color="auto"/>
                          </w:divBdr>
                          <w:divsChild>
                            <w:div w:id="165021340">
                              <w:marLeft w:val="0"/>
                              <w:marRight w:val="0"/>
                              <w:marTop w:val="0"/>
                              <w:marBottom w:val="0"/>
                              <w:divBdr>
                                <w:top w:val="none" w:sz="0" w:space="0" w:color="auto"/>
                                <w:left w:val="none" w:sz="0" w:space="0" w:color="auto"/>
                                <w:bottom w:val="none" w:sz="0" w:space="0" w:color="auto"/>
                                <w:right w:val="none" w:sz="0" w:space="0" w:color="auto"/>
                              </w:divBdr>
                              <w:divsChild>
                                <w:div w:id="786893547">
                                  <w:marLeft w:val="0"/>
                                  <w:marRight w:val="0"/>
                                  <w:marTop w:val="0"/>
                                  <w:marBottom w:val="0"/>
                                  <w:divBdr>
                                    <w:top w:val="none" w:sz="0" w:space="0" w:color="auto"/>
                                    <w:left w:val="none" w:sz="0" w:space="0" w:color="auto"/>
                                    <w:bottom w:val="none" w:sz="0" w:space="0" w:color="auto"/>
                                    <w:right w:val="none" w:sz="0" w:space="0" w:color="auto"/>
                                  </w:divBdr>
                                  <w:divsChild>
                                    <w:div w:id="1947536567">
                                      <w:marLeft w:val="0"/>
                                      <w:marRight w:val="0"/>
                                      <w:marTop w:val="0"/>
                                      <w:marBottom w:val="0"/>
                                      <w:divBdr>
                                        <w:top w:val="none" w:sz="0" w:space="0" w:color="auto"/>
                                        <w:left w:val="none" w:sz="0" w:space="0" w:color="auto"/>
                                        <w:bottom w:val="none" w:sz="0" w:space="0" w:color="auto"/>
                                        <w:right w:val="none" w:sz="0" w:space="0" w:color="auto"/>
                                      </w:divBdr>
                                      <w:divsChild>
                                        <w:div w:id="474883293">
                                          <w:marLeft w:val="0"/>
                                          <w:marRight w:val="0"/>
                                          <w:marTop w:val="0"/>
                                          <w:marBottom w:val="0"/>
                                          <w:divBdr>
                                            <w:top w:val="none" w:sz="0" w:space="0" w:color="auto"/>
                                            <w:left w:val="none" w:sz="0" w:space="0" w:color="auto"/>
                                            <w:bottom w:val="none" w:sz="0" w:space="0" w:color="auto"/>
                                            <w:right w:val="none" w:sz="0" w:space="0" w:color="auto"/>
                                          </w:divBdr>
                                          <w:divsChild>
                                            <w:div w:id="1148321901">
                                              <w:marLeft w:val="0"/>
                                              <w:marRight w:val="0"/>
                                              <w:marTop w:val="0"/>
                                              <w:marBottom w:val="0"/>
                                              <w:divBdr>
                                                <w:top w:val="none" w:sz="0" w:space="0" w:color="auto"/>
                                                <w:left w:val="none" w:sz="0" w:space="0" w:color="auto"/>
                                                <w:bottom w:val="none" w:sz="0" w:space="0" w:color="auto"/>
                                                <w:right w:val="none" w:sz="0" w:space="0" w:color="auto"/>
                                              </w:divBdr>
                                              <w:divsChild>
                                                <w:div w:id="1456556696">
                                                  <w:marLeft w:val="0"/>
                                                  <w:marRight w:val="0"/>
                                                  <w:marTop w:val="0"/>
                                                  <w:marBottom w:val="0"/>
                                                  <w:divBdr>
                                                    <w:top w:val="none" w:sz="0" w:space="0" w:color="auto"/>
                                                    <w:left w:val="none" w:sz="0" w:space="0" w:color="auto"/>
                                                    <w:bottom w:val="none" w:sz="0" w:space="0" w:color="auto"/>
                                                    <w:right w:val="none" w:sz="0" w:space="0" w:color="auto"/>
                                                  </w:divBdr>
                                                  <w:divsChild>
                                                    <w:div w:id="1656102190">
                                                      <w:marLeft w:val="0"/>
                                                      <w:marRight w:val="0"/>
                                                      <w:marTop w:val="0"/>
                                                      <w:marBottom w:val="0"/>
                                                      <w:divBdr>
                                                        <w:top w:val="none" w:sz="0" w:space="0" w:color="auto"/>
                                                        <w:left w:val="none" w:sz="0" w:space="0" w:color="auto"/>
                                                        <w:bottom w:val="none" w:sz="0" w:space="0" w:color="auto"/>
                                                        <w:right w:val="none" w:sz="0" w:space="0" w:color="auto"/>
                                                      </w:divBdr>
                                                      <w:divsChild>
                                                        <w:div w:id="598872447">
                                                          <w:marLeft w:val="0"/>
                                                          <w:marRight w:val="0"/>
                                                          <w:marTop w:val="0"/>
                                                          <w:marBottom w:val="0"/>
                                                          <w:divBdr>
                                                            <w:top w:val="none" w:sz="0" w:space="0" w:color="auto"/>
                                                            <w:left w:val="none" w:sz="0" w:space="0" w:color="auto"/>
                                                            <w:bottom w:val="none" w:sz="0" w:space="0" w:color="auto"/>
                                                            <w:right w:val="none" w:sz="0" w:space="0" w:color="auto"/>
                                                          </w:divBdr>
                                                          <w:divsChild>
                                                            <w:div w:id="1406294367">
                                                              <w:marLeft w:val="0"/>
                                                              <w:marRight w:val="0"/>
                                                              <w:marTop w:val="0"/>
                                                              <w:marBottom w:val="0"/>
                                                              <w:divBdr>
                                                                <w:top w:val="none" w:sz="0" w:space="0" w:color="auto"/>
                                                                <w:left w:val="none" w:sz="0" w:space="0" w:color="auto"/>
                                                                <w:bottom w:val="none" w:sz="0" w:space="0" w:color="auto"/>
                                                                <w:right w:val="none" w:sz="0" w:space="0" w:color="auto"/>
                                                              </w:divBdr>
                                                              <w:divsChild>
                                                                <w:div w:id="347146170">
                                                                  <w:marLeft w:val="0"/>
                                                                  <w:marRight w:val="0"/>
                                                                  <w:marTop w:val="0"/>
                                                                  <w:marBottom w:val="0"/>
                                                                  <w:divBdr>
                                                                    <w:top w:val="none" w:sz="0" w:space="0" w:color="auto"/>
                                                                    <w:left w:val="none" w:sz="0" w:space="0" w:color="auto"/>
                                                                    <w:bottom w:val="none" w:sz="0" w:space="0" w:color="auto"/>
                                                                    <w:right w:val="none" w:sz="0" w:space="0" w:color="auto"/>
                                                                  </w:divBdr>
                                                                  <w:divsChild>
                                                                    <w:div w:id="1623656497">
                                                                      <w:marLeft w:val="0"/>
                                                                      <w:marRight w:val="0"/>
                                                                      <w:marTop w:val="0"/>
                                                                      <w:marBottom w:val="0"/>
                                                                      <w:divBdr>
                                                                        <w:top w:val="none" w:sz="0" w:space="0" w:color="auto"/>
                                                                        <w:left w:val="none" w:sz="0" w:space="0" w:color="auto"/>
                                                                        <w:bottom w:val="none" w:sz="0" w:space="0" w:color="auto"/>
                                                                        <w:right w:val="none" w:sz="0" w:space="0" w:color="auto"/>
                                                                      </w:divBdr>
                                                                      <w:divsChild>
                                                                        <w:div w:id="1470855429">
                                                                          <w:marLeft w:val="0"/>
                                                                          <w:marRight w:val="0"/>
                                                                          <w:marTop w:val="0"/>
                                                                          <w:marBottom w:val="0"/>
                                                                          <w:divBdr>
                                                                            <w:top w:val="none" w:sz="0" w:space="0" w:color="auto"/>
                                                                            <w:left w:val="none" w:sz="0" w:space="0" w:color="auto"/>
                                                                            <w:bottom w:val="none" w:sz="0" w:space="0" w:color="auto"/>
                                                                            <w:right w:val="none" w:sz="0" w:space="0" w:color="auto"/>
                                                                          </w:divBdr>
                                                                          <w:divsChild>
                                                                            <w:div w:id="337779040">
                                                                              <w:marLeft w:val="0"/>
                                                                              <w:marRight w:val="0"/>
                                                                              <w:marTop w:val="0"/>
                                                                              <w:marBottom w:val="0"/>
                                                                              <w:divBdr>
                                                                                <w:top w:val="none" w:sz="0" w:space="0" w:color="auto"/>
                                                                                <w:left w:val="none" w:sz="0" w:space="0" w:color="auto"/>
                                                                                <w:bottom w:val="none" w:sz="0" w:space="0" w:color="auto"/>
                                                                                <w:right w:val="none" w:sz="0" w:space="0" w:color="auto"/>
                                                                              </w:divBdr>
                                                                              <w:divsChild>
                                                                                <w:div w:id="1383863346">
                                                                                  <w:marLeft w:val="0"/>
                                                                                  <w:marRight w:val="0"/>
                                                                                  <w:marTop w:val="0"/>
                                                                                  <w:marBottom w:val="0"/>
                                                                                  <w:divBdr>
                                                                                    <w:top w:val="none" w:sz="0" w:space="0" w:color="auto"/>
                                                                                    <w:left w:val="none" w:sz="0" w:space="0" w:color="auto"/>
                                                                                    <w:bottom w:val="none" w:sz="0" w:space="0" w:color="auto"/>
                                                                                    <w:right w:val="none" w:sz="0" w:space="0" w:color="auto"/>
                                                                                  </w:divBdr>
                                                                                  <w:divsChild>
                                                                                    <w:div w:id="1719939182">
                                                                                      <w:marLeft w:val="0"/>
                                                                                      <w:marRight w:val="0"/>
                                                                                      <w:marTop w:val="0"/>
                                                                                      <w:marBottom w:val="0"/>
                                                                                      <w:divBdr>
                                                                                        <w:top w:val="none" w:sz="0" w:space="0" w:color="auto"/>
                                                                                        <w:left w:val="none" w:sz="0" w:space="0" w:color="auto"/>
                                                                                        <w:bottom w:val="none" w:sz="0" w:space="0" w:color="auto"/>
                                                                                        <w:right w:val="none" w:sz="0" w:space="0" w:color="auto"/>
                                                                                      </w:divBdr>
                                                                                      <w:divsChild>
                                                                                        <w:div w:id="106850153">
                                                                                          <w:marLeft w:val="0"/>
                                                                                          <w:marRight w:val="0"/>
                                                                                          <w:marTop w:val="0"/>
                                                                                          <w:marBottom w:val="0"/>
                                                                                          <w:divBdr>
                                                                                            <w:top w:val="none" w:sz="0" w:space="0" w:color="auto"/>
                                                                                            <w:left w:val="none" w:sz="0" w:space="0" w:color="auto"/>
                                                                                            <w:bottom w:val="none" w:sz="0" w:space="0" w:color="auto"/>
                                                                                            <w:right w:val="none" w:sz="0" w:space="0" w:color="auto"/>
                                                                                          </w:divBdr>
                                                                                          <w:divsChild>
                                                                                            <w:div w:id="1098402119">
                                                                                              <w:marLeft w:val="0"/>
                                                                                              <w:marRight w:val="0"/>
                                                                                              <w:marTop w:val="0"/>
                                                                                              <w:marBottom w:val="0"/>
                                                                                              <w:divBdr>
                                                                                                <w:top w:val="none" w:sz="0" w:space="0" w:color="auto"/>
                                                                                                <w:left w:val="none" w:sz="0" w:space="0" w:color="auto"/>
                                                                                                <w:bottom w:val="none" w:sz="0" w:space="0" w:color="auto"/>
                                                                                                <w:right w:val="none" w:sz="0" w:space="0" w:color="auto"/>
                                                                                              </w:divBdr>
                                                                                              <w:divsChild>
                                                                                                <w:div w:id="1581645912">
                                                                                                  <w:marLeft w:val="0"/>
                                                                                                  <w:marRight w:val="0"/>
                                                                                                  <w:marTop w:val="0"/>
                                                                                                  <w:marBottom w:val="0"/>
                                                                                                  <w:divBdr>
                                                                                                    <w:top w:val="none" w:sz="0" w:space="0" w:color="auto"/>
                                                                                                    <w:left w:val="none" w:sz="0" w:space="0" w:color="auto"/>
                                                                                                    <w:bottom w:val="none" w:sz="0" w:space="0" w:color="auto"/>
                                                                                                    <w:right w:val="none" w:sz="0" w:space="0" w:color="auto"/>
                                                                                                  </w:divBdr>
                                                                                                  <w:divsChild>
                                                                                                    <w:div w:id="616065111">
                                                                                                      <w:marLeft w:val="0"/>
                                                                                                      <w:marRight w:val="0"/>
                                                                                                      <w:marTop w:val="0"/>
                                                                                                      <w:marBottom w:val="0"/>
                                                                                                      <w:divBdr>
                                                                                                        <w:top w:val="none" w:sz="0" w:space="0" w:color="auto"/>
                                                                                                        <w:left w:val="none" w:sz="0" w:space="0" w:color="auto"/>
                                                                                                        <w:bottom w:val="none" w:sz="0" w:space="0" w:color="auto"/>
                                                                                                        <w:right w:val="none" w:sz="0" w:space="0" w:color="auto"/>
                                                                                                      </w:divBdr>
                                                                                                      <w:divsChild>
                                                                                                        <w:div w:id="1399135304">
                                                                                                          <w:marLeft w:val="0"/>
                                                                                                          <w:marRight w:val="0"/>
                                                                                                          <w:marTop w:val="0"/>
                                                                                                          <w:marBottom w:val="0"/>
                                                                                                          <w:divBdr>
                                                                                                            <w:top w:val="none" w:sz="0" w:space="0" w:color="auto"/>
                                                                                                            <w:left w:val="none" w:sz="0" w:space="0" w:color="auto"/>
                                                                                                            <w:bottom w:val="none" w:sz="0" w:space="0" w:color="auto"/>
                                                                                                            <w:right w:val="none" w:sz="0" w:space="0" w:color="auto"/>
                                                                                                          </w:divBdr>
                                                                                                          <w:divsChild>
                                                                                                            <w:div w:id="1135677625">
                                                                                                              <w:marLeft w:val="0"/>
                                                                                                              <w:marRight w:val="0"/>
                                                                                                              <w:marTop w:val="0"/>
                                                                                                              <w:marBottom w:val="0"/>
                                                                                                              <w:divBdr>
                                                                                                                <w:top w:val="none" w:sz="0" w:space="0" w:color="auto"/>
                                                                                                                <w:left w:val="none" w:sz="0" w:space="0" w:color="auto"/>
                                                                                                                <w:bottom w:val="none" w:sz="0" w:space="0" w:color="auto"/>
                                                                                                                <w:right w:val="none" w:sz="0" w:space="0" w:color="auto"/>
                                                                                                              </w:divBdr>
                                                                                                              <w:divsChild>
                                                                                                                <w:div w:id="947158639">
                                                                                                                  <w:marLeft w:val="0"/>
                                                                                                                  <w:marRight w:val="0"/>
                                                                                                                  <w:marTop w:val="0"/>
                                                                                                                  <w:marBottom w:val="0"/>
                                                                                                                  <w:divBdr>
                                                                                                                    <w:top w:val="none" w:sz="0" w:space="0" w:color="auto"/>
                                                                                                                    <w:left w:val="none" w:sz="0" w:space="0" w:color="auto"/>
                                                                                                                    <w:bottom w:val="none" w:sz="0" w:space="0" w:color="auto"/>
                                                                                                                    <w:right w:val="none" w:sz="0" w:space="0" w:color="auto"/>
                                                                                                                  </w:divBdr>
                                                                                                                  <w:divsChild>
                                                                                                                    <w:div w:id="1112095931">
                                                                                                                      <w:marLeft w:val="0"/>
                                                                                                                      <w:marRight w:val="0"/>
                                                                                                                      <w:marTop w:val="0"/>
                                                                                                                      <w:marBottom w:val="0"/>
                                                                                                                      <w:divBdr>
                                                                                                                        <w:top w:val="none" w:sz="0" w:space="0" w:color="auto"/>
                                                                                                                        <w:left w:val="none" w:sz="0" w:space="0" w:color="auto"/>
                                                                                                                        <w:bottom w:val="none" w:sz="0" w:space="0" w:color="auto"/>
                                                                                                                        <w:right w:val="none" w:sz="0" w:space="0" w:color="auto"/>
                                                                                                                      </w:divBdr>
                                                                                                                      <w:divsChild>
                                                                                                                        <w:div w:id="371148678">
                                                                                                                          <w:marLeft w:val="0"/>
                                                                                                                          <w:marRight w:val="0"/>
                                                                                                                          <w:marTop w:val="0"/>
                                                                                                                          <w:marBottom w:val="0"/>
                                                                                                                          <w:divBdr>
                                                                                                                            <w:top w:val="none" w:sz="0" w:space="0" w:color="auto"/>
                                                                                                                            <w:left w:val="none" w:sz="0" w:space="0" w:color="auto"/>
                                                                                                                            <w:bottom w:val="none" w:sz="0" w:space="0" w:color="auto"/>
                                                                                                                            <w:right w:val="none" w:sz="0" w:space="0" w:color="auto"/>
                                                                                                                          </w:divBdr>
                                                                                                                          <w:divsChild>
                                                                                                                            <w:div w:id="2000453548">
                                                                                                                              <w:marLeft w:val="0"/>
                                                                                                                              <w:marRight w:val="0"/>
                                                                                                                              <w:marTop w:val="0"/>
                                                                                                                              <w:marBottom w:val="0"/>
                                                                                                                              <w:divBdr>
                                                                                                                                <w:top w:val="none" w:sz="0" w:space="0" w:color="auto"/>
                                                                                                                                <w:left w:val="none" w:sz="0" w:space="0" w:color="auto"/>
                                                                                                                                <w:bottom w:val="none" w:sz="0" w:space="0" w:color="auto"/>
                                                                                                                                <w:right w:val="none" w:sz="0" w:space="0" w:color="auto"/>
                                                                                                                              </w:divBdr>
                                                                                                                              <w:divsChild>
                                                                                                                                <w:div w:id="172233924">
                                                                                                                                  <w:marLeft w:val="0"/>
                                                                                                                                  <w:marRight w:val="0"/>
                                                                                                                                  <w:marTop w:val="0"/>
                                                                                                                                  <w:marBottom w:val="0"/>
                                                                                                                                  <w:divBdr>
                                                                                                                                    <w:top w:val="none" w:sz="0" w:space="0" w:color="auto"/>
                                                                                                                                    <w:left w:val="none" w:sz="0" w:space="0" w:color="auto"/>
                                                                                                                                    <w:bottom w:val="none" w:sz="0" w:space="0" w:color="auto"/>
                                                                                                                                    <w:right w:val="none" w:sz="0" w:space="0" w:color="auto"/>
                                                                                                                                  </w:divBdr>
                                                                                                                                  <w:divsChild>
                                                                                                                                    <w:div w:id="817843358">
                                                                                                                                      <w:marLeft w:val="0"/>
                                                                                                                                      <w:marRight w:val="0"/>
                                                                                                                                      <w:marTop w:val="0"/>
                                                                                                                                      <w:marBottom w:val="0"/>
                                                                                                                                      <w:divBdr>
                                                                                                                                        <w:top w:val="none" w:sz="0" w:space="0" w:color="auto"/>
                                                                                                                                        <w:left w:val="none" w:sz="0" w:space="0" w:color="auto"/>
                                                                                                                                        <w:bottom w:val="none" w:sz="0" w:space="0" w:color="auto"/>
                                                                                                                                        <w:right w:val="none" w:sz="0" w:space="0" w:color="auto"/>
                                                                                                                                      </w:divBdr>
                                                                                                                                      <w:divsChild>
                                                                                                                                        <w:div w:id="967005584">
                                                                                                                                          <w:marLeft w:val="0"/>
                                                                                                                                          <w:marRight w:val="0"/>
                                                                                                                                          <w:marTop w:val="0"/>
                                                                                                                                          <w:marBottom w:val="0"/>
                                                                                                                                          <w:divBdr>
                                                                                                                                            <w:top w:val="none" w:sz="0" w:space="0" w:color="auto"/>
                                                                                                                                            <w:left w:val="none" w:sz="0" w:space="0" w:color="auto"/>
                                                                                                                                            <w:bottom w:val="none" w:sz="0" w:space="0" w:color="auto"/>
                                                                                                                                            <w:right w:val="none" w:sz="0" w:space="0" w:color="auto"/>
                                                                                                                                          </w:divBdr>
                                                                                                                                          <w:divsChild>
                                                                                                                                            <w:div w:id="1315336972">
                                                                                                                                              <w:marLeft w:val="0"/>
                                                                                                                                              <w:marRight w:val="0"/>
                                                                                                                                              <w:marTop w:val="0"/>
                                                                                                                                              <w:marBottom w:val="0"/>
                                                                                                                                              <w:divBdr>
                                                                                                                                                <w:top w:val="none" w:sz="0" w:space="0" w:color="auto"/>
                                                                                                                                                <w:left w:val="none" w:sz="0" w:space="0" w:color="auto"/>
                                                                                                                                                <w:bottom w:val="none" w:sz="0" w:space="0" w:color="auto"/>
                                                                                                                                                <w:right w:val="none" w:sz="0" w:space="0" w:color="auto"/>
                                                                                                                                              </w:divBdr>
                                                                                                                                              <w:divsChild>
                                                                                                                                                <w:div w:id="200869634">
                                                                                                                                                  <w:marLeft w:val="0"/>
                                                                                                                                                  <w:marRight w:val="0"/>
                                                                                                                                                  <w:marTop w:val="0"/>
                                                                                                                                                  <w:marBottom w:val="0"/>
                                                                                                                                                  <w:divBdr>
                                                                                                                                                    <w:top w:val="none" w:sz="0" w:space="0" w:color="auto"/>
                                                                                                                                                    <w:left w:val="none" w:sz="0" w:space="0" w:color="auto"/>
                                                                                                                                                    <w:bottom w:val="none" w:sz="0" w:space="0" w:color="auto"/>
                                                                                                                                                    <w:right w:val="none" w:sz="0" w:space="0" w:color="auto"/>
                                                                                                                                                  </w:divBdr>
                                                                                                                                                  <w:divsChild>
                                                                                                                                                    <w:div w:id="1611157780">
                                                                                                                                                      <w:marLeft w:val="0"/>
                                                                                                                                                      <w:marRight w:val="0"/>
                                                                                                                                                      <w:marTop w:val="0"/>
                                                                                                                                                      <w:marBottom w:val="0"/>
                                                                                                                                                      <w:divBdr>
                                                                                                                                                        <w:top w:val="none" w:sz="0" w:space="0" w:color="auto"/>
                                                                                                                                                        <w:left w:val="none" w:sz="0" w:space="0" w:color="auto"/>
                                                                                                                                                        <w:bottom w:val="none" w:sz="0" w:space="0" w:color="auto"/>
                                                                                                                                                        <w:right w:val="none" w:sz="0" w:space="0" w:color="auto"/>
                                                                                                                                                      </w:divBdr>
                                                                                                                                                      <w:divsChild>
                                                                                                                                                        <w:div w:id="977419971">
                                                                                                                                                          <w:marLeft w:val="0"/>
                                                                                                                                                          <w:marRight w:val="0"/>
                                                                                                                                                          <w:marTop w:val="0"/>
                                                                                                                                                          <w:marBottom w:val="0"/>
                                                                                                                                                          <w:divBdr>
                                                                                                                                                            <w:top w:val="none" w:sz="0" w:space="0" w:color="auto"/>
                                                                                                                                                            <w:left w:val="none" w:sz="0" w:space="0" w:color="auto"/>
                                                                                                                                                            <w:bottom w:val="none" w:sz="0" w:space="0" w:color="auto"/>
                                                                                                                                                            <w:right w:val="none" w:sz="0" w:space="0" w:color="auto"/>
                                                                                                                                                          </w:divBdr>
                                                                                                                                                          <w:divsChild>
                                                                                                                                                            <w:div w:id="1480031161">
                                                                                                                                                              <w:marLeft w:val="0"/>
                                                                                                                                                              <w:marRight w:val="0"/>
                                                                                                                                                              <w:marTop w:val="0"/>
                                                                                                                                                              <w:marBottom w:val="0"/>
                                                                                                                                                              <w:divBdr>
                                                                                                                                                                <w:top w:val="none" w:sz="0" w:space="0" w:color="auto"/>
                                                                                                                                                                <w:left w:val="none" w:sz="0" w:space="0" w:color="auto"/>
                                                                                                                                                                <w:bottom w:val="none" w:sz="0" w:space="0" w:color="auto"/>
                                                                                                                                                                <w:right w:val="none" w:sz="0" w:space="0" w:color="auto"/>
                                                                                                                                                              </w:divBdr>
                                                                                                                                                              <w:divsChild>
                                                                                                                                                                <w:div w:id="1457405046">
                                                                                                                                                                  <w:marLeft w:val="0"/>
                                                                                                                                                                  <w:marRight w:val="0"/>
                                                                                                                                                                  <w:marTop w:val="0"/>
                                                                                                                                                                  <w:marBottom w:val="0"/>
                                                                                                                                                                  <w:divBdr>
                                                                                                                                                                    <w:top w:val="none" w:sz="0" w:space="0" w:color="auto"/>
                                                                                                                                                                    <w:left w:val="none" w:sz="0" w:space="0" w:color="auto"/>
                                                                                                                                                                    <w:bottom w:val="none" w:sz="0" w:space="0" w:color="auto"/>
                                                                                                                                                                    <w:right w:val="none" w:sz="0" w:space="0" w:color="auto"/>
                                                                                                                                                                  </w:divBdr>
                                                                                                                                                                  <w:divsChild>
                                                                                                                                                                    <w:div w:id="1523129195">
                                                                                                                                                                      <w:marLeft w:val="0"/>
                                                                                                                                                                      <w:marRight w:val="0"/>
                                                                                                                                                                      <w:marTop w:val="0"/>
                                                                                                                                                                      <w:marBottom w:val="0"/>
                                                                                                                                                                      <w:divBdr>
                                                                                                                                                                        <w:top w:val="none" w:sz="0" w:space="0" w:color="auto"/>
                                                                                                                                                                        <w:left w:val="none" w:sz="0" w:space="0" w:color="auto"/>
                                                                                                                                                                        <w:bottom w:val="none" w:sz="0" w:space="0" w:color="auto"/>
                                                                                                                                                                        <w:right w:val="none" w:sz="0" w:space="0" w:color="auto"/>
                                                                                                                                                                      </w:divBdr>
                                                                                                                                                                      <w:divsChild>
                                                                                                                                                                        <w:div w:id="1212810367">
                                                                                                                                                                          <w:marLeft w:val="0"/>
                                                                                                                                                                          <w:marRight w:val="0"/>
                                                                                                                                                                          <w:marTop w:val="0"/>
                                                                                                                                                                          <w:marBottom w:val="0"/>
                                                                                                                                                                          <w:divBdr>
                                                                                                                                                                            <w:top w:val="none" w:sz="0" w:space="0" w:color="auto"/>
                                                                                                                                                                            <w:left w:val="none" w:sz="0" w:space="0" w:color="auto"/>
                                                                                                                                                                            <w:bottom w:val="none" w:sz="0" w:space="0" w:color="auto"/>
                                                                                                                                                                            <w:right w:val="none" w:sz="0" w:space="0" w:color="auto"/>
                                                                                                                                                                          </w:divBdr>
                                                                                                                                                                          <w:divsChild>
                                                                                                                                                                            <w:div w:id="1663313654">
                                                                                                                                                                              <w:marLeft w:val="0"/>
                                                                                                                                                                              <w:marRight w:val="0"/>
                                                                                                                                                                              <w:marTop w:val="0"/>
                                                                                                                                                                              <w:marBottom w:val="0"/>
                                                                                                                                                                              <w:divBdr>
                                                                                                                                                                                <w:top w:val="none" w:sz="0" w:space="0" w:color="auto"/>
                                                                                                                                                                                <w:left w:val="none" w:sz="0" w:space="0" w:color="auto"/>
                                                                                                                                                                                <w:bottom w:val="none" w:sz="0" w:space="0" w:color="auto"/>
                                                                                                                                                                                <w:right w:val="none" w:sz="0" w:space="0" w:color="auto"/>
                                                                                                                                                                              </w:divBdr>
                                                                                                                                                                              <w:divsChild>
                                                                                                                                                                                <w:div w:id="2009400372">
                                                                                                                                                                                  <w:marLeft w:val="0"/>
                                                                                                                                                                                  <w:marRight w:val="0"/>
                                                                                                                                                                                  <w:marTop w:val="0"/>
                                                                                                                                                                                  <w:marBottom w:val="0"/>
                                                                                                                                                                                  <w:divBdr>
                                                                                                                                                                                    <w:top w:val="none" w:sz="0" w:space="0" w:color="auto"/>
                                                                                                                                                                                    <w:left w:val="none" w:sz="0" w:space="0" w:color="auto"/>
                                                                                                                                                                                    <w:bottom w:val="none" w:sz="0" w:space="0" w:color="auto"/>
                                                                                                                                                                                    <w:right w:val="none" w:sz="0" w:space="0" w:color="auto"/>
                                                                                                                                                                                  </w:divBdr>
                                                                                                                                                                                  <w:divsChild>
                                                                                                                                                                                    <w:div w:id="1882787265">
                                                                                                                                                                                      <w:marLeft w:val="0"/>
                                                                                                                                                                                      <w:marRight w:val="0"/>
                                                                                                                                                                                      <w:marTop w:val="0"/>
                                                                                                                                                                                      <w:marBottom w:val="0"/>
                                                                                                                                                                                      <w:divBdr>
                                                                                                                                                                                        <w:top w:val="none" w:sz="0" w:space="0" w:color="auto"/>
                                                                                                                                                                                        <w:left w:val="none" w:sz="0" w:space="0" w:color="auto"/>
                                                                                                                                                                                        <w:bottom w:val="none" w:sz="0" w:space="0" w:color="auto"/>
                                                                                                                                                                                        <w:right w:val="none" w:sz="0" w:space="0" w:color="auto"/>
                                                                                                                                                                                      </w:divBdr>
                                                                                                                                                                                      <w:divsChild>
                                                                                                                                                                                        <w:div w:id="1618489575">
                                                                                                                                                                                          <w:marLeft w:val="0"/>
                                                                                                                                                                                          <w:marRight w:val="0"/>
                                                                                                                                                                                          <w:marTop w:val="0"/>
                                                                                                                                                                                          <w:marBottom w:val="0"/>
                                                                                                                                                                                          <w:divBdr>
                                                                                                                                                                                            <w:top w:val="none" w:sz="0" w:space="0" w:color="auto"/>
                                                                                                                                                                                            <w:left w:val="none" w:sz="0" w:space="0" w:color="auto"/>
                                                                                                                                                                                            <w:bottom w:val="none" w:sz="0" w:space="0" w:color="auto"/>
                                                                                                                                                                                            <w:right w:val="none" w:sz="0" w:space="0" w:color="auto"/>
                                                                                                                                                                                          </w:divBdr>
                                                                                                                                                                                          <w:divsChild>
                                                                                                                                                                                            <w:div w:id="1822891757">
                                                                                                                                                                                              <w:marLeft w:val="0"/>
                                                                                                                                                                                              <w:marRight w:val="0"/>
                                                                                                                                                                                              <w:marTop w:val="0"/>
                                                                                                                                                                                              <w:marBottom w:val="0"/>
                                                                                                                                                                                              <w:divBdr>
                                                                                                                                                                                                <w:top w:val="none" w:sz="0" w:space="0" w:color="auto"/>
                                                                                                                                                                                                <w:left w:val="none" w:sz="0" w:space="0" w:color="auto"/>
                                                                                                                                                                                                <w:bottom w:val="none" w:sz="0" w:space="0" w:color="auto"/>
                                                                                                                                                                                                <w:right w:val="none" w:sz="0" w:space="0" w:color="auto"/>
                                                                                                                                                                                              </w:divBdr>
                                                                                                                                                                                              <w:divsChild>
                                                                                                                                                                                                <w:div w:id="2071688997">
                                                                                                                                                                                                  <w:marLeft w:val="0"/>
                                                                                                                                                                                                  <w:marRight w:val="0"/>
                                                                                                                                                                                                  <w:marTop w:val="0"/>
                                                                                                                                                                                                  <w:marBottom w:val="0"/>
                                                                                                                                                                                                  <w:divBdr>
                                                                                                                                                                                                    <w:top w:val="none" w:sz="0" w:space="0" w:color="auto"/>
                                                                                                                                                                                                    <w:left w:val="none" w:sz="0" w:space="0" w:color="auto"/>
                                                                                                                                                                                                    <w:bottom w:val="none" w:sz="0" w:space="0" w:color="auto"/>
                                                                                                                                                                                                    <w:right w:val="none" w:sz="0" w:space="0" w:color="auto"/>
                                                                                                                                                                                                  </w:divBdr>
                                                                                                                                                                                                  <w:divsChild>
                                                                                                                                                                                                    <w:div w:id="1677877309">
                                                                                                                                                                                                      <w:marLeft w:val="0"/>
                                                                                                                                                                                                      <w:marRight w:val="0"/>
                                                                                                                                                                                                      <w:marTop w:val="0"/>
                                                                                                                                                                                                      <w:marBottom w:val="0"/>
                                                                                                                                                                                                      <w:divBdr>
                                                                                                                                                                                                        <w:top w:val="none" w:sz="0" w:space="0" w:color="auto"/>
                                                                                                                                                                                                        <w:left w:val="none" w:sz="0" w:space="0" w:color="auto"/>
                                                                                                                                                                                                        <w:bottom w:val="none" w:sz="0" w:space="0" w:color="auto"/>
                                                                                                                                                                                                        <w:right w:val="none" w:sz="0" w:space="0" w:color="auto"/>
                                                                                                                                                                                                      </w:divBdr>
                                                                                                                                                                                                      <w:divsChild>
                                                                                                                                                                                                        <w:div w:id="353842700">
                                                                                                                                                                                                          <w:marLeft w:val="0"/>
                                                                                                                                                                                                          <w:marRight w:val="0"/>
                                                                                                                                                                                                          <w:marTop w:val="0"/>
                                                                                                                                                                                                          <w:marBottom w:val="0"/>
                                                                                                                                                                                                          <w:divBdr>
                                                                                                                                                                                                            <w:top w:val="none" w:sz="0" w:space="0" w:color="auto"/>
                                                                                                                                                                                                            <w:left w:val="none" w:sz="0" w:space="0" w:color="auto"/>
                                                                                                                                                                                                            <w:bottom w:val="none" w:sz="0" w:space="0" w:color="auto"/>
                                                                                                                                                                                                            <w:right w:val="none" w:sz="0" w:space="0" w:color="auto"/>
                                                                                                                                                                                                          </w:divBdr>
                                                                                                                                                                                                          <w:divsChild>
                                                                                                                                                                                                            <w:div w:id="1077556503">
                                                                                                                                                                                                              <w:marLeft w:val="0"/>
                                                                                                                                                                                                              <w:marRight w:val="0"/>
                                                                                                                                                                                                              <w:marTop w:val="0"/>
                                                                                                                                                                                                              <w:marBottom w:val="0"/>
                                                                                                                                                                                                              <w:divBdr>
                                                                                                                                                                                                                <w:top w:val="none" w:sz="0" w:space="0" w:color="auto"/>
                                                                                                                                                                                                                <w:left w:val="none" w:sz="0" w:space="0" w:color="auto"/>
                                                                                                                                                                                                                <w:bottom w:val="none" w:sz="0" w:space="0" w:color="auto"/>
                                                                                                                                                                                                                <w:right w:val="none" w:sz="0" w:space="0" w:color="auto"/>
                                                                                                                                                                                                              </w:divBdr>
                                                                                                                                                                                                              <w:divsChild>
                                                                                                                                                                                                                <w:div w:id="468130517">
                                                                                                                                                                                                                  <w:marLeft w:val="0"/>
                                                                                                                                                                                                                  <w:marRight w:val="0"/>
                                                                                                                                                                                                                  <w:marTop w:val="0"/>
                                                                                                                                                                                                                  <w:marBottom w:val="0"/>
                                                                                                                                                                                                                  <w:divBdr>
                                                                                                                                                                                                                    <w:top w:val="none" w:sz="0" w:space="0" w:color="auto"/>
                                                                                                                                                                                                                    <w:left w:val="none" w:sz="0" w:space="0" w:color="auto"/>
                                                                                                                                                                                                                    <w:bottom w:val="none" w:sz="0" w:space="0" w:color="auto"/>
                                                                                                                                                                                                                    <w:right w:val="none" w:sz="0" w:space="0" w:color="auto"/>
                                                                                                                                                                                                                  </w:divBdr>
                                                                                                                                                                                                                  <w:divsChild>
                                                                                                                                                                                                                    <w:div w:id="1510632665">
                                                                                                                                                                                                                      <w:marLeft w:val="0"/>
                                                                                                                                                                                                                      <w:marRight w:val="0"/>
                                                                                                                                                                                                                      <w:marTop w:val="0"/>
                                                                                                                                                                                                                      <w:marBottom w:val="0"/>
                                                                                                                                                                                                                      <w:divBdr>
                                                                                                                                                                                                                        <w:top w:val="none" w:sz="0" w:space="0" w:color="auto"/>
                                                                                                                                                                                                                        <w:left w:val="none" w:sz="0" w:space="0" w:color="auto"/>
                                                                                                                                                                                                                        <w:bottom w:val="none" w:sz="0" w:space="0" w:color="auto"/>
                                                                                                                                                                                                                        <w:right w:val="none" w:sz="0" w:space="0" w:color="auto"/>
                                                                                                                                                                                                                      </w:divBdr>
                                                                                                                                                                                                                      <w:divsChild>
                                                                                                                                                                                                                        <w:div w:id="1697384544">
                                                                                                                                                                                                                          <w:marLeft w:val="0"/>
                                                                                                                                                                                                                          <w:marRight w:val="0"/>
                                                                                                                                                                                                                          <w:marTop w:val="0"/>
                                                                                                                                                                                                                          <w:marBottom w:val="0"/>
                                                                                                                                                                                                                          <w:divBdr>
                                                                                                                                                                                                                            <w:top w:val="none" w:sz="0" w:space="0" w:color="auto"/>
                                                                                                                                                                                                                            <w:left w:val="none" w:sz="0" w:space="0" w:color="auto"/>
                                                                                                                                                                                                                            <w:bottom w:val="none" w:sz="0" w:space="0" w:color="auto"/>
                                                                                                                                                                                                                            <w:right w:val="none" w:sz="0" w:space="0" w:color="auto"/>
                                                                                                                                                                                                                          </w:divBdr>
                                                                                                                                                                                                                          <w:divsChild>
                                                                                                                                                                                                                            <w:div w:id="1432580767">
                                                                                                                                                                                                                              <w:marLeft w:val="0"/>
                                                                                                                                                                                                                              <w:marRight w:val="0"/>
                                                                                                                                                                                                                              <w:marTop w:val="0"/>
                                                                                                                                                                                                                              <w:marBottom w:val="0"/>
                                                                                                                                                                                                                              <w:divBdr>
                                                                                                                                                                                                                                <w:top w:val="none" w:sz="0" w:space="0" w:color="auto"/>
                                                                                                                                                                                                                                <w:left w:val="none" w:sz="0" w:space="0" w:color="auto"/>
                                                                                                                                                                                                                                <w:bottom w:val="none" w:sz="0" w:space="0" w:color="auto"/>
                                                                                                                                                                                                                                <w:right w:val="none" w:sz="0" w:space="0" w:color="auto"/>
                                                                                                                                                                                                                              </w:divBdr>
                                                                                                                                                                                                                              <w:divsChild>
                                                                                                                                                                                                                                <w:div w:id="970937720">
                                                                                                                                                                                                                                  <w:marLeft w:val="0"/>
                                                                                                                                                                                                                                  <w:marRight w:val="0"/>
                                                                                                                                                                                                                                  <w:marTop w:val="0"/>
                                                                                                                                                                                                                                  <w:marBottom w:val="0"/>
                                                                                                                                                                                                                                  <w:divBdr>
                                                                                                                                                                                                                                    <w:top w:val="none" w:sz="0" w:space="0" w:color="auto"/>
                                                                                                                                                                                                                                    <w:left w:val="none" w:sz="0" w:space="0" w:color="auto"/>
                                                                                                                                                                                                                                    <w:bottom w:val="none" w:sz="0" w:space="0" w:color="auto"/>
                                                                                                                                                                                                                                    <w:right w:val="none" w:sz="0" w:space="0" w:color="auto"/>
                                                                                                                                                                                                                                  </w:divBdr>
                                                                                                                                                                                                                                  <w:divsChild>
                                                                                                                                                                                                                                    <w:div w:id="237256592">
                                                                                                                                                                                                                                      <w:marLeft w:val="0"/>
                                                                                                                                                                                                                                      <w:marRight w:val="0"/>
                                                                                                                                                                                                                                      <w:marTop w:val="0"/>
                                                                                                                                                                                                                                      <w:marBottom w:val="0"/>
                                                                                                                                                                                                                                      <w:divBdr>
                                                                                                                                                                                                                                        <w:top w:val="none" w:sz="0" w:space="0" w:color="auto"/>
                                                                                                                                                                                                                                        <w:left w:val="none" w:sz="0" w:space="0" w:color="auto"/>
                                                                                                                                                                                                                                        <w:bottom w:val="none" w:sz="0" w:space="0" w:color="auto"/>
                                                                                                                                                                                                                                        <w:right w:val="none" w:sz="0" w:space="0" w:color="auto"/>
                                                                                                                                                                                                                                      </w:divBdr>
                                                                                                                                                                                                                                      <w:divsChild>
                                                                                                                                                                                                                                        <w:div w:id="23943573">
                                                                                                                                                                                                                                          <w:marLeft w:val="0"/>
                                                                                                                                                                                                                                          <w:marRight w:val="0"/>
                                                                                                                                                                                                                                          <w:marTop w:val="0"/>
                                                                                                                                                                                                                                          <w:marBottom w:val="0"/>
                                                                                                                                                                                                                                          <w:divBdr>
                                                                                                                                                                                                                                            <w:top w:val="none" w:sz="0" w:space="0" w:color="auto"/>
                                                                                                                                                                                                                                            <w:left w:val="none" w:sz="0" w:space="0" w:color="auto"/>
                                                                                                                                                                                                                                            <w:bottom w:val="none" w:sz="0" w:space="0" w:color="auto"/>
                                                                                                                                                                                                                                            <w:right w:val="none" w:sz="0" w:space="0" w:color="auto"/>
                                                                                                                                                                                                                                          </w:divBdr>
                                                                                                                                                                                                                                          <w:divsChild>
                                                                                                                                                                                                                                            <w:div w:id="225529013">
                                                                                                                                                                                                                                              <w:marLeft w:val="0"/>
                                                                                                                                                                                                                                              <w:marRight w:val="0"/>
                                                                                                                                                                                                                                              <w:marTop w:val="0"/>
                                                                                                                                                                                                                                              <w:marBottom w:val="0"/>
                                                                                                                                                                                                                                              <w:divBdr>
                                                                                                                                                                                                                                                <w:top w:val="none" w:sz="0" w:space="0" w:color="auto"/>
                                                                                                                                                                                                                                                <w:left w:val="none" w:sz="0" w:space="0" w:color="auto"/>
                                                                                                                                                                                                                                                <w:bottom w:val="none" w:sz="0" w:space="0" w:color="auto"/>
                                                                                                                                                                                                                                                <w:right w:val="none" w:sz="0" w:space="0" w:color="auto"/>
                                                                                                                                                                                                                                              </w:divBdr>
                                                                                                                                                                                                                                              <w:divsChild>
                                                                                                                                                                                                                                                <w:div w:id="2095514526">
                                                                                                                                                                                                                                                  <w:marLeft w:val="0"/>
                                                                                                                                                                                                                                                  <w:marRight w:val="0"/>
                                                                                                                                                                                                                                                  <w:marTop w:val="0"/>
                                                                                                                                                                                                                                                  <w:marBottom w:val="0"/>
                                                                                                                                                                                                                                                  <w:divBdr>
                                                                                                                                                                                                                                                    <w:top w:val="none" w:sz="0" w:space="0" w:color="auto"/>
                                                                                                                                                                                                                                                    <w:left w:val="none" w:sz="0" w:space="0" w:color="auto"/>
                                                                                                                                                                                                                                                    <w:bottom w:val="none" w:sz="0" w:space="0" w:color="auto"/>
                                                                                                                                                                                                                                                    <w:right w:val="none" w:sz="0" w:space="0" w:color="auto"/>
                                                                                                                                                                                                                                                  </w:divBdr>
                                                                                                                                                                                                                                                  <w:divsChild>
                                                                                                                                                                                                                                                    <w:div w:id="322902319">
                                                                                                                                                                                                                                                      <w:marLeft w:val="0"/>
                                                                                                                                                                                                                                                      <w:marRight w:val="0"/>
                                                                                                                                                                                                                                                      <w:marTop w:val="0"/>
                                                                                                                                                                                                                                                      <w:marBottom w:val="0"/>
                                                                                                                                                                                                                                                      <w:divBdr>
                                                                                                                                                                                                                                                        <w:top w:val="none" w:sz="0" w:space="0" w:color="auto"/>
                                                                                                                                                                                                                                                        <w:left w:val="none" w:sz="0" w:space="0" w:color="auto"/>
                                                                                                                                                                                                                                                        <w:bottom w:val="none" w:sz="0" w:space="0" w:color="auto"/>
                                                                                                                                                                                                                                                        <w:right w:val="none" w:sz="0" w:space="0" w:color="auto"/>
                                                                                                                                                                                                                                                      </w:divBdr>
                                                                                                                                                                                                                                                      <w:divsChild>
                                                                                                                                                                                                                                                        <w:div w:id="2095933056">
                                                                                                                                                                                                                                                          <w:marLeft w:val="0"/>
                                                                                                                                                                                                                                                          <w:marRight w:val="0"/>
                                                                                                                                                                                                                                                          <w:marTop w:val="0"/>
                                                                                                                                                                                                                                                          <w:marBottom w:val="0"/>
                                                                                                                                                                                                                                                          <w:divBdr>
                                                                                                                                                                                                                                                            <w:top w:val="none" w:sz="0" w:space="0" w:color="auto"/>
                                                                                                                                                                                                                                                            <w:left w:val="none" w:sz="0" w:space="0" w:color="auto"/>
                                                                                                                                                                                                                                                            <w:bottom w:val="none" w:sz="0" w:space="0" w:color="auto"/>
                                                                                                                                                                                                                                                            <w:right w:val="none" w:sz="0" w:space="0" w:color="auto"/>
                                                                                                                                                                                                                                                          </w:divBdr>
                                                                                                                                                                                                                                                          <w:divsChild>
                                                                                                                                                                                                                                                            <w:div w:id="652951800">
                                                                                                                                                                                                                                                              <w:marLeft w:val="0"/>
                                                                                                                                                                                                                                                              <w:marRight w:val="0"/>
                                                                                                                                                                                                                                                              <w:marTop w:val="0"/>
                                                                                                                                                                                                                                                              <w:marBottom w:val="0"/>
                                                                                                                                                                                                                                                              <w:divBdr>
                                                                                                                                                                                                                                                                <w:top w:val="none" w:sz="0" w:space="0" w:color="auto"/>
                                                                                                                                                                                                                                                                <w:left w:val="none" w:sz="0" w:space="0" w:color="auto"/>
                                                                                                                                                                                                                                                                <w:bottom w:val="none" w:sz="0" w:space="0" w:color="auto"/>
                                                                                                                                                                                                                                                                <w:right w:val="none" w:sz="0" w:space="0" w:color="auto"/>
                                                                                                                                                                                                                                                              </w:divBdr>
                                                                                                                                                                                                                                                              <w:divsChild>
                                                                                                                                                                                                                                                                <w:div w:id="1628659214">
                                                                                                                                                                                                                                                                  <w:marLeft w:val="0"/>
                                                                                                                                                                                                                                                                  <w:marRight w:val="0"/>
                                                                                                                                                                                                                                                                  <w:marTop w:val="0"/>
                                                                                                                                                                                                                                                                  <w:marBottom w:val="0"/>
                                                                                                                                                                                                                                                                  <w:divBdr>
                                                                                                                                                                                                                                                                    <w:top w:val="none" w:sz="0" w:space="0" w:color="auto"/>
                                                                                                                                                                                                                                                                    <w:left w:val="none" w:sz="0" w:space="0" w:color="auto"/>
                                                                                                                                                                                                                                                                    <w:bottom w:val="none" w:sz="0" w:space="0" w:color="auto"/>
                                                                                                                                                                                                                                                                    <w:right w:val="none" w:sz="0" w:space="0" w:color="auto"/>
                                                                                                                                                                                                                                                                  </w:divBdr>
                                                                                                                                                                                                                                                                  <w:divsChild>
                                                                                                                                                                                                                                                                    <w:div w:id="1208254370">
                                                                                                                                                                                                                                                                      <w:marLeft w:val="0"/>
                                                                                                                                                                                                                                                                      <w:marRight w:val="0"/>
                                                                                                                                                                                                                                                                      <w:marTop w:val="0"/>
                                                                                                                                                                                                                                                                      <w:marBottom w:val="0"/>
                                                                                                                                                                                                                                                                      <w:divBdr>
                                                                                                                                                                                                                                                                        <w:top w:val="none" w:sz="0" w:space="0" w:color="auto"/>
                                                                                                                                                                                                                                                                        <w:left w:val="none" w:sz="0" w:space="0" w:color="auto"/>
                                                                                                                                                                                                                                                                        <w:bottom w:val="none" w:sz="0" w:space="0" w:color="auto"/>
                                                                                                                                                                                                                                                                        <w:right w:val="none" w:sz="0" w:space="0" w:color="auto"/>
                                                                                                                                                                                                                                                                      </w:divBdr>
                                                                                                                                                                                                                                                                      <w:divsChild>
                                                                                                                                                                                                                                                                        <w:div w:id="202450311">
                                                                                                                                                                                                                                                                          <w:marLeft w:val="0"/>
                                                                                                                                                                                                                                                                          <w:marRight w:val="0"/>
                                                                                                                                                                                                                                                                          <w:marTop w:val="0"/>
                                                                                                                                                                                                                                                                          <w:marBottom w:val="0"/>
                                                                                                                                                                                                                                                                          <w:divBdr>
                                                                                                                                                                                                                                                                            <w:top w:val="none" w:sz="0" w:space="0" w:color="auto"/>
                                                                                                                                                                                                                                                                            <w:left w:val="none" w:sz="0" w:space="0" w:color="auto"/>
                                                                                                                                                                                                                                                                            <w:bottom w:val="none" w:sz="0" w:space="0" w:color="auto"/>
                                                                                                                                                                                                                                                                            <w:right w:val="none" w:sz="0" w:space="0" w:color="auto"/>
                                                                                                                                                                                                                                                                          </w:divBdr>
                                                                                                                                                                                                                                                                        </w:div>
                                                                                                                                                                                                                                                                        <w:div w:id="199166396">
                                                                                                                                                                                                                                                                          <w:marLeft w:val="0"/>
                                                                                                                                                                                                                                                                          <w:marRight w:val="0"/>
                                                                                                                                                                                                                                                                          <w:marTop w:val="0"/>
                                                                                                                                                                                                                                                                          <w:marBottom w:val="0"/>
                                                                                                                                                                                                                                                                          <w:divBdr>
                                                                                                                                                                                                                                                                            <w:top w:val="none" w:sz="0" w:space="0" w:color="auto"/>
                                                                                                                                                                                                                                                                            <w:left w:val="none" w:sz="0" w:space="0" w:color="auto"/>
                                                                                                                                                                                                                                                                            <w:bottom w:val="none" w:sz="0" w:space="0" w:color="auto"/>
                                                                                                                                                                                                                                                                            <w:right w:val="none" w:sz="0" w:space="0" w:color="auto"/>
                                                                                                                                                                                                                                                                          </w:divBdr>
                                                                                                                                                                                                                                                                          <w:divsChild>
                                                                                                                                                                                                                                                                            <w:div w:id="186722069">
                                                                                                                                                                                                                                                                              <w:marLeft w:val="0"/>
                                                                                                                                                                                                                                                                              <w:marRight w:val="0"/>
                                                                                                                                                                                                                                                                              <w:marTop w:val="0"/>
                                                                                                                                                                                                                                                                              <w:marBottom w:val="0"/>
                                                                                                                                                                                                                                                                              <w:divBdr>
                                                                                                                                                                                                                                                                                <w:top w:val="none" w:sz="0" w:space="0" w:color="auto"/>
                                                                                                                                                                                                                                                                                <w:left w:val="none" w:sz="0" w:space="0" w:color="auto"/>
                                                                                                                                                                                                                                                                                <w:bottom w:val="none" w:sz="0" w:space="0" w:color="auto"/>
                                                                                                                                                                                                                                                                                <w:right w:val="none" w:sz="0" w:space="0" w:color="auto"/>
                                                                                                                                                                                                                                                                              </w:divBdr>
                                                                                                                                                                                                                                                                              <w:divsChild>
                                                                                                                                                                                                                                                                                <w:div w:id="298148287">
                                                                                                                                                                                                                                                                                  <w:marLeft w:val="0"/>
                                                                                                                                                                                                                                                                                  <w:marRight w:val="0"/>
                                                                                                                                                                                                                                                                                  <w:marTop w:val="0"/>
                                                                                                                                                                                                                                                                                  <w:marBottom w:val="0"/>
                                                                                                                                                                                                                                                                                  <w:divBdr>
                                                                                                                                                                                                                                                                                    <w:top w:val="none" w:sz="0" w:space="0" w:color="auto"/>
                                                                                                                                                                                                                                                                                    <w:left w:val="none" w:sz="0" w:space="0" w:color="auto"/>
                                                                                                                                                                                                                                                                                    <w:bottom w:val="none" w:sz="0" w:space="0" w:color="auto"/>
                                                                                                                                                                                                                                                                                    <w:right w:val="none" w:sz="0" w:space="0" w:color="auto"/>
                                                                                                                                                                                                                                                                                  </w:divBdr>
                                                                                                                                                                                                                                                                                  <w:divsChild>
                                                                                                                                                                                                                                                                                    <w:div w:id="264922780">
                                                                                                                                                                                                                                                                                      <w:marLeft w:val="0"/>
                                                                                                                                                                                                                                                                                      <w:marRight w:val="0"/>
                                                                                                                                                                                                                                                                                      <w:marTop w:val="0"/>
                                                                                                                                                                                                                                                                                      <w:marBottom w:val="0"/>
                                                                                                                                                                                                                                                                                      <w:divBdr>
                                                                                                                                                                                                                                                                                        <w:top w:val="none" w:sz="0" w:space="0" w:color="auto"/>
                                                                                                                                                                                                                                                                                        <w:left w:val="none" w:sz="0" w:space="0" w:color="auto"/>
                                                                                                                                                                                                                                                                                        <w:bottom w:val="none" w:sz="0" w:space="0" w:color="auto"/>
                                                                                                                                                                                                                                                                                        <w:right w:val="none" w:sz="0" w:space="0" w:color="auto"/>
                                                                                                                                                                                                                                                                                      </w:divBdr>
                                                                                                                                                                                                                                                                                      <w:divsChild>
                                                                                                                                                                                                                                                                                        <w:div w:id="1611623574">
                                                                                                                                                                                                                                                                                          <w:marLeft w:val="0"/>
                                                                                                                                                                                                                                                                                          <w:marRight w:val="0"/>
                                                                                                                                                                                                                                                                                          <w:marTop w:val="0"/>
                                                                                                                                                                                                                                                                                          <w:marBottom w:val="0"/>
                                                                                                                                                                                                                                                                                          <w:divBdr>
                                                                                                                                                                                                                                                                                            <w:top w:val="none" w:sz="0" w:space="0" w:color="auto"/>
                                                                                                                                                                                                                                                                                            <w:left w:val="none" w:sz="0" w:space="0" w:color="auto"/>
                                                                                                                                                                                                                                                                                            <w:bottom w:val="none" w:sz="0" w:space="0" w:color="auto"/>
                                                                                                                                                                                                                                                                                            <w:right w:val="none" w:sz="0" w:space="0" w:color="auto"/>
                                                                                                                                                                                                                                                                                          </w:divBdr>
                                                                                                                                                                                                                                                                                          <w:divsChild>
                                                                                                                                                                                                                                                                                            <w:div w:id="275140601">
                                                                                                                                                                                                                                                                                              <w:marLeft w:val="0"/>
                                                                                                                                                                                                                                                                                              <w:marRight w:val="0"/>
                                                                                                                                                                                                                                                                                              <w:marTop w:val="0"/>
                                                                                                                                                                                                                                                                                              <w:marBottom w:val="0"/>
                                                                                                                                                                                                                                                                                              <w:divBdr>
                                                                                                                                                                                                                                                                                                <w:top w:val="none" w:sz="0" w:space="0" w:color="auto"/>
                                                                                                                                                                                                                                                                                                <w:left w:val="none" w:sz="0" w:space="0" w:color="auto"/>
                                                                                                                                                                                                                                                                                                <w:bottom w:val="none" w:sz="0" w:space="0" w:color="auto"/>
                                                                                                                                                                                                                                                                                                <w:right w:val="none" w:sz="0" w:space="0" w:color="auto"/>
                                                                                                                                                                                                                                                                                              </w:divBdr>
                                                                                                                                                                                                                                                                                              <w:divsChild>
                                                                                                                                                                                                                                                                                                <w:div w:id="1008093858">
                                                                                                                                                                                                                                                                                                  <w:marLeft w:val="0"/>
                                                                                                                                                                                                                                                                                                  <w:marRight w:val="0"/>
                                                                                                                                                                                                                                                                                                  <w:marTop w:val="0"/>
                                                                                                                                                                                                                                                                                                  <w:marBottom w:val="0"/>
                                                                                                                                                                                                                                                                                                  <w:divBdr>
                                                                                                                                                                                                                                                                                                    <w:top w:val="none" w:sz="0" w:space="0" w:color="auto"/>
                                                                                                                                                                                                                                                                                                    <w:left w:val="none" w:sz="0" w:space="0" w:color="auto"/>
                                                                                                                                                                                                                                                                                                    <w:bottom w:val="none" w:sz="0" w:space="0" w:color="auto"/>
                                                                                                                                                                                                                                                                                                    <w:right w:val="none" w:sz="0" w:space="0" w:color="auto"/>
                                                                                                                                                                                                                                                                                                  </w:divBdr>
                                                                                                                                                                                                                                                                                                  <w:divsChild>
                                                                                                                                                                                                                                                                                                    <w:div w:id="1992098767">
                                                                                                                                                                                                                                                                                                      <w:marLeft w:val="0"/>
                                                                                                                                                                                                                                                                                                      <w:marRight w:val="0"/>
                                                                                                                                                                                                                                                                                                      <w:marTop w:val="0"/>
                                                                                                                                                                                                                                                                                                      <w:marBottom w:val="0"/>
                                                                                                                                                                                                                                                                                                      <w:divBdr>
                                                                                                                                                                                                                                                                                                        <w:top w:val="none" w:sz="0" w:space="0" w:color="auto"/>
                                                                                                                                                                                                                                                                                                        <w:left w:val="none" w:sz="0" w:space="0" w:color="auto"/>
                                                                                                                                                                                                                                                                                                        <w:bottom w:val="none" w:sz="0" w:space="0" w:color="auto"/>
                                                                                                                                                                                                                                                                                                        <w:right w:val="none" w:sz="0" w:space="0" w:color="auto"/>
                                                                                                                                                                                                                                                                                                      </w:divBdr>
                                                                                                                                                                                                                                                                                                      <w:divsChild>
                                                                                                                                                                                                                                                                                                        <w:div w:id="1162619427">
                                                                                                                                                                                                                                                                                                          <w:marLeft w:val="0"/>
                                                                                                                                                                                                                                                                                                          <w:marRight w:val="0"/>
                                                                                                                                                                                                                                                                                                          <w:marTop w:val="0"/>
                                                                                                                                                                                                                                                                                                          <w:marBottom w:val="0"/>
                                                                                                                                                                                                                                                                                                          <w:divBdr>
                                                                                                                                                                                                                                                                                                            <w:top w:val="none" w:sz="0" w:space="0" w:color="auto"/>
                                                                                                                                                                                                                                                                                                            <w:left w:val="none" w:sz="0" w:space="0" w:color="auto"/>
                                                                                                                                                                                                                                                                                                            <w:bottom w:val="none" w:sz="0" w:space="0" w:color="auto"/>
                                                                                                                                                                                                                                                                                                            <w:right w:val="none" w:sz="0" w:space="0" w:color="auto"/>
                                                                                                                                                                                                                                                                                                          </w:divBdr>
                                                                                                                                                                                                                                                                                                          <w:divsChild>
                                                                                                                                                                                                                                                                                                            <w:div w:id="824200328">
                                                                                                                                                                                                                                                                                                              <w:marLeft w:val="0"/>
                                                                                                                                                                                                                                                                                                              <w:marRight w:val="0"/>
                                                                                                                                                                                                                                                                                                              <w:marTop w:val="0"/>
                                                                                                                                                                                                                                                                                                              <w:marBottom w:val="0"/>
                                                                                                                                                                                                                                                                                                              <w:divBdr>
                                                                                                                                                                                                                                                                                                                <w:top w:val="none" w:sz="0" w:space="0" w:color="auto"/>
                                                                                                                                                                                                                                                                                                                <w:left w:val="none" w:sz="0" w:space="0" w:color="auto"/>
                                                                                                                                                                                                                                                                                                                <w:bottom w:val="none" w:sz="0" w:space="0" w:color="auto"/>
                                                                                                                                                                                                                                                                                                                <w:right w:val="none" w:sz="0" w:space="0" w:color="auto"/>
                                                                                                                                                                                                                                                                                                              </w:divBdr>
                                                                                                                                                                                                                                                                                                              <w:divsChild>
                                                                                                                                                                                                                                                                                                                <w:div w:id="313726252">
                                                                                                                                                                                                                                                                                                                  <w:marLeft w:val="0"/>
                                                                                                                                                                                                                                                                                                                  <w:marRight w:val="0"/>
                                                                                                                                                                                                                                                                                                                  <w:marTop w:val="0"/>
                                                                                                                                                                                                                                                                                                                  <w:marBottom w:val="0"/>
                                                                                                                                                                                                                                                                                                                  <w:divBdr>
                                                                                                                                                                                                                                                                                                                    <w:top w:val="none" w:sz="0" w:space="0" w:color="auto"/>
                                                                                                                                                                                                                                                                                                                    <w:left w:val="none" w:sz="0" w:space="0" w:color="auto"/>
                                                                                                                                                                                                                                                                                                                    <w:bottom w:val="none" w:sz="0" w:space="0" w:color="auto"/>
                                                                                                                                                                                                                                                                                                                    <w:right w:val="none" w:sz="0" w:space="0" w:color="auto"/>
                                                                                                                                                                                                                                                                                                                  </w:divBdr>
                                                                                                                                                                                                                                                                                                                  <w:divsChild>
                                                                                                                                                                                                                                                                                                                    <w:div w:id="265503760">
                                                                                                                                                                                                                                                                                                                      <w:marLeft w:val="0"/>
                                                                                                                                                                                                                                                                                                                      <w:marRight w:val="0"/>
                                                                                                                                                                                                                                                                                                                      <w:marTop w:val="0"/>
                                                                                                                                                                                                                                                                                                                      <w:marBottom w:val="0"/>
                                                                                                                                                                                                                                                                                                                      <w:divBdr>
                                                                                                                                                                                                                                                                                                                        <w:top w:val="none" w:sz="0" w:space="0" w:color="auto"/>
                                                                                                                                                                                                                                                                                                                        <w:left w:val="none" w:sz="0" w:space="0" w:color="auto"/>
                                                                                                                                                                                                                                                                                                                        <w:bottom w:val="none" w:sz="0" w:space="0" w:color="auto"/>
                                                                                                                                                                                                                                                                                                                        <w:right w:val="none" w:sz="0" w:space="0" w:color="auto"/>
                                                                                                                                                                                                                                                                                                                      </w:divBdr>
                                                                                                                                                                                                                                                                                                                      <w:divsChild>
                                                                                                                                                                                                                                                                                                                        <w:div w:id="1632399490">
                                                                                                                                                                                                                                                                                                                          <w:marLeft w:val="0"/>
                                                                                                                                                                                                                                                                                                                          <w:marRight w:val="0"/>
                                                                                                                                                                                                                                                                                                                          <w:marTop w:val="0"/>
                                                                                                                                                                                                                                                                                                                          <w:marBottom w:val="0"/>
                                                                                                                                                                                                                                                                                                                          <w:divBdr>
                                                                                                                                                                                                                                                                                                                            <w:top w:val="none" w:sz="0" w:space="0" w:color="auto"/>
                                                                                                                                                                                                                                                                                                                            <w:left w:val="none" w:sz="0" w:space="0" w:color="auto"/>
                                                                                                                                                                                                                                                                                                                            <w:bottom w:val="none" w:sz="0" w:space="0" w:color="auto"/>
                                                                                                                                                                                                                                                                                                                            <w:right w:val="none" w:sz="0" w:space="0" w:color="auto"/>
                                                                                                                                                                                                                                                                                                                          </w:divBdr>
                                                                                                                                                                                                                                                                                                                          <w:divsChild>
                                                                                                                                                                                                                                                                                                                            <w:div w:id="393814975">
                                                                                                                                                                                                                                                                                                                              <w:marLeft w:val="0"/>
                                                                                                                                                                                                                                                                                                                              <w:marRight w:val="0"/>
                                                                                                                                                                                                                                                                                                                              <w:marTop w:val="0"/>
                                                                                                                                                                                                                                                                                                                              <w:marBottom w:val="0"/>
                                                                                                                                                                                                                                                                                                                              <w:divBdr>
                                                                                                                                                                                                                                                                                                                                <w:top w:val="none" w:sz="0" w:space="0" w:color="auto"/>
                                                                                                                                                                                                                                                                                                                                <w:left w:val="none" w:sz="0" w:space="0" w:color="auto"/>
                                                                                                                                                                                                                                                                                                                                <w:bottom w:val="none" w:sz="0" w:space="0" w:color="auto"/>
                                                                                                                                                                                                                                                                                                                                <w:right w:val="none" w:sz="0" w:space="0" w:color="auto"/>
                                                                                                                                                                                                                                                                                                                              </w:divBdr>
                                                                                                                                                                                                                                                                                                                              <w:divsChild>
                                                                                                                                                                                                                                                                                                                                <w:div w:id="2123642415">
                                                                                                                                                                                                                                                                                                                                  <w:marLeft w:val="0"/>
                                                                                                                                                                                                                                                                                                                                  <w:marRight w:val="0"/>
                                                                                                                                                                                                                                                                                                                                  <w:marTop w:val="0"/>
                                                                                                                                                                                                                                                                                                                                  <w:marBottom w:val="0"/>
                                                                                                                                                                                                                                                                                                                                  <w:divBdr>
                                                                                                                                                                                                                                                                                                                                    <w:top w:val="none" w:sz="0" w:space="0" w:color="auto"/>
                                                                                                                                                                                                                                                                                                                                    <w:left w:val="none" w:sz="0" w:space="0" w:color="auto"/>
                                                                                                                                                                                                                                                                                                                                    <w:bottom w:val="none" w:sz="0" w:space="0" w:color="auto"/>
                                                                                                                                                                                                                                                                                                                                    <w:right w:val="none" w:sz="0" w:space="0" w:color="auto"/>
                                                                                                                                                                                                                                                                                                                                  </w:divBdr>
                                                                                                                                                                                                                                                                                                                                  <w:divsChild>
                                                                                                                                                                                                                                                                                                                                    <w:div w:id="2008315372">
                                                                                                                                                                                                                                                                                                                                      <w:marLeft w:val="0"/>
                                                                                                                                                                                                                                                                                                                                      <w:marRight w:val="0"/>
                                                                                                                                                                                                                                                                                                                                      <w:marTop w:val="0"/>
                                                                                                                                                                                                                                                                                                                                      <w:marBottom w:val="0"/>
                                                                                                                                                                                                                                                                                                                                      <w:divBdr>
                                                                                                                                                                                                                                                                                                                                        <w:top w:val="none" w:sz="0" w:space="0" w:color="auto"/>
                                                                                                                                                                                                                                                                                                                                        <w:left w:val="none" w:sz="0" w:space="0" w:color="auto"/>
                                                                                                                                                                                                                                                                                                                                        <w:bottom w:val="none" w:sz="0" w:space="0" w:color="auto"/>
                                                                                                                                                                                                                                                                                                                                        <w:right w:val="none" w:sz="0" w:space="0" w:color="auto"/>
                                                                                                                                                                                                                                                                                                                                      </w:divBdr>
                                                                                                                                                                                                                                                                                                                                      <w:divsChild>
                                                                                                                                                                                                                                                                                                                                        <w:div w:id="671295703">
                                                                                                                                                                                                                                                                                                                                          <w:marLeft w:val="0"/>
                                                                                                                                                                                                                                                                                                                                          <w:marRight w:val="0"/>
                                                                                                                                                                                                                                                                                                                                          <w:marTop w:val="0"/>
                                                                                                                                                                                                                                                                                                                                          <w:marBottom w:val="0"/>
                                                                                                                                                                                                                                                                                                                                          <w:divBdr>
                                                                                                                                                                                                                                                                                                                                            <w:top w:val="none" w:sz="0" w:space="0" w:color="auto"/>
                                                                                                                                                                                                                                                                                                                                            <w:left w:val="none" w:sz="0" w:space="0" w:color="auto"/>
                                                                                                                                                                                                                                                                                                                                            <w:bottom w:val="none" w:sz="0" w:space="0" w:color="auto"/>
                                                                                                                                                                                                                                                                                                                                            <w:right w:val="none" w:sz="0" w:space="0" w:color="auto"/>
                                                                                                                                                                                                                                                                                                                                          </w:divBdr>
                                                                                                                                                                                                                                                                                                                                          <w:divsChild>
                                                                                                                                                                                                                                                                                                                                            <w:div w:id="1959411259">
                                                                                                                                                                                                                                                                                                                                              <w:marLeft w:val="0"/>
                                                                                                                                                                                                                                                                                                                                              <w:marRight w:val="0"/>
                                                                                                                                                                                                                                                                                                                                              <w:marTop w:val="0"/>
                                                                                                                                                                                                                                                                                                                                              <w:marBottom w:val="0"/>
                                                                                                                                                                                                                                                                                                                                              <w:divBdr>
                                                                                                                                                                                                                                                                                                                                                <w:top w:val="none" w:sz="0" w:space="0" w:color="auto"/>
                                                                                                                                                                                                                                                                                                                                                <w:left w:val="none" w:sz="0" w:space="0" w:color="auto"/>
                                                                                                                                                                                                                                                                                                                                                <w:bottom w:val="none" w:sz="0" w:space="0" w:color="auto"/>
                                                                                                                                                                                                                                                                                                                                                <w:right w:val="none" w:sz="0" w:space="0" w:color="auto"/>
                                                                                                                                                                                                                                                                                                                                              </w:divBdr>
                                                                                                                                                                                                                                                                                                                                              <w:divsChild>
                                                                                                                                                                                                                                                                                                                                                <w:div w:id="301815368">
                                                                                                                                                                                                                                                                                                                                                  <w:marLeft w:val="0"/>
                                                                                                                                                                                                                                                                                                                                                  <w:marRight w:val="0"/>
                                                                                                                                                                                                                                                                                                                                                  <w:marTop w:val="0"/>
                                                                                                                                                                                                                                                                                                                                                  <w:marBottom w:val="0"/>
                                                                                                                                                                                                                                                                                                                                                  <w:divBdr>
                                                                                                                                                                                                                                                                                                                                                    <w:top w:val="none" w:sz="0" w:space="0" w:color="auto"/>
                                                                                                                                                                                                                                                                                                                                                    <w:left w:val="none" w:sz="0" w:space="0" w:color="auto"/>
                                                                                                                                                                                                                                                                                                                                                    <w:bottom w:val="none" w:sz="0" w:space="0" w:color="auto"/>
                                                                                                                                                                                                                                                                                                                                                    <w:right w:val="none" w:sz="0" w:space="0" w:color="auto"/>
                                                                                                                                                                                                                                                                                                                                                  </w:divBdr>
                                                                                                                                                                                                                                                                                                                                                  <w:divsChild>
                                                                                                                                                                                                                                                                                                                                                    <w:div w:id="1282877689">
                                                                                                                                                                                                                                                                                                                                                      <w:marLeft w:val="0"/>
                                                                                                                                                                                                                                                                                                                                                      <w:marRight w:val="0"/>
                                                                                                                                                                                                                                                                                                                                                      <w:marTop w:val="0"/>
                                                                                                                                                                                                                                                                                                                                                      <w:marBottom w:val="0"/>
                                                                                                                                                                                                                                                                                                                                                      <w:divBdr>
                                                                                                                                                                                                                                                                                                                                                        <w:top w:val="none" w:sz="0" w:space="0" w:color="auto"/>
                                                                                                                                                                                                                                                                                                                                                        <w:left w:val="none" w:sz="0" w:space="0" w:color="auto"/>
                                                                                                                                                                                                                                                                                                                                                        <w:bottom w:val="none" w:sz="0" w:space="0" w:color="auto"/>
                                                                                                                                                                                                                                                                                                                                                        <w:right w:val="none" w:sz="0" w:space="0" w:color="auto"/>
                                                                                                                                                                                                                                                                                                                                                      </w:divBdr>
                                                                                                                                                                                                                                                                                                                                                      <w:divsChild>
                                                                                                                                                                                                                                                                                                                                                        <w:div w:id="2023777544">
                                                                                                                                                                                                                                                                                                                                                          <w:marLeft w:val="0"/>
                                                                                                                                                                                                                                                                                                                                                          <w:marRight w:val="0"/>
                                                                                                                                                                                                                                                                                                                                                          <w:marTop w:val="0"/>
                                                                                                                                                                                                                                                                                                                                                          <w:marBottom w:val="0"/>
                                                                                                                                                                                                                                                                                                                                                          <w:divBdr>
                                                                                                                                                                                                                                                                                                                                                            <w:top w:val="none" w:sz="0" w:space="0" w:color="auto"/>
                                                                                                                                                                                                                                                                                                                                                            <w:left w:val="none" w:sz="0" w:space="0" w:color="auto"/>
                                                                                                                                                                                                                                                                                                                                                            <w:bottom w:val="none" w:sz="0" w:space="0" w:color="auto"/>
                                                                                                                                                                                                                                                                                                                                                            <w:right w:val="none" w:sz="0" w:space="0" w:color="auto"/>
                                                                                                                                                                                                                                                                                                                                                          </w:divBdr>
                                                                                                                                                                                                                                                                                                                                                          <w:divsChild>
                                                                                                                                                                                                                                                                                                                                                            <w:div w:id="978613929">
                                                                                                                                                                                                                                                                                                                                                              <w:marLeft w:val="0"/>
                                                                                                                                                                                                                                                                                                                                                              <w:marRight w:val="0"/>
                                                                                                                                                                                                                                                                                                                                                              <w:marTop w:val="0"/>
                                                                                                                                                                                                                                                                                                                                                              <w:marBottom w:val="0"/>
                                                                                                                                                                                                                                                                                                                                                              <w:divBdr>
                                                                                                                                                                                                                                                                                                                                                                <w:top w:val="none" w:sz="0" w:space="0" w:color="auto"/>
                                                                                                                                                                                                                                                                                                                                                                <w:left w:val="none" w:sz="0" w:space="0" w:color="auto"/>
                                                                                                                                                                                                                                                                                                                                                                <w:bottom w:val="none" w:sz="0" w:space="0" w:color="auto"/>
                                                                                                                                                                                                                                                                                                                                                                <w:right w:val="none" w:sz="0" w:space="0" w:color="auto"/>
                                                                                                                                                                                                                                                                                                                                                              </w:divBdr>
                                                                                                                                                                                                                                                                                                                                                              <w:divsChild>
                                                                                                                                                                                                                                                                                                                                                                <w:div w:id="756366686">
                                                                                                                                                                                                                                                                                                                                                                  <w:marLeft w:val="0"/>
                                                                                                                                                                                                                                                                                                                                                                  <w:marRight w:val="0"/>
                                                                                                                                                                                                                                                                                                                                                                  <w:marTop w:val="0"/>
                                                                                                                                                                                                                                                                                                                                                                  <w:marBottom w:val="0"/>
                                                                                                                                                                                                                                                                                                                                                                  <w:divBdr>
                                                                                                                                                                                                                                                                                                                                                                    <w:top w:val="none" w:sz="0" w:space="0" w:color="auto"/>
                                                                                                                                                                                                                                                                                                                                                                    <w:left w:val="none" w:sz="0" w:space="0" w:color="auto"/>
                                                                                                                                                                                                                                                                                                                                                                    <w:bottom w:val="none" w:sz="0" w:space="0" w:color="auto"/>
                                                                                                                                                                                                                                                                                                                                                                    <w:right w:val="none" w:sz="0" w:space="0" w:color="auto"/>
                                                                                                                                                                                                                                                                                                                                                                  </w:divBdr>
                                                                                                                                                                                                                                                                                                                                                                  <w:divsChild>
                                                                                                                                                                                                                                                                                                                                                                    <w:div w:id="1391348401">
                                                                                                                                                                                                                                                                                                                                                                      <w:marLeft w:val="0"/>
                                                                                                                                                                                                                                                                                                                                                                      <w:marRight w:val="0"/>
                                                                                                                                                                                                                                                                                                                                                                      <w:marTop w:val="0"/>
                                                                                                                                                                                                                                                                                                                                                                      <w:marBottom w:val="0"/>
                                                                                                                                                                                                                                                                                                                                                                      <w:divBdr>
                                                                                                                                                                                                                                                                                                                                                                        <w:top w:val="none" w:sz="0" w:space="0" w:color="auto"/>
                                                                                                                                                                                                                                                                                                                                                                        <w:left w:val="none" w:sz="0" w:space="0" w:color="auto"/>
                                                                                                                                                                                                                                                                                                                                                                        <w:bottom w:val="none" w:sz="0" w:space="0" w:color="auto"/>
                                                                                                                                                                                                                                                                                                                                                                        <w:right w:val="none" w:sz="0" w:space="0" w:color="auto"/>
                                                                                                                                                                                                                                                                                                                                                                      </w:divBdr>
                                                                                                                                                                                                                                                                                                                                                                      <w:divsChild>
                                                                                                                                                                                                                                                                                                                                                                        <w:div w:id="1060372522">
                                                                                                                                                                                                                                                                                                                                                                          <w:marLeft w:val="0"/>
                                                                                                                                                                                                                                                                                                                                                                          <w:marRight w:val="0"/>
                                                                                                                                                                                                                                                                                                                                                                          <w:marTop w:val="0"/>
                                                                                                                                                                                                                                                                                                                                                                          <w:marBottom w:val="0"/>
                                                                                                                                                                                                                                                                                                                                                                          <w:divBdr>
                                                                                                                                                                                                                                                                                                                                                                            <w:top w:val="none" w:sz="0" w:space="0" w:color="auto"/>
                                                                                                                                                                                                                                                                                                                                                                            <w:left w:val="none" w:sz="0" w:space="0" w:color="auto"/>
                                                                                                                                                                                                                                                                                                                                                                            <w:bottom w:val="none" w:sz="0" w:space="0" w:color="auto"/>
                                                                                                                                                                                                                                                                                                                                                                            <w:right w:val="none" w:sz="0" w:space="0" w:color="auto"/>
                                                                                                                                                                                                                                                                                                                                                                          </w:divBdr>
                                                                                                                                                                                                                                                                                                                                                                          <w:divsChild>
                                                                                                                                                                                                                                                                                                                                                                            <w:div w:id="1855924569">
                                                                                                                                                                                                                                                                                                                                                                              <w:marLeft w:val="0"/>
                                                                                                                                                                                                                                                                                                                                                                              <w:marRight w:val="0"/>
                                                                                                                                                                                                                                                                                                                                                                              <w:marTop w:val="0"/>
                                                                                                                                                                                                                                                                                                                                                                              <w:marBottom w:val="0"/>
                                                                                                                                                                                                                                                                                                                                                                              <w:divBdr>
                                                                                                                                                                                                                                                                                                                                                                                <w:top w:val="none" w:sz="0" w:space="0" w:color="auto"/>
                                                                                                                                                                                                                                                                                                                                                                                <w:left w:val="none" w:sz="0" w:space="0" w:color="auto"/>
                                                                                                                                                                                                                                                                                                                                                                                <w:bottom w:val="none" w:sz="0" w:space="0" w:color="auto"/>
                                                                                                                                                                                                                                                                                                                                                                                <w:right w:val="none" w:sz="0" w:space="0" w:color="auto"/>
                                                                                                                                                                                                                                                                                                                                                                              </w:divBdr>
                                                                                                                                                                                                                                                                                                                                                                              <w:divsChild>
                                                                                                                                                                                                                                                                                                                                                                                <w:div w:id="808397783">
                                                                                                                                                                                                                                                                                                                                                                                  <w:marLeft w:val="0"/>
                                                                                                                                                                                                                                                                                                                                                                                  <w:marRight w:val="0"/>
                                                                                                                                                                                                                                                                                                                                                                                  <w:marTop w:val="0"/>
                                                                                                                                                                                                                                                                                                                                                                                  <w:marBottom w:val="0"/>
                                                                                                                                                                                                                                                                                                                                                                                  <w:divBdr>
                                                                                                                                                                                                                                                                                                                                                                                    <w:top w:val="none" w:sz="0" w:space="0" w:color="auto"/>
                                                                                                                                                                                                                                                                                                                                                                                    <w:left w:val="none" w:sz="0" w:space="0" w:color="auto"/>
                                                                                                                                                                                                                                                                                                                                                                                    <w:bottom w:val="none" w:sz="0" w:space="0" w:color="auto"/>
                                                                                                                                                                                                                                                                                                                                                                                    <w:right w:val="none" w:sz="0" w:space="0" w:color="auto"/>
                                                                                                                                                                                                                                                                                                                                                                                  </w:divBdr>
                                                                                                                                                                                                                                                                                                                                                                                  <w:divsChild>
                                                                                                                                                                                                                                                                                                                                                                                    <w:div w:id="1916356092">
                                                                                                                                                                                                                                                                                                                                                                                      <w:marLeft w:val="0"/>
                                                                                                                                                                                                                                                                                                                                                                                      <w:marRight w:val="0"/>
                                                                                                                                                                                                                                                                                                                                                                                      <w:marTop w:val="0"/>
                                                                                                                                                                                                                                                                                                                                                                                      <w:marBottom w:val="0"/>
                                                                                                                                                                                                                                                                                                                                                                                      <w:divBdr>
                                                                                                                                                                                                                                                                                                                                                                                        <w:top w:val="none" w:sz="0" w:space="0" w:color="auto"/>
                                                                                                                                                                                                                                                                                                                                                                                        <w:left w:val="none" w:sz="0" w:space="0" w:color="auto"/>
                                                                                                                                                                                                                                                                                                                                                                                        <w:bottom w:val="none" w:sz="0" w:space="0" w:color="auto"/>
                                                                                                                                                                                                                                                                                                                                                                                        <w:right w:val="none" w:sz="0" w:space="0" w:color="auto"/>
                                                                                                                                                                                                                                                                                                                                                                                      </w:divBdr>
                                                                                                                                                                                                                                                                                                                                                                                      <w:divsChild>
                                                                                                                                                                                                                                                                                                                                                                                        <w:div w:id="1188376098">
                                                                                                                                                                                                                                                                                                                                                                                          <w:marLeft w:val="0"/>
                                                                                                                                                                                                                                                                                                                                                                                          <w:marRight w:val="0"/>
                                                                                                                                                                                                                                                                                                                                                                                          <w:marTop w:val="0"/>
                                                                                                                                                                                                                                                                                                                                                                                          <w:marBottom w:val="0"/>
                                                                                                                                                                                                                                                                                                                                                                                          <w:divBdr>
                                                                                                                                                                                                                                                                                                                                                                                            <w:top w:val="none" w:sz="0" w:space="0" w:color="auto"/>
                                                                                                                                                                                                                                                                                                                                                                                            <w:left w:val="none" w:sz="0" w:space="0" w:color="auto"/>
                                                                                                                                                                                                                                                                                                                                                                                            <w:bottom w:val="none" w:sz="0" w:space="0" w:color="auto"/>
                                                                                                                                                                                                                                                                                                                                                                                            <w:right w:val="none" w:sz="0" w:space="0" w:color="auto"/>
                                                                                                                                                                                                                                                                                                                                                                                          </w:divBdr>
                                                                                                                                                                                                                                                                                                                                                                                          <w:divsChild>
                                                                                                                                                                                                                                                                                                                                                                                            <w:div w:id="1248224164">
                                                                                                                                                                                                                                                                                                                                                                                              <w:marLeft w:val="0"/>
                                                                                                                                                                                                                                                                                                                                                                                              <w:marRight w:val="0"/>
                                                                                                                                                                                                                                                                                                                                                                                              <w:marTop w:val="0"/>
                                                                                                                                                                                                                                                                                                                                                                                              <w:marBottom w:val="0"/>
                                                                                                                                                                                                                                                                                                                                                                                              <w:divBdr>
                                                                                                                                                                                                                                                                                                                                                                                                <w:top w:val="none" w:sz="0" w:space="0" w:color="auto"/>
                                                                                                                                                                                                                                                                                                                                                                                                <w:left w:val="none" w:sz="0" w:space="0" w:color="auto"/>
                                                                                                                                                                                                                                                                                                                                                                                                <w:bottom w:val="none" w:sz="0" w:space="0" w:color="auto"/>
                                                                                                                                                                                                                                                                                                                                                                                                <w:right w:val="none" w:sz="0" w:space="0" w:color="auto"/>
                                                                                                                                                                                                                                                                                                                                                                                              </w:divBdr>
                                                                                                                                                                                                                                                                                                                                                                                              <w:divsChild>
                                                                                                                                                                                                                                                                                                                                                                                                <w:div w:id="1047100038">
                                                                                                                                                                                                                                                                                                                                                                                                  <w:marLeft w:val="0"/>
                                                                                                                                                                                                                                                                                                                                                                                                  <w:marRight w:val="0"/>
                                                                                                                                                                                                                                                                                                                                                                                                  <w:marTop w:val="0"/>
                                                                                                                                                                                                                                                                                                                                                                                                  <w:marBottom w:val="0"/>
                                                                                                                                                                                                                                                                                                                                                                                                  <w:divBdr>
                                                                                                                                                                                                                                                                                                                                                                                                    <w:top w:val="none" w:sz="0" w:space="0" w:color="auto"/>
                                                                                                                                                                                                                                                                                                                                                                                                    <w:left w:val="none" w:sz="0" w:space="0" w:color="auto"/>
                                                                                                                                                                                                                                                                                                                                                                                                    <w:bottom w:val="none" w:sz="0" w:space="0" w:color="auto"/>
                                                                                                                                                                                                                                                                                                                                                                                                    <w:right w:val="none" w:sz="0" w:space="0" w:color="auto"/>
                                                                                                                                                                                                                                                                                                                                                                                                  </w:divBdr>
                                                                                                                                                                                                                                                                                                                                                                                                  <w:divsChild>
                                                                                                                                                                                                                                                                                                                                                                                                    <w:div w:id="422729534">
                                                                                                                                                                                                                                                                                                                                                                                                      <w:marLeft w:val="0"/>
                                                                                                                                                                                                                                                                                                                                                                                                      <w:marRight w:val="0"/>
                                                                                                                                                                                                                                                                                                                                                                                                      <w:marTop w:val="0"/>
                                                                                                                                                                                                                                                                                                                                                                                                      <w:marBottom w:val="0"/>
                                                                                                                                                                                                                                                                                                                                                                                                      <w:divBdr>
                                                                                                                                                                                                                                                                                                                                                                                                        <w:top w:val="none" w:sz="0" w:space="0" w:color="auto"/>
                                                                                                                                                                                                                                                                                                                                                                                                        <w:left w:val="none" w:sz="0" w:space="0" w:color="auto"/>
                                                                                                                                                                                                                                                                                                                                                                                                        <w:bottom w:val="none" w:sz="0" w:space="0" w:color="auto"/>
                                                                                                                                                                                                                                                                                                                                                                                                        <w:right w:val="none" w:sz="0" w:space="0" w:color="auto"/>
                                                                                                                                                                                                                                                                                                                                                                                                      </w:divBdr>
                                                                                                                                                                                                                                                                                                                                                                                                      <w:divsChild>
                                                                                                                                                                                                                                                                                                                                                                                                        <w:div w:id="160580902">
                                                                                                                                                                                                                                                                                                                                                                                                          <w:marLeft w:val="0"/>
                                                                                                                                                                                                                                                                                                                                                                                                          <w:marRight w:val="0"/>
                                                                                                                                                                                                                                                                                                                                                                                                          <w:marTop w:val="0"/>
                                                                                                                                                                                                                                                                                                                                                                                                          <w:marBottom w:val="0"/>
                                                                                                                                                                                                                                                                                                                                                                                                          <w:divBdr>
                                                                                                                                                                                                                                                                                                                                                                                                            <w:top w:val="none" w:sz="0" w:space="0" w:color="auto"/>
                                                                                                                                                                                                                                                                                                                                                                                                            <w:left w:val="none" w:sz="0" w:space="0" w:color="auto"/>
                                                                                                                                                                                                                                                                                                                                                                                                            <w:bottom w:val="none" w:sz="0" w:space="0" w:color="auto"/>
                                                                                                                                                                                                                                                                                                                                                                                                            <w:right w:val="none" w:sz="0" w:space="0" w:color="auto"/>
                                                                                                                                                                                                                                                                                                                                                                                                          </w:divBdr>
                                                                                                                                                                                                                                                                                                                                                                                                          <w:divsChild>
                                                                                                                                                                                                                                                                                                                                                                                                            <w:div w:id="676808133">
                                                                                                                                                                                                                                                                                                                                                                                                              <w:marLeft w:val="0"/>
                                                                                                                                                                                                                                                                                                                                                                                                              <w:marRight w:val="0"/>
                                                                                                                                                                                                                                                                                                                                                                                                              <w:marTop w:val="0"/>
                                                                                                                                                                                                                                                                                                                                                                                                              <w:marBottom w:val="0"/>
                                                                                                                                                                                                                                                                                                                                                                                                              <w:divBdr>
                                                                                                                                                                                                                                                                                                                                                                                                                <w:top w:val="none" w:sz="0" w:space="0" w:color="auto"/>
                                                                                                                                                                                                                                                                                                                                                                                                                <w:left w:val="none" w:sz="0" w:space="0" w:color="auto"/>
                                                                                                                                                                                                                                                                                                                                                                                                                <w:bottom w:val="none" w:sz="0" w:space="0" w:color="auto"/>
                                                                                                                                                                                                                                                                                                                                                                                                                <w:right w:val="none" w:sz="0" w:space="0" w:color="auto"/>
                                                                                                                                                                                                                                                                                                                                                                                                              </w:divBdr>
                                                                                                                                                                                                                                                                                                                                                                                                              <w:divsChild>
                                                                                                                                                                                                                                                                                                                                                                                                                <w:div w:id="1357848845">
                                                                                                                                                                                                                                                                                                                                                                                                                  <w:marLeft w:val="0"/>
                                                                                                                                                                                                                                                                                                                                                                                                                  <w:marRight w:val="0"/>
                                                                                                                                                                                                                                                                                                                                                                                                                  <w:marTop w:val="0"/>
                                                                                                                                                                                                                                                                                                                                                                                                                  <w:marBottom w:val="0"/>
                                                                                                                                                                                                                                                                                                                                                                                                                  <w:divBdr>
                                                                                                                                                                                                                                                                                                                                                                                                                    <w:top w:val="none" w:sz="0" w:space="0" w:color="auto"/>
                                                                                                                                                                                                                                                                                                                                                                                                                    <w:left w:val="none" w:sz="0" w:space="0" w:color="auto"/>
                                                                                                                                                                                                                                                                                                                                                                                                                    <w:bottom w:val="none" w:sz="0" w:space="0" w:color="auto"/>
                                                                                                                                                                                                                                                                                                                                                                                                                    <w:right w:val="none" w:sz="0" w:space="0" w:color="auto"/>
                                                                                                                                                                                                                                                                                                                                                                                                                  </w:divBdr>
                                                                                                                                                                                                                                                                                                                                                                                                                  <w:divsChild>
                                                                                                                                                                                                                                                                                                                                                                                                                    <w:div w:id="1183398430">
                                                                                                                                                                                                                                                                                                                                                                                                                      <w:marLeft w:val="0"/>
                                                                                                                                                                                                                                                                                                                                                                                                                      <w:marRight w:val="0"/>
                                                                                                                                                                                                                                                                                                                                                                                                                      <w:marTop w:val="0"/>
                                                                                                                                                                                                                                                                                                                                                                                                                      <w:marBottom w:val="0"/>
                                                                                                                                                                                                                                                                                                                                                                                                                      <w:divBdr>
                                                                                                                                                                                                                                                                                                                                                                                                                        <w:top w:val="none" w:sz="0" w:space="0" w:color="auto"/>
                                                                                                                                                                                                                                                                                                                                                                                                                        <w:left w:val="none" w:sz="0" w:space="0" w:color="auto"/>
                                                                                                                                                                                                                                                                                                                                                                                                                        <w:bottom w:val="none" w:sz="0" w:space="0" w:color="auto"/>
                                                                                                                                                                                                                                                                                                                                                                                                                        <w:right w:val="none" w:sz="0" w:space="0" w:color="auto"/>
                                                                                                                                                                                                                                                                                                                                                                                                                      </w:divBdr>
                                                                                                                                                                                                                                                                                                                                                                                                                      <w:divsChild>
                                                                                                                                                                                                                                                                                                                                                                                                                        <w:div w:id="2041739608">
                                                                                                                                                                                                                                                                                                                                                                                                                          <w:marLeft w:val="0"/>
                                                                                                                                                                                                                                                                                                                                                                                                                          <w:marRight w:val="0"/>
                                                                                                                                                                                                                                                                                                                                                                                                                          <w:marTop w:val="0"/>
                                                                                                                                                                                                                                                                                                                                                                                                                          <w:marBottom w:val="0"/>
                                                                                                                                                                                                                                                                                                                                                                                                                          <w:divBdr>
                                                                                                                                                                                                                                                                                                                                                                                                                            <w:top w:val="none" w:sz="0" w:space="0" w:color="auto"/>
                                                                                                                                                                                                                                                                                                                                                                                                                            <w:left w:val="none" w:sz="0" w:space="0" w:color="auto"/>
                                                                                                                                                                                                                                                                                                                                                                                                                            <w:bottom w:val="none" w:sz="0" w:space="0" w:color="auto"/>
                                                                                                                                                                                                                                                                                                                                                                                                                            <w:right w:val="none" w:sz="0" w:space="0" w:color="auto"/>
                                                                                                                                                                                                                                                                                                                                                                                                                          </w:divBdr>
                                                                                                                                                                                                                                                                                                                                                                                                                          <w:divsChild>
                                                                                                                                                                                                                                                                                                                                                                                                                            <w:div w:id="1631280164">
                                                                                                                                                                                                                                                                                                                                                                                                                              <w:marLeft w:val="0"/>
                                                                                                                                                                                                                                                                                                                                                                                                                              <w:marRight w:val="0"/>
                                                                                                                                                                                                                                                                                                                                                                                                                              <w:marTop w:val="0"/>
                                                                                                                                                                                                                                                                                                                                                                                                                              <w:marBottom w:val="0"/>
                                                                                                                                                                                                                                                                                                                                                                                                                              <w:divBdr>
                                                                                                                                                                                                                                                                                                                                                                                                                                <w:top w:val="none" w:sz="0" w:space="0" w:color="auto"/>
                                                                                                                                                                                                                                                                                                                                                                                                                                <w:left w:val="none" w:sz="0" w:space="0" w:color="auto"/>
                                                                                                                                                                                                                                                                                                                                                                                                                                <w:bottom w:val="none" w:sz="0" w:space="0" w:color="auto"/>
                                                                                                                                                                                                                                                                                                                                                                                                                                <w:right w:val="none" w:sz="0" w:space="0" w:color="auto"/>
                                                                                                                                                                                                                                                                                                                                                                                                                              </w:divBdr>
                                                                                                                                                                                                                                                                                                                                                                                                                              <w:divsChild>
                                                                                                                                                                                                                                                                                                                                                                                                                                <w:div w:id="1307202517">
                                                                                                                                                                                                                                                                                                                                                                                                                                  <w:marLeft w:val="0"/>
                                                                                                                                                                                                                                                                                                                                                                                                                                  <w:marRight w:val="0"/>
                                                                                                                                                                                                                                                                                                                                                                                                                                  <w:marTop w:val="0"/>
                                                                                                                                                                                                                                                                                                                                                                                                                                  <w:marBottom w:val="0"/>
                                                                                                                                                                                                                                                                                                                                                                                                                                  <w:divBdr>
                                                                                                                                                                                                                                                                                                                                                                                                                                    <w:top w:val="none" w:sz="0" w:space="0" w:color="auto"/>
                                                                                                                                                                                                                                                                                                                                                                                                                                    <w:left w:val="none" w:sz="0" w:space="0" w:color="auto"/>
                                                                                                                                                                                                                                                                                                                                                                                                                                    <w:bottom w:val="none" w:sz="0" w:space="0" w:color="auto"/>
                                                                                                                                                                                                                                                                                                                                                                                                                                    <w:right w:val="none" w:sz="0" w:space="0" w:color="auto"/>
                                                                                                                                                                                                                                                                                                                                                                                                                                  </w:divBdr>
                                                                                                                                                                                                                                                                                                                                                                                                                                  <w:divsChild>
                                                                                                                                                                                                                                                                                                                                                                                                                                    <w:div w:id="1096173654">
                                                                                                                                                                                                                                                                                                                                                                                                                                      <w:marLeft w:val="0"/>
                                                                                                                                                                                                                                                                                                                                                                                                                                      <w:marRight w:val="0"/>
                                                                                                                                                                                                                                                                                                                                                                                                                                      <w:marTop w:val="0"/>
                                                                                                                                                                                                                                                                                                                                                                                                                                      <w:marBottom w:val="0"/>
                                                                                                                                                                                                                                                                                                                                                                                                                                      <w:divBdr>
                                                                                                                                                                                                                                                                                                                                                                                                                                        <w:top w:val="none" w:sz="0" w:space="0" w:color="auto"/>
                                                                                                                                                                                                                                                                                                                                                                                                                                        <w:left w:val="none" w:sz="0" w:space="0" w:color="auto"/>
                                                                                                                                                                                                                                                                                                                                                                                                                                        <w:bottom w:val="none" w:sz="0" w:space="0" w:color="auto"/>
                                                                                                                                                                                                                                                                                                                                                                                                                                        <w:right w:val="none" w:sz="0" w:space="0" w:color="auto"/>
                                                                                                                                                                                                                                                                                                                                                                                                                                      </w:divBdr>
                                                                                                                                                                                                                                                                                                                                                                                                                                      <w:divsChild>
                                                                                                                                                                                                                                                                                                                                                                                                                                        <w:div w:id="1511481836">
                                                                                                                                                                                                                                                                                                                                                                                                                                          <w:marLeft w:val="0"/>
                                                                                                                                                                                                                                                                                                                                                                                                                                          <w:marRight w:val="0"/>
                                                                                                                                                                                                                                                                                                                                                                                                                                          <w:marTop w:val="0"/>
                                                                                                                                                                                                                                                                                                                                                                                                                                          <w:marBottom w:val="0"/>
                                                                                                                                                                                                                                                                                                                                                                                                                                          <w:divBdr>
                                                                                                                                                                                                                                                                                                                                                                                                                                            <w:top w:val="none" w:sz="0" w:space="0" w:color="auto"/>
                                                                                                                                                                                                                                                                                                                                                                                                                                            <w:left w:val="none" w:sz="0" w:space="0" w:color="auto"/>
                                                                                                                                                                                                                                                                                                                                                                                                                                            <w:bottom w:val="none" w:sz="0" w:space="0" w:color="auto"/>
                                                                                                                                                                                                                                                                                                                                                                                                                                            <w:right w:val="none" w:sz="0" w:space="0" w:color="auto"/>
                                                                                                                                                                                                                                                                                                                                                                                                                                          </w:divBdr>
                                                                                                                                                                                                                                                                                                                                                                                                                                          <w:divsChild>
                                                                                                                                                                                                                                                                                                                                                                                                                                            <w:div w:id="227347203">
                                                                                                                                                                                                                                                                                                                                                                                                                                              <w:marLeft w:val="0"/>
                                                                                                                                                                                                                                                                                                                                                                                                                                              <w:marRight w:val="0"/>
                                                                                                                                                                                                                                                                                                                                                                                                                                              <w:marTop w:val="0"/>
                                                                                                                                                                                                                                                                                                                                                                                                                                              <w:marBottom w:val="0"/>
                                                                                                                                                                                                                                                                                                                                                                                                                                              <w:divBdr>
                                                                                                                                                                                                                                                                                                                                                                                                                                                <w:top w:val="none" w:sz="0" w:space="0" w:color="auto"/>
                                                                                                                                                                                                                                                                                                                                                                                                                                                <w:left w:val="none" w:sz="0" w:space="0" w:color="auto"/>
                                                                                                                                                                                                                                                                                                                                                                                                                                                <w:bottom w:val="none" w:sz="0" w:space="0" w:color="auto"/>
                                                                                                                                                                                                                                                                                                                                                                                                                                                <w:right w:val="none" w:sz="0" w:space="0" w:color="auto"/>
                                                                                                                                                                                                                                                                                                                                                                                                                                              </w:divBdr>
                                                                                                                                                                                                                                                                                                                                                                                                                                              <w:divsChild>
                                                                                                                                                                                                                                                                                                                                                                                                                                                <w:div w:id="1593586651">
                                                                                                                                                                                                                                                                                                                                                                                                                                                  <w:marLeft w:val="0"/>
                                                                                                                                                                                                                                                                                                                                                                                                                                                  <w:marRight w:val="0"/>
                                                                                                                                                                                                                                                                                                                                                                                                                                                  <w:marTop w:val="0"/>
                                                                                                                                                                                                                                                                                                                                                                                                                                                  <w:marBottom w:val="0"/>
                                                                                                                                                                                                                                                                                                                                                                                                                                                  <w:divBdr>
                                                                                                                                                                                                                                                                                                                                                                                                                                                    <w:top w:val="none" w:sz="0" w:space="0" w:color="auto"/>
                                                                                                                                                                                                                                                                                                                                                                                                                                                    <w:left w:val="none" w:sz="0" w:space="0" w:color="auto"/>
                                                                                                                                                                                                                                                                                                                                                                                                                                                    <w:bottom w:val="none" w:sz="0" w:space="0" w:color="auto"/>
                                                                                                                                                                                                                                                                                                                                                                                                                                                    <w:right w:val="none" w:sz="0" w:space="0" w:color="auto"/>
                                                                                                                                                                                                                                                                                                                                                                                                                                                  </w:divBdr>
                                                                                                                                                                                                                                                                                                                                                                                                                                                  <w:divsChild>
                                                                                                                                                                                                                                                                                                                                                                                                                                                    <w:div w:id="686323649">
                                                                                                                                                                                                                                                                                                                                                                                                                                                      <w:marLeft w:val="0"/>
                                                                                                                                                                                                                                                                                                                                                                                                                                                      <w:marRight w:val="0"/>
                                                                                                                                                                                                                                                                                                                                                                                                                                                      <w:marTop w:val="0"/>
                                                                                                                                                                                                                                                                                                                                                                                                                                                      <w:marBottom w:val="0"/>
                                                                                                                                                                                                                                                                                                                                                                                                                                                      <w:divBdr>
                                                                                                                                                                                                                                                                                                                                                                                                                                                        <w:top w:val="none" w:sz="0" w:space="0" w:color="auto"/>
                                                                                                                                                                                                                                                                                                                                                                                                                                                        <w:left w:val="none" w:sz="0" w:space="0" w:color="auto"/>
                                                                                                                                                                                                                                                                                                                                                                                                                                                        <w:bottom w:val="none" w:sz="0" w:space="0" w:color="auto"/>
                                                                                                                                                                                                                                                                                                                                                                                                                                                        <w:right w:val="none" w:sz="0" w:space="0" w:color="auto"/>
                                                                                                                                                                                                                                                                                                                                                                                                                                                      </w:divBdr>
                                                                                                                                                                                                                                                                                                                                                                                                                                                      <w:divsChild>
                                                                                                                                                                                                                                                                                                                                                                                                                                                        <w:div w:id="1963615050">
                                                                                                                                                                                                                                                                                                                                                                                                                                                          <w:marLeft w:val="0"/>
                                                                                                                                                                                                                                                                                                                                                                                                                                                          <w:marRight w:val="0"/>
                                                                                                                                                                                                                                                                                                                                                                                                                                                          <w:marTop w:val="0"/>
                                                                                                                                                                                                                                                                                                                                                                                                                                                          <w:marBottom w:val="0"/>
                                                                                                                                                                                                                                                                                                                                                                                                                                                          <w:divBdr>
                                                                                                                                                                                                                                                                                                                                                                                                                                                            <w:top w:val="none" w:sz="0" w:space="0" w:color="auto"/>
                                                                                                                                                                                                                                                                                                                                                                                                                                                            <w:left w:val="none" w:sz="0" w:space="0" w:color="auto"/>
                                                                                                                                                                                                                                                                                                                                                                                                                                                            <w:bottom w:val="none" w:sz="0" w:space="0" w:color="auto"/>
                                                                                                                                                                                                                                                                                                                                                                                                                                                            <w:right w:val="none" w:sz="0" w:space="0" w:color="auto"/>
                                                                                                                                                                                                                                                                                                                                                                                                                                                          </w:divBdr>
                                                                                                                                                                                                                                                                                                                                                                                                                                                          <w:divsChild>
                                                                                                                                                                                                                                                                                                                                                                                                                                                            <w:div w:id="1056708221">
                                                                                                                                                                                                                                                                                                                                                                                                                                                              <w:marLeft w:val="0"/>
                                                                                                                                                                                                                                                                                                                                                                                                                                                              <w:marRight w:val="0"/>
                                                                                                                                                                                                                                                                                                                                                                                                                                                              <w:marTop w:val="0"/>
                                                                                                                                                                                                                                                                                                                                                                                                                                                              <w:marBottom w:val="0"/>
                                                                                                                                                                                                                                                                                                                                                                                                                                                              <w:divBdr>
                                                                                                                                                                                                                                                                                                                                                                                                                                                                <w:top w:val="none" w:sz="0" w:space="0" w:color="auto"/>
                                                                                                                                                                                                                                                                                                                                                                                                                                                                <w:left w:val="none" w:sz="0" w:space="0" w:color="auto"/>
                                                                                                                                                                                                                                                                                                                                                                                                                                                                <w:bottom w:val="none" w:sz="0" w:space="0" w:color="auto"/>
                                                                                                                                                                                                                                                                                                                                                                                                                                                                <w:right w:val="none" w:sz="0" w:space="0" w:color="auto"/>
                                                                                                                                                                                                                                                                                                                                                                                                                                                              </w:divBdr>
                                                                                                                                                                                                                                                                                                                                                                                                                                                              <w:divsChild>
                                                                                                                                                                                                                                                                                                                                                                                                                                                                <w:div w:id="1469282805">
                                                                                                                                                                                                                                                                                                                                                                                                                                                                  <w:marLeft w:val="0"/>
                                                                                                                                                                                                                                                                                                                                                                                                                                                                  <w:marRight w:val="0"/>
                                                                                                                                                                                                                                                                                                                                                                                                                                                                  <w:marTop w:val="0"/>
                                                                                                                                                                                                                                                                                                                                                                                                                                                                  <w:marBottom w:val="0"/>
                                                                                                                                                                                                                                                                                                                                                                                                                                                                  <w:divBdr>
                                                                                                                                                                                                                                                                                                                                                                                                                                                                    <w:top w:val="none" w:sz="0" w:space="0" w:color="auto"/>
                                                                                                                                                                                                                                                                                                                                                                                                                                                                    <w:left w:val="none" w:sz="0" w:space="0" w:color="auto"/>
                                                                                                                                                                                                                                                                                                                                                                                                                                                                    <w:bottom w:val="none" w:sz="0" w:space="0" w:color="auto"/>
                                                                                                                                                                                                                                                                                                                                                                                                                                                                    <w:right w:val="none" w:sz="0" w:space="0" w:color="auto"/>
                                                                                                                                                                                                                                                                                                                                                                                                                                                                  </w:divBdr>
                                                                                                                                                                                                                                                                                                                                                                                                                                                                  <w:divsChild>
                                                                                                                                                                                                                                                                                                                                                                                                                                                                    <w:div w:id="8088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8066347">
      <w:bodyDiv w:val="1"/>
      <w:marLeft w:val="0"/>
      <w:marRight w:val="0"/>
      <w:marTop w:val="0"/>
      <w:marBottom w:val="0"/>
      <w:divBdr>
        <w:top w:val="none" w:sz="0" w:space="0" w:color="auto"/>
        <w:left w:val="none" w:sz="0" w:space="0" w:color="auto"/>
        <w:bottom w:val="none" w:sz="0" w:space="0" w:color="auto"/>
        <w:right w:val="none" w:sz="0" w:space="0" w:color="auto"/>
      </w:divBdr>
    </w:div>
    <w:div w:id="524291086">
      <w:bodyDiv w:val="1"/>
      <w:marLeft w:val="0"/>
      <w:marRight w:val="0"/>
      <w:marTop w:val="0"/>
      <w:marBottom w:val="0"/>
      <w:divBdr>
        <w:top w:val="none" w:sz="0" w:space="0" w:color="auto"/>
        <w:left w:val="none" w:sz="0" w:space="0" w:color="auto"/>
        <w:bottom w:val="none" w:sz="0" w:space="0" w:color="auto"/>
        <w:right w:val="none" w:sz="0" w:space="0" w:color="auto"/>
      </w:divBdr>
    </w:div>
    <w:div w:id="621225053">
      <w:bodyDiv w:val="1"/>
      <w:marLeft w:val="0"/>
      <w:marRight w:val="0"/>
      <w:marTop w:val="0"/>
      <w:marBottom w:val="0"/>
      <w:divBdr>
        <w:top w:val="none" w:sz="0" w:space="0" w:color="auto"/>
        <w:left w:val="none" w:sz="0" w:space="0" w:color="auto"/>
        <w:bottom w:val="none" w:sz="0" w:space="0" w:color="auto"/>
        <w:right w:val="none" w:sz="0" w:space="0" w:color="auto"/>
      </w:divBdr>
    </w:div>
    <w:div w:id="635136692">
      <w:bodyDiv w:val="1"/>
      <w:marLeft w:val="0"/>
      <w:marRight w:val="0"/>
      <w:marTop w:val="0"/>
      <w:marBottom w:val="0"/>
      <w:divBdr>
        <w:top w:val="none" w:sz="0" w:space="0" w:color="auto"/>
        <w:left w:val="none" w:sz="0" w:space="0" w:color="auto"/>
        <w:bottom w:val="none" w:sz="0" w:space="0" w:color="auto"/>
        <w:right w:val="none" w:sz="0" w:space="0" w:color="auto"/>
      </w:divBdr>
    </w:div>
    <w:div w:id="727846127">
      <w:bodyDiv w:val="1"/>
      <w:marLeft w:val="0"/>
      <w:marRight w:val="0"/>
      <w:marTop w:val="0"/>
      <w:marBottom w:val="0"/>
      <w:divBdr>
        <w:top w:val="none" w:sz="0" w:space="0" w:color="auto"/>
        <w:left w:val="none" w:sz="0" w:space="0" w:color="auto"/>
        <w:bottom w:val="none" w:sz="0" w:space="0" w:color="auto"/>
        <w:right w:val="none" w:sz="0" w:space="0" w:color="auto"/>
      </w:divBdr>
    </w:div>
    <w:div w:id="825513177">
      <w:bodyDiv w:val="1"/>
      <w:marLeft w:val="0"/>
      <w:marRight w:val="0"/>
      <w:marTop w:val="0"/>
      <w:marBottom w:val="0"/>
      <w:divBdr>
        <w:top w:val="none" w:sz="0" w:space="0" w:color="auto"/>
        <w:left w:val="none" w:sz="0" w:space="0" w:color="auto"/>
        <w:bottom w:val="none" w:sz="0" w:space="0" w:color="auto"/>
        <w:right w:val="none" w:sz="0" w:space="0" w:color="auto"/>
      </w:divBdr>
    </w:div>
    <w:div w:id="939408438">
      <w:bodyDiv w:val="1"/>
      <w:marLeft w:val="0"/>
      <w:marRight w:val="0"/>
      <w:marTop w:val="0"/>
      <w:marBottom w:val="0"/>
      <w:divBdr>
        <w:top w:val="none" w:sz="0" w:space="0" w:color="auto"/>
        <w:left w:val="none" w:sz="0" w:space="0" w:color="auto"/>
        <w:bottom w:val="none" w:sz="0" w:space="0" w:color="auto"/>
        <w:right w:val="none" w:sz="0" w:space="0" w:color="auto"/>
      </w:divBdr>
    </w:div>
    <w:div w:id="1545016666">
      <w:bodyDiv w:val="1"/>
      <w:marLeft w:val="0"/>
      <w:marRight w:val="0"/>
      <w:marTop w:val="0"/>
      <w:marBottom w:val="0"/>
      <w:divBdr>
        <w:top w:val="none" w:sz="0" w:space="0" w:color="auto"/>
        <w:left w:val="none" w:sz="0" w:space="0" w:color="auto"/>
        <w:bottom w:val="none" w:sz="0" w:space="0" w:color="auto"/>
        <w:right w:val="none" w:sz="0" w:space="0" w:color="auto"/>
      </w:divBdr>
      <w:divsChild>
        <w:div w:id="218514902">
          <w:marLeft w:val="0"/>
          <w:marRight w:val="0"/>
          <w:marTop w:val="0"/>
          <w:marBottom w:val="0"/>
          <w:divBdr>
            <w:top w:val="none" w:sz="0" w:space="0" w:color="auto"/>
            <w:left w:val="none" w:sz="0" w:space="0" w:color="auto"/>
            <w:bottom w:val="none" w:sz="0" w:space="0" w:color="auto"/>
            <w:right w:val="none" w:sz="0" w:space="0" w:color="auto"/>
          </w:divBdr>
          <w:divsChild>
            <w:div w:id="383455230">
              <w:marLeft w:val="0"/>
              <w:marRight w:val="0"/>
              <w:marTop w:val="0"/>
              <w:marBottom w:val="0"/>
              <w:divBdr>
                <w:top w:val="none" w:sz="0" w:space="0" w:color="auto"/>
                <w:left w:val="none" w:sz="0" w:space="0" w:color="auto"/>
                <w:bottom w:val="none" w:sz="0" w:space="0" w:color="auto"/>
                <w:right w:val="none" w:sz="0" w:space="0" w:color="auto"/>
              </w:divBdr>
              <w:divsChild>
                <w:div w:id="1801267456">
                  <w:marLeft w:val="0"/>
                  <w:marRight w:val="0"/>
                  <w:marTop w:val="0"/>
                  <w:marBottom w:val="0"/>
                  <w:divBdr>
                    <w:top w:val="none" w:sz="0" w:space="0" w:color="auto"/>
                    <w:left w:val="none" w:sz="0" w:space="0" w:color="auto"/>
                    <w:bottom w:val="none" w:sz="0" w:space="0" w:color="auto"/>
                    <w:right w:val="none" w:sz="0" w:space="0" w:color="auto"/>
                  </w:divBdr>
                  <w:divsChild>
                    <w:div w:id="857046258">
                      <w:marLeft w:val="0"/>
                      <w:marRight w:val="0"/>
                      <w:marTop w:val="0"/>
                      <w:marBottom w:val="0"/>
                      <w:divBdr>
                        <w:top w:val="none" w:sz="0" w:space="0" w:color="auto"/>
                        <w:left w:val="none" w:sz="0" w:space="0" w:color="auto"/>
                        <w:bottom w:val="none" w:sz="0" w:space="0" w:color="auto"/>
                        <w:right w:val="none" w:sz="0" w:space="0" w:color="auto"/>
                      </w:divBdr>
                      <w:divsChild>
                        <w:div w:id="45371588">
                          <w:marLeft w:val="0"/>
                          <w:marRight w:val="0"/>
                          <w:marTop w:val="0"/>
                          <w:marBottom w:val="0"/>
                          <w:divBdr>
                            <w:top w:val="none" w:sz="0" w:space="0" w:color="auto"/>
                            <w:left w:val="none" w:sz="0" w:space="0" w:color="auto"/>
                            <w:bottom w:val="none" w:sz="0" w:space="0" w:color="auto"/>
                            <w:right w:val="none" w:sz="0" w:space="0" w:color="auto"/>
                          </w:divBdr>
                          <w:divsChild>
                            <w:div w:id="114099624">
                              <w:marLeft w:val="0"/>
                              <w:marRight w:val="0"/>
                              <w:marTop w:val="0"/>
                              <w:marBottom w:val="0"/>
                              <w:divBdr>
                                <w:top w:val="none" w:sz="0" w:space="0" w:color="auto"/>
                                <w:left w:val="none" w:sz="0" w:space="0" w:color="auto"/>
                                <w:bottom w:val="none" w:sz="0" w:space="0" w:color="auto"/>
                                <w:right w:val="none" w:sz="0" w:space="0" w:color="auto"/>
                              </w:divBdr>
                              <w:divsChild>
                                <w:div w:id="1708675867">
                                  <w:marLeft w:val="0"/>
                                  <w:marRight w:val="0"/>
                                  <w:marTop w:val="0"/>
                                  <w:marBottom w:val="0"/>
                                  <w:divBdr>
                                    <w:top w:val="none" w:sz="0" w:space="0" w:color="auto"/>
                                    <w:left w:val="none" w:sz="0" w:space="0" w:color="auto"/>
                                    <w:bottom w:val="none" w:sz="0" w:space="0" w:color="auto"/>
                                    <w:right w:val="none" w:sz="0" w:space="0" w:color="auto"/>
                                  </w:divBdr>
                                  <w:divsChild>
                                    <w:div w:id="84692961">
                                      <w:marLeft w:val="0"/>
                                      <w:marRight w:val="0"/>
                                      <w:marTop w:val="0"/>
                                      <w:marBottom w:val="0"/>
                                      <w:divBdr>
                                        <w:top w:val="none" w:sz="0" w:space="0" w:color="auto"/>
                                        <w:left w:val="none" w:sz="0" w:space="0" w:color="auto"/>
                                        <w:bottom w:val="none" w:sz="0" w:space="0" w:color="auto"/>
                                        <w:right w:val="none" w:sz="0" w:space="0" w:color="auto"/>
                                      </w:divBdr>
                                      <w:divsChild>
                                        <w:div w:id="1058549325">
                                          <w:marLeft w:val="0"/>
                                          <w:marRight w:val="0"/>
                                          <w:marTop w:val="0"/>
                                          <w:marBottom w:val="0"/>
                                          <w:divBdr>
                                            <w:top w:val="none" w:sz="0" w:space="0" w:color="auto"/>
                                            <w:left w:val="none" w:sz="0" w:space="0" w:color="auto"/>
                                            <w:bottom w:val="none" w:sz="0" w:space="0" w:color="auto"/>
                                            <w:right w:val="none" w:sz="0" w:space="0" w:color="auto"/>
                                          </w:divBdr>
                                          <w:divsChild>
                                            <w:div w:id="2004817437">
                                              <w:marLeft w:val="0"/>
                                              <w:marRight w:val="0"/>
                                              <w:marTop w:val="0"/>
                                              <w:marBottom w:val="0"/>
                                              <w:divBdr>
                                                <w:top w:val="none" w:sz="0" w:space="0" w:color="auto"/>
                                                <w:left w:val="none" w:sz="0" w:space="0" w:color="auto"/>
                                                <w:bottom w:val="none" w:sz="0" w:space="0" w:color="auto"/>
                                                <w:right w:val="none" w:sz="0" w:space="0" w:color="auto"/>
                                              </w:divBdr>
                                              <w:divsChild>
                                                <w:div w:id="1707214783">
                                                  <w:marLeft w:val="0"/>
                                                  <w:marRight w:val="0"/>
                                                  <w:marTop w:val="0"/>
                                                  <w:marBottom w:val="0"/>
                                                  <w:divBdr>
                                                    <w:top w:val="none" w:sz="0" w:space="0" w:color="auto"/>
                                                    <w:left w:val="none" w:sz="0" w:space="0" w:color="auto"/>
                                                    <w:bottom w:val="none" w:sz="0" w:space="0" w:color="auto"/>
                                                    <w:right w:val="none" w:sz="0" w:space="0" w:color="auto"/>
                                                  </w:divBdr>
                                                  <w:divsChild>
                                                    <w:div w:id="2104063437">
                                                      <w:marLeft w:val="0"/>
                                                      <w:marRight w:val="0"/>
                                                      <w:marTop w:val="0"/>
                                                      <w:marBottom w:val="0"/>
                                                      <w:divBdr>
                                                        <w:top w:val="none" w:sz="0" w:space="0" w:color="auto"/>
                                                        <w:left w:val="none" w:sz="0" w:space="0" w:color="auto"/>
                                                        <w:bottom w:val="none" w:sz="0" w:space="0" w:color="auto"/>
                                                        <w:right w:val="none" w:sz="0" w:space="0" w:color="auto"/>
                                                      </w:divBdr>
                                                      <w:divsChild>
                                                        <w:div w:id="691028895">
                                                          <w:marLeft w:val="0"/>
                                                          <w:marRight w:val="0"/>
                                                          <w:marTop w:val="0"/>
                                                          <w:marBottom w:val="0"/>
                                                          <w:divBdr>
                                                            <w:top w:val="none" w:sz="0" w:space="0" w:color="auto"/>
                                                            <w:left w:val="none" w:sz="0" w:space="0" w:color="auto"/>
                                                            <w:bottom w:val="none" w:sz="0" w:space="0" w:color="auto"/>
                                                            <w:right w:val="none" w:sz="0" w:space="0" w:color="auto"/>
                                                          </w:divBdr>
                                                          <w:divsChild>
                                                            <w:div w:id="1324628420">
                                                              <w:marLeft w:val="0"/>
                                                              <w:marRight w:val="0"/>
                                                              <w:marTop w:val="0"/>
                                                              <w:marBottom w:val="0"/>
                                                              <w:divBdr>
                                                                <w:top w:val="none" w:sz="0" w:space="0" w:color="auto"/>
                                                                <w:left w:val="none" w:sz="0" w:space="0" w:color="auto"/>
                                                                <w:bottom w:val="none" w:sz="0" w:space="0" w:color="auto"/>
                                                                <w:right w:val="none" w:sz="0" w:space="0" w:color="auto"/>
                                                              </w:divBdr>
                                                              <w:divsChild>
                                                                <w:div w:id="717776559">
                                                                  <w:marLeft w:val="0"/>
                                                                  <w:marRight w:val="0"/>
                                                                  <w:marTop w:val="0"/>
                                                                  <w:marBottom w:val="0"/>
                                                                  <w:divBdr>
                                                                    <w:top w:val="none" w:sz="0" w:space="0" w:color="auto"/>
                                                                    <w:left w:val="none" w:sz="0" w:space="0" w:color="auto"/>
                                                                    <w:bottom w:val="none" w:sz="0" w:space="0" w:color="auto"/>
                                                                    <w:right w:val="none" w:sz="0" w:space="0" w:color="auto"/>
                                                                  </w:divBdr>
                                                                  <w:divsChild>
                                                                    <w:div w:id="1995185823">
                                                                      <w:marLeft w:val="0"/>
                                                                      <w:marRight w:val="0"/>
                                                                      <w:marTop w:val="0"/>
                                                                      <w:marBottom w:val="0"/>
                                                                      <w:divBdr>
                                                                        <w:top w:val="none" w:sz="0" w:space="0" w:color="auto"/>
                                                                        <w:left w:val="none" w:sz="0" w:space="0" w:color="auto"/>
                                                                        <w:bottom w:val="none" w:sz="0" w:space="0" w:color="auto"/>
                                                                        <w:right w:val="none" w:sz="0" w:space="0" w:color="auto"/>
                                                                      </w:divBdr>
                                                                      <w:divsChild>
                                                                        <w:div w:id="373777974">
                                                                          <w:marLeft w:val="0"/>
                                                                          <w:marRight w:val="0"/>
                                                                          <w:marTop w:val="0"/>
                                                                          <w:marBottom w:val="0"/>
                                                                          <w:divBdr>
                                                                            <w:top w:val="none" w:sz="0" w:space="0" w:color="auto"/>
                                                                            <w:left w:val="none" w:sz="0" w:space="0" w:color="auto"/>
                                                                            <w:bottom w:val="none" w:sz="0" w:space="0" w:color="auto"/>
                                                                            <w:right w:val="none" w:sz="0" w:space="0" w:color="auto"/>
                                                                          </w:divBdr>
                                                                          <w:divsChild>
                                                                            <w:div w:id="1258170460">
                                                                              <w:marLeft w:val="0"/>
                                                                              <w:marRight w:val="0"/>
                                                                              <w:marTop w:val="0"/>
                                                                              <w:marBottom w:val="0"/>
                                                                              <w:divBdr>
                                                                                <w:top w:val="none" w:sz="0" w:space="0" w:color="auto"/>
                                                                                <w:left w:val="none" w:sz="0" w:space="0" w:color="auto"/>
                                                                                <w:bottom w:val="none" w:sz="0" w:space="0" w:color="auto"/>
                                                                                <w:right w:val="none" w:sz="0" w:space="0" w:color="auto"/>
                                                                              </w:divBdr>
                                                                              <w:divsChild>
                                                                                <w:div w:id="1291743077">
                                                                                  <w:marLeft w:val="0"/>
                                                                                  <w:marRight w:val="0"/>
                                                                                  <w:marTop w:val="0"/>
                                                                                  <w:marBottom w:val="0"/>
                                                                                  <w:divBdr>
                                                                                    <w:top w:val="none" w:sz="0" w:space="0" w:color="auto"/>
                                                                                    <w:left w:val="none" w:sz="0" w:space="0" w:color="auto"/>
                                                                                    <w:bottom w:val="none" w:sz="0" w:space="0" w:color="auto"/>
                                                                                    <w:right w:val="none" w:sz="0" w:space="0" w:color="auto"/>
                                                                                  </w:divBdr>
                                                                                  <w:divsChild>
                                                                                    <w:div w:id="1118531412">
                                                                                      <w:marLeft w:val="0"/>
                                                                                      <w:marRight w:val="0"/>
                                                                                      <w:marTop w:val="0"/>
                                                                                      <w:marBottom w:val="0"/>
                                                                                      <w:divBdr>
                                                                                        <w:top w:val="none" w:sz="0" w:space="0" w:color="auto"/>
                                                                                        <w:left w:val="none" w:sz="0" w:space="0" w:color="auto"/>
                                                                                        <w:bottom w:val="none" w:sz="0" w:space="0" w:color="auto"/>
                                                                                        <w:right w:val="none" w:sz="0" w:space="0" w:color="auto"/>
                                                                                      </w:divBdr>
                                                                                      <w:divsChild>
                                                                                        <w:div w:id="1869291629">
                                                                                          <w:marLeft w:val="0"/>
                                                                                          <w:marRight w:val="0"/>
                                                                                          <w:marTop w:val="0"/>
                                                                                          <w:marBottom w:val="0"/>
                                                                                          <w:divBdr>
                                                                                            <w:top w:val="none" w:sz="0" w:space="0" w:color="auto"/>
                                                                                            <w:left w:val="none" w:sz="0" w:space="0" w:color="auto"/>
                                                                                            <w:bottom w:val="none" w:sz="0" w:space="0" w:color="auto"/>
                                                                                            <w:right w:val="none" w:sz="0" w:space="0" w:color="auto"/>
                                                                                          </w:divBdr>
                                                                                          <w:divsChild>
                                                                                            <w:div w:id="1668751833">
                                                                                              <w:marLeft w:val="0"/>
                                                                                              <w:marRight w:val="0"/>
                                                                                              <w:marTop w:val="0"/>
                                                                                              <w:marBottom w:val="0"/>
                                                                                              <w:divBdr>
                                                                                                <w:top w:val="none" w:sz="0" w:space="0" w:color="auto"/>
                                                                                                <w:left w:val="none" w:sz="0" w:space="0" w:color="auto"/>
                                                                                                <w:bottom w:val="none" w:sz="0" w:space="0" w:color="auto"/>
                                                                                                <w:right w:val="none" w:sz="0" w:space="0" w:color="auto"/>
                                                                                              </w:divBdr>
                                                                                              <w:divsChild>
                                                                                                <w:div w:id="2133284726">
                                                                                                  <w:marLeft w:val="0"/>
                                                                                                  <w:marRight w:val="0"/>
                                                                                                  <w:marTop w:val="0"/>
                                                                                                  <w:marBottom w:val="0"/>
                                                                                                  <w:divBdr>
                                                                                                    <w:top w:val="none" w:sz="0" w:space="0" w:color="auto"/>
                                                                                                    <w:left w:val="none" w:sz="0" w:space="0" w:color="auto"/>
                                                                                                    <w:bottom w:val="none" w:sz="0" w:space="0" w:color="auto"/>
                                                                                                    <w:right w:val="none" w:sz="0" w:space="0" w:color="auto"/>
                                                                                                  </w:divBdr>
                                                                                                  <w:divsChild>
                                                                                                    <w:div w:id="1067537042">
                                                                                                      <w:marLeft w:val="0"/>
                                                                                                      <w:marRight w:val="0"/>
                                                                                                      <w:marTop w:val="0"/>
                                                                                                      <w:marBottom w:val="0"/>
                                                                                                      <w:divBdr>
                                                                                                        <w:top w:val="none" w:sz="0" w:space="0" w:color="auto"/>
                                                                                                        <w:left w:val="none" w:sz="0" w:space="0" w:color="auto"/>
                                                                                                        <w:bottom w:val="none" w:sz="0" w:space="0" w:color="auto"/>
                                                                                                        <w:right w:val="none" w:sz="0" w:space="0" w:color="auto"/>
                                                                                                      </w:divBdr>
                                                                                                      <w:divsChild>
                                                                                                        <w:div w:id="115956402">
                                                                                                          <w:marLeft w:val="0"/>
                                                                                                          <w:marRight w:val="0"/>
                                                                                                          <w:marTop w:val="0"/>
                                                                                                          <w:marBottom w:val="0"/>
                                                                                                          <w:divBdr>
                                                                                                            <w:top w:val="none" w:sz="0" w:space="0" w:color="auto"/>
                                                                                                            <w:left w:val="none" w:sz="0" w:space="0" w:color="auto"/>
                                                                                                            <w:bottom w:val="none" w:sz="0" w:space="0" w:color="auto"/>
                                                                                                            <w:right w:val="none" w:sz="0" w:space="0" w:color="auto"/>
                                                                                                          </w:divBdr>
                                                                                                          <w:divsChild>
                                                                                                            <w:div w:id="1603611470">
                                                                                                              <w:marLeft w:val="0"/>
                                                                                                              <w:marRight w:val="0"/>
                                                                                                              <w:marTop w:val="0"/>
                                                                                                              <w:marBottom w:val="0"/>
                                                                                                              <w:divBdr>
                                                                                                                <w:top w:val="none" w:sz="0" w:space="0" w:color="auto"/>
                                                                                                                <w:left w:val="none" w:sz="0" w:space="0" w:color="auto"/>
                                                                                                                <w:bottom w:val="none" w:sz="0" w:space="0" w:color="auto"/>
                                                                                                                <w:right w:val="none" w:sz="0" w:space="0" w:color="auto"/>
                                                                                                              </w:divBdr>
                                                                                                              <w:divsChild>
                                                                                                                <w:div w:id="118571654">
                                                                                                                  <w:marLeft w:val="0"/>
                                                                                                                  <w:marRight w:val="0"/>
                                                                                                                  <w:marTop w:val="0"/>
                                                                                                                  <w:marBottom w:val="0"/>
                                                                                                                  <w:divBdr>
                                                                                                                    <w:top w:val="none" w:sz="0" w:space="0" w:color="auto"/>
                                                                                                                    <w:left w:val="none" w:sz="0" w:space="0" w:color="auto"/>
                                                                                                                    <w:bottom w:val="none" w:sz="0" w:space="0" w:color="auto"/>
                                                                                                                    <w:right w:val="none" w:sz="0" w:space="0" w:color="auto"/>
                                                                                                                  </w:divBdr>
                                                                                                                  <w:divsChild>
                                                                                                                    <w:div w:id="329799892">
                                                                                                                      <w:marLeft w:val="0"/>
                                                                                                                      <w:marRight w:val="0"/>
                                                                                                                      <w:marTop w:val="0"/>
                                                                                                                      <w:marBottom w:val="0"/>
                                                                                                                      <w:divBdr>
                                                                                                                        <w:top w:val="none" w:sz="0" w:space="0" w:color="auto"/>
                                                                                                                        <w:left w:val="none" w:sz="0" w:space="0" w:color="auto"/>
                                                                                                                        <w:bottom w:val="none" w:sz="0" w:space="0" w:color="auto"/>
                                                                                                                        <w:right w:val="none" w:sz="0" w:space="0" w:color="auto"/>
                                                                                                                      </w:divBdr>
                                                                                                                      <w:divsChild>
                                                                                                                        <w:div w:id="995717862">
                                                                                                                          <w:marLeft w:val="0"/>
                                                                                                                          <w:marRight w:val="0"/>
                                                                                                                          <w:marTop w:val="0"/>
                                                                                                                          <w:marBottom w:val="0"/>
                                                                                                                          <w:divBdr>
                                                                                                                            <w:top w:val="none" w:sz="0" w:space="0" w:color="auto"/>
                                                                                                                            <w:left w:val="none" w:sz="0" w:space="0" w:color="auto"/>
                                                                                                                            <w:bottom w:val="none" w:sz="0" w:space="0" w:color="auto"/>
                                                                                                                            <w:right w:val="none" w:sz="0" w:space="0" w:color="auto"/>
                                                                                                                          </w:divBdr>
                                                                                                                          <w:divsChild>
                                                                                                                            <w:div w:id="2095588174">
                                                                                                                              <w:marLeft w:val="0"/>
                                                                                                                              <w:marRight w:val="0"/>
                                                                                                                              <w:marTop w:val="0"/>
                                                                                                                              <w:marBottom w:val="0"/>
                                                                                                                              <w:divBdr>
                                                                                                                                <w:top w:val="none" w:sz="0" w:space="0" w:color="auto"/>
                                                                                                                                <w:left w:val="none" w:sz="0" w:space="0" w:color="auto"/>
                                                                                                                                <w:bottom w:val="none" w:sz="0" w:space="0" w:color="auto"/>
                                                                                                                                <w:right w:val="none" w:sz="0" w:space="0" w:color="auto"/>
                                                                                                                              </w:divBdr>
                                                                                                                              <w:divsChild>
                                                                                                                                <w:div w:id="1016927515">
                                                                                                                                  <w:marLeft w:val="0"/>
                                                                                                                                  <w:marRight w:val="0"/>
                                                                                                                                  <w:marTop w:val="0"/>
                                                                                                                                  <w:marBottom w:val="0"/>
                                                                                                                                  <w:divBdr>
                                                                                                                                    <w:top w:val="none" w:sz="0" w:space="0" w:color="auto"/>
                                                                                                                                    <w:left w:val="none" w:sz="0" w:space="0" w:color="auto"/>
                                                                                                                                    <w:bottom w:val="none" w:sz="0" w:space="0" w:color="auto"/>
                                                                                                                                    <w:right w:val="none" w:sz="0" w:space="0" w:color="auto"/>
                                                                                                                                  </w:divBdr>
                                                                                                                                  <w:divsChild>
                                                                                                                                    <w:div w:id="152112735">
                                                                                                                                      <w:marLeft w:val="0"/>
                                                                                                                                      <w:marRight w:val="0"/>
                                                                                                                                      <w:marTop w:val="0"/>
                                                                                                                                      <w:marBottom w:val="0"/>
                                                                                                                                      <w:divBdr>
                                                                                                                                        <w:top w:val="none" w:sz="0" w:space="0" w:color="auto"/>
                                                                                                                                        <w:left w:val="none" w:sz="0" w:space="0" w:color="auto"/>
                                                                                                                                        <w:bottom w:val="none" w:sz="0" w:space="0" w:color="auto"/>
                                                                                                                                        <w:right w:val="none" w:sz="0" w:space="0" w:color="auto"/>
                                                                                                                                      </w:divBdr>
                                                                                                                                      <w:divsChild>
                                                                                                                                        <w:div w:id="2101951241">
                                                                                                                                          <w:marLeft w:val="0"/>
                                                                                                                                          <w:marRight w:val="0"/>
                                                                                                                                          <w:marTop w:val="0"/>
                                                                                                                                          <w:marBottom w:val="0"/>
                                                                                                                                          <w:divBdr>
                                                                                                                                            <w:top w:val="none" w:sz="0" w:space="0" w:color="auto"/>
                                                                                                                                            <w:left w:val="none" w:sz="0" w:space="0" w:color="auto"/>
                                                                                                                                            <w:bottom w:val="none" w:sz="0" w:space="0" w:color="auto"/>
                                                                                                                                            <w:right w:val="none" w:sz="0" w:space="0" w:color="auto"/>
                                                                                                                                          </w:divBdr>
                                                                                                                                          <w:divsChild>
                                                                                                                                            <w:div w:id="1195581997">
                                                                                                                                              <w:marLeft w:val="0"/>
                                                                                                                                              <w:marRight w:val="0"/>
                                                                                                                                              <w:marTop w:val="0"/>
                                                                                                                                              <w:marBottom w:val="0"/>
                                                                                                                                              <w:divBdr>
                                                                                                                                                <w:top w:val="none" w:sz="0" w:space="0" w:color="auto"/>
                                                                                                                                                <w:left w:val="none" w:sz="0" w:space="0" w:color="auto"/>
                                                                                                                                                <w:bottom w:val="none" w:sz="0" w:space="0" w:color="auto"/>
                                                                                                                                                <w:right w:val="none" w:sz="0" w:space="0" w:color="auto"/>
                                                                                                                                              </w:divBdr>
                                                                                                                                              <w:divsChild>
                                                                                                                                                <w:div w:id="654722439">
                                                                                                                                                  <w:marLeft w:val="0"/>
                                                                                                                                                  <w:marRight w:val="0"/>
                                                                                                                                                  <w:marTop w:val="0"/>
                                                                                                                                                  <w:marBottom w:val="0"/>
                                                                                                                                                  <w:divBdr>
                                                                                                                                                    <w:top w:val="none" w:sz="0" w:space="0" w:color="auto"/>
                                                                                                                                                    <w:left w:val="none" w:sz="0" w:space="0" w:color="auto"/>
                                                                                                                                                    <w:bottom w:val="none" w:sz="0" w:space="0" w:color="auto"/>
                                                                                                                                                    <w:right w:val="none" w:sz="0" w:space="0" w:color="auto"/>
                                                                                                                                                  </w:divBdr>
                                                                                                                                                  <w:divsChild>
                                                                                                                                                    <w:div w:id="572009284">
                                                                                                                                                      <w:marLeft w:val="0"/>
                                                                                                                                                      <w:marRight w:val="0"/>
                                                                                                                                                      <w:marTop w:val="0"/>
                                                                                                                                                      <w:marBottom w:val="0"/>
                                                                                                                                                      <w:divBdr>
                                                                                                                                                        <w:top w:val="none" w:sz="0" w:space="0" w:color="auto"/>
                                                                                                                                                        <w:left w:val="none" w:sz="0" w:space="0" w:color="auto"/>
                                                                                                                                                        <w:bottom w:val="none" w:sz="0" w:space="0" w:color="auto"/>
                                                                                                                                                        <w:right w:val="none" w:sz="0" w:space="0" w:color="auto"/>
                                                                                                                                                      </w:divBdr>
                                                                                                                                                      <w:divsChild>
                                                                                                                                                        <w:div w:id="354231704">
                                                                                                                                                          <w:marLeft w:val="0"/>
                                                                                                                                                          <w:marRight w:val="0"/>
                                                                                                                                                          <w:marTop w:val="0"/>
                                                                                                                                                          <w:marBottom w:val="0"/>
                                                                                                                                                          <w:divBdr>
                                                                                                                                                            <w:top w:val="none" w:sz="0" w:space="0" w:color="auto"/>
                                                                                                                                                            <w:left w:val="none" w:sz="0" w:space="0" w:color="auto"/>
                                                                                                                                                            <w:bottom w:val="none" w:sz="0" w:space="0" w:color="auto"/>
                                                                                                                                                            <w:right w:val="none" w:sz="0" w:space="0" w:color="auto"/>
                                                                                                                                                          </w:divBdr>
                                                                                                                                                          <w:divsChild>
                                                                                                                                                            <w:div w:id="2136363281">
                                                                                                                                                              <w:marLeft w:val="0"/>
                                                                                                                                                              <w:marRight w:val="0"/>
                                                                                                                                                              <w:marTop w:val="0"/>
                                                                                                                                                              <w:marBottom w:val="0"/>
                                                                                                                                                              <w:divBdr>
                                                                                                                                                                <w:top w:val="none" w:sz="0" w:space="0" w:color="auto"/>
                                                                                                                                                                <w:left w:val="none" w:sz="0" w:space="0" w:color="auto"/>
                                                                                                                                                                <w:bottom w:val="none" w:sz="0" w:space="0" w:color="auto"/>
                                                                                                                                                                <w:right w:val="none" w:sz="0" w:space="0" w:color="auto"/>
                                                                                                                                                              </w:divBdr>
                                                                                                                                                              <w:divsChild>
                                                                                                                                                                <w:div w:id="170421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2935388">
      <w:bodyDiv w:val="1"/>
      <w:marLeft w:val="0"/>
      <w:marRight w:val="0"/>
      <w:marTop w:val="0"/>
      <w:marBottom w:val="0"/>
      <w:divBdr>
        <w:top w:val="none" w:sz="0" w:space="0" w:color="auto"/>
        <w:left w:val="none" w:sz="0" w:space="0" w:color="auto"/>
        <w:bottom w:val="none" w:sz="0" w:space="0" w:color="auto"/>
        <w:right w:val="none" w:sz="0" w:space="0" w:color="auto"/>
      </w:divBdr>
    </w:div>
    <w:div w:id="1629815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image" Target="media/image137.png"/><Relationship Id="rId153" Type="http://schemas.openxmlformats.org/officeDocument/2006/relationships/image" Target="media/image1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pn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EFEA-5AF7-42AB-8049-E3E5EDA0B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3672</TotalTime>
  <Pages>230</Pages>
  <Words>112862</Words>
  <Characters>643320</Characters>
  <Application>Microsoft Office Word</Application>
  <DocSecurity>0</DocSecurity>
  <Lines>5361</Lines>
  <Paragraphs>1509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754673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dc:creator>
  <cp:lastModifiedBy>Peter</cp:lastModifiedBy>
  <cp:revision>30</cp:revision>
  <cp:lastPrinted>2013-02-04T09:26:00Z</cp:lastPrinted>
  <dcterms:created xsi:type="dcterms:W3CDTF">2012-09-26T22:39:00Z</dcterms:created>
  <dcterms:modified xsi:type="dcterms:W3CDTF">2013-02-25T19:52:00Z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mbp08pjd@sheffield.ac.uk@www.mendeley.com</vt:lpwstr>
  </property>
  <property fmtid="{D5CDD505-2E9C-101B-9397-08002B2CF9AE}" pid="4" name="Mendeley Citation Style_1">
    <vt:lpwstr>http://www.zotero.org/styles/harvard3</vt:lpwstr>
  </property>
  <property fmtid="{D5CDD505-2E9C-101B-9397-08002B2CF9AE}" pid="5" name="Mendeley Recent Style Id 0_1">
    <vt:lpwstr>http://www.zotero.org/styles/apsa</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http://www.zotero.org/styles/asa</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http://www.zotero.org/styles/harvard3</vt:lpwstr>
  </property>
  <property fmtid="{D5CDD505-2E9C-101B-9397-08002B2CF9AE}" pid="16" name="Mendeley Recent Style Name 5_1">
    <vt:lpwstr>Harvard Reference format 3</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http://www.zotero.org/styles/mhra</vt:lpwstr>
  </property>
  <property fmtid="{D5CDD505-2E9C-101B-9397-08002B2CF9AE}" pid="20" name="Mendeley Recent Style Name 7_1">
    <vt:lpwstr>Modern Humanities Research Association (note with bibliography)</vt:lpwstr>
  </property>
  <property fmtid="{D5CDD505-2E9C-101B-9397-08002B2CF9AE}" pid="21" name="Mendeley Recent Style Id 8_1">
    <vt:lpwstr>http://www.zotero.org/styles/mla</vt:lpwstr>
  </property>
  <property fmtid="{D5CDD505-2E9C-101B-9397-08002B2CF9AE}" pid="22" name="Mendeley Recent Style Name 8_1">
    <vt:lpwstr>Modern Language Association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